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00" w:rsidRPr="00257300" w:rsidRDefault="00257300" w:rsidP="00257300">
      <w:pPr>
        <w:autoSpaceDE w:val="0"/>
        <w:autoSpaceDN w:val="0"/>
        <w:spacing w:line="580" w:lineRule="exact"/>
        <w:jc w:val="center"/>
        <w:rPr>
          <w:rFonts w:ascii="Times New Roman" w:eastAsia="方正小标宋简体" w:hAnsi="Times New Roman"/>
          <w:bCs/>
          <w:sz w:val="44"/>
          <w:szCs w:val="44"/>
        </w:rPr>
      </w:pPr>
      <w:r w:rsidRPr="00257300">
        <w:rPr>
          <w:rFonts w:ascii="Times New Roman" w:eastAsia="方正小标宋简体" w:hAnsi="Times New Roman"/>
          <w:bCs/>
          <w:sz w:val="44"/>
          <w:szCs w:val="44"/>
        </w:rPr>
        <w:t>富民县政协提案答复清单</w:t>
      </w:r>
    </w:p>
    <w:tbl>
      <w:tblPr>
        <w:tblStyle w:val="a3"/>
        <w:tblpPr w:leftFromText="180" w:rightFromText="180" w:vertAnchor="text" w:horzAnchor="page" w:tblpXSpec="center" w:tblpY="240"/>
        <w:tblOverlap w:val="never"/>
        <w:tblW w:w="9280" w:type="dxa"/>
        <w:jc w:val="center"/>
        <w:tblLayout w:type="fixed"/>
        <w:tblLook w:val="0000"/>
      </w:tblPr>
      <w:tblGrid>
        <w:gridCol w:w="625"/>
        <w:gridCol w:w="1820"/>
        <w:gridCol w:w="1810"/>
        <w:gridCol w:w="636"/>
        <w:gridCol w:w="2445"/>
        <w:gridCol w:w="1944"/>
      </w:tblGrid>
      <w:tr w:rsidR="00257300" w:rsidRPr="00257300" w:rsidTr="00257300">
        <w:trPr>
          <w:trHeight w:val="638"/>
          <w:jc w:val="center"/>
        </w:trPr>
        <w:tc>
          <w:tcPr>
            <w:tcW w:w="9280" w:type="dxa"/>
            <w:gridSpan w:val="6"/>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jc w:val="center"/>
              <w:rPr>
                <w:rFonts w:ascii="仿宋_GB2312"/>
                <w:sz w:val="28"/>
                <w:szCs w:val="28"/>
              </w:rPr>
            </w:pPr>
            <w:r w:rsidRPr="00257300">
              <w:rPr>
                <w:rFonts w:ascii="仿宋_GB2312" w:hint="eastAsia"/>
                <w:sz w:val="28"/>
                <w:szCs w:val="28"/>
              </w:rPr>
              <w:t>富民县财政局</w:t>
            </w:r>
          </w:p>
          <w:p w:rsidR="00257300" w:rsidRPr="00257300" w:rsidRDefault="00257300" w:rsidP="00257300">
            <w:pPr>
              <w:autoSpaceDE w:val="0"/>
              <w:autoSpaceDN w:val="0"/>
              <w:spacing w:line="580" w:lineRule="exact"/>
              <w:jc w:val="center"/>
              <w:rPr>
                <w:rFonts w:ascii="仿宋_GB2312" w:hAnsi="Times New Roman"/>
                <w:sz w:val="28"/>
                <w:szCs w:val="28"/>
              </w:rPr>
            </w:pPr>
            <w:r w:rsidRPr="00257300">
              <w:rPr>
                <w:rFonts w:ascii="仿宋_GB2312" w:hint="eastAsia"/>
                <w:sz w:val="28"/>
                <w:szCs w:val="28"/>
              </w:rPr>
              <w:t>关于对富民县政协十届</w:t>
            </w:r>
            <w:r w:rsidRPr="00257300">
              <w:rPr>
                <w:rFonts w:ascii="仿宋_GB2312" w:hint="eastAsia"/>
                <w:sz w:val="28"/>
                <w:szCs w:val="28"/>
                <w:u w:val="single"/>
              </w:rPr>
              <w:t>三</w:t>
            </w:r>
            <w:r w:rsidRPr="00257300">
              <w:rPr>
                <w:rFonts w:ascii="仿宋_GB2312" w:hint="eastAsia"/>
                <w:sz w:val="28"/>
                <w:szCs w:val="28"/>
              </w:rPr>
              <w:t>次会议第</w:t>
            </w:r>
            <w:r w:rsidRPr="00257300">
              <w:rPr>
                <w:rFonts w:ascii="仿宋_GB2312" w:hint="eastAsia"/>
                <w:sz w:val="28"/>
                <w:szCs w:val="28"/>
                <w:u w:val="single"/>
              </w:rPr>
              <w:t>107</w:t>
            </w:r>
            <w:r w:rsidRPr="00257300">
              <w:rPr>
                <w:rFonts w:ascii="仿宋_GB2312" w:hint="eastAsia"/>
                <w:sz w:val="28"/>
                <w:szCs w:val="28"/>
              </w:rPr>
              <w:t>号提案的答复</w:t>
            </w:r>
          </w:p>
        </w:tc>
      </w:tr>
      <w:tr w:rsidR="00257300" w:rsidRPr="00257300" w:rsidTr="00257300">
        <w:trPr>
          <w:trHeight w:val="931"/>
          <w:jc w:val="center"/>
        </w:trPr>
        <w:tc>
          <w:tcPr>
            <w:tcW w:w="9280" w:type="dxa"/>
            <w:gridSpan w:val="6"/>
            <w:tcBorders>
              <w:top w:val="single" w:sz="4" w:space="0" w:color="auto"/>
              <w:left w:val="single" w:sz="4" w:space="0" w:color="auto"/>
              <w:bottom w:val="single" w:sz="4" w:space="0" w:color="auto"/>
              <w:right w:val="single" w:sz="4" w:space="0" w:color="auto"/>
            </w:tcBorders>
          </w:tcPr>
          <w:p w:rsidR="00257300" w:rsidRPr="00257300" w:rsidRDefault="00257300" w:rsidP="00257300">
            <w:pPr>
              <w:rPr>
                <w:rFonts w:ascii="仿宋_GB2312"/>
                <w:sz w:val="28"/>
                <w:szCs w:val="28"/>
              </w:rPr>
            </w:pPr>
            <w:r w:rsidRPr="00257300">
              <w:rPr>
                <w:rFonts w:ascii="仿宋_GB2312" w:hint="eastAsia"/>
                <w:sz w:val="28"/>
                <w:szCs w:val="28"/>
              </w:rPr>
              <w:t>经济和财税金融界杨丽娟领衔：</w:t>
            </w:r>
          </w:p>
          <w:p w:rsidR="00257300" w:rsidRPr="00257300" w:rsidRDefault="00257300" w:rsidP="00257300">
            <w:pPr>
              <w:autoSpaceDE w:val="0"/>
              <w:autoSpaceDN w:val="0"/>
              <w:spacing w:line="440" w:lineRule="exact"/>
              <w:ind w:firstLineChars="100" w:firstLine="280"/>
              <w:rPr>
                <w:rFonts w:ascii="仿宋_GB2312" w:hAnsi="Times New Roman"/>
                <w:sz w:val="28"/>
                <w:szCs w:val="28"/>
              </w:rPr>
            </w:pPr>
            <w:r w:rsidRPr="00257300">
              <w:rPr>
                <w:rFonts w:ascii="仿宋_GB2312" w:hint="eastAsia"/>
                <w:sz w:val="28"/>
                <w:szCs w:val="28"/>
              </w:rPr>
              <w:t>关于</w:t>
            </w:r>
            <w:r w:rsidRPr="00257300">
              <w:rPr>
                <w:rFonts w:ascii="仿宋_GB2312" w:hint="eastAsia"/>
                <w:sz w:val="28"/>
                <w:szCs w:val="28"/>
                <w:u w:val="single"/>
              </w:rPr>
              <w:t>加强税源培植的建议</w:t>
            </w:r>
            <w:r w:rsidRPr="00257300">
              <w:rPr>
                <w:rFonts w:ascii="仿宋_GB2312" w:hint="eastAsia"/>
                <w:sz w:val="28"/>
                <w:szCs w:val="28"/>
              </w:rPr>
              <w:t>提案收悉，现就提案办理有关情况答复如下：</w:t>
            </w:r>
          </w:p>
        </w:tc>
      </w:tr>
      <w:tr w:rsidR="00257300" w:rsidRPr="00257300" w:rsidTr="00257300">
        <w:trPr>
          <w:trHeight w:val="518"/>
          <w:jc w:val="center"/>
        </w:trPr>
        <w:tc>
          <w:tcPr>
            <w:tcW w:w="625" w:type="dxa"/>
            <w:vMerge w:val="restart"/>
            <w:tcBorders>
              <w:top w:val="nil"/>
              <w:left w:val="single" w:sz="4" w:space="0" w:color="auto"/>
              <w:bottom w:val="single" w:sz="4" w:space="0" w:color="auto"/>
              <w:right w:val="single" w:sz="4" w:space="0" w:color="auto"/>
            </w:tcBorders>
            <w:vAlign w:val="center"/>
          </w:tcPr>
          <w:p w:rsidR="00257300" w:rsidRPr="00257300" w:rsidRDefault="00257300" w:rsidP="00257300">
            <w:pPr>
              <w:autoSpaceDE w:val="0"/>
              <w:autoSpaceDN w:val="0"/>
              <w:spacing w:line="580" w:lineRule="exact"/>
              <w:rPr>
                <w:rFonts w:ascii="Times New Roman" w:hAnsi="Times New Roman"/>
                <w:b/>
                <w:bCs/>
                <w:sz w:val="28"/>
                <w:szCs w:val="28"/>
              </w:rPr>
            </w:pPr>
            <w:r w:rsidRPr="00257300">
              <w:rPr>
                <w:rFonts w:ascii="Times New Roman" w:hAnsi="Times New Roman"/>
                <w:b/>
                <w:bCs/>
                <w:sz w:val="28"/>
                <w:szCs w:val="28"/>
              </w:rPr>
              <w:t>办</w:t>
            </w:r>
          </w:p>
          <w:p w:rsidR="00257300" w:rsidRPr="00257300" w:rsidRDefault="00257300" w:rsidP="00257300">
            <w:pPr>
              <w:autoSpaceDE w:val="0"/>
              <w:autoSpaceDN w:val="0"/>
              <w:spacing w:line="580" w:lineRule="exact"/>
              <w:rPr>
                <w:rFonts w:ascii="Times New Roman" w:hAnsi="Times New Roman"/>
                <w:b/>
                <w:bCs/>
                <w:sz w:val="28"/>
                <w:szCs w:val="28"/>
              </w:rPr>
            </w:pPr>
            <w:r w:rsidRPr="00257300">
              <w:rPr>
                <w:rFonts w:ascii="Times New Roman" w:hAnsi="Times New Roman"/>
                <w:b/>
                <w:bCs/>
                <w:sz w:val="28"/>
                <w:szCs w:val="28"/>
              </w:rPr>
              <w:t>理</w:t>
            </w:r>
          </w:p>
          <w:p w:rsidR="00257300" w:rsidRPr="00257300" w:rsidRDefault="00257300" w:rsidP="00257300">
            <w:pPr>
              <w:autoSpaceDE w:val="0"/>
              <w:autoSpaceDN w:val="0"/>
              <w:spacing w:line="580" w:lineRule="exact"/>
              <w:rPr>
                <w:rFonts w:ascii="Times New Roman" w:hAnsi="Times New Roman"/>
                <w:b/>
                <w:bCs/>
                <w:sz w:val="28"/>
                <w:szCs w:val="28"/>
              </w:rPr>
            </w:pPr>
            <w:r w:rsidRPr="00257300">
              <w:rPr>
                <w:rFonts w:ascii="Times New Roman" w:hAnsi="Times New Roman"/>
                <w:b/>
                <w:bCs/>
                <w:sz w:val="28"/>
                <w:szCs w:val="28"/>
              </w:rPr>
              <w:t>结</w:t>
            </w:r>
          </w:p>
          <w:p w:rsidR="00257300" w:rsidRPr="00257300" w:rsidRDefault="00257300" w:rsidP="00257300">
            <w:pPr>
              <w:autoSpaceDE w:val="0"/>
              <w:autoSpaceDN w:val="0"/>
              <w:spacing w:line="580" w:lineRule="exact"/>
              <w:rPr>
                <w:rFonts w:ascii="Times New Roman" w:hAnsi="Times New Roman"/>
                <w:b/>
                <w:bCs/>
                <w:sz w:val="28"/>
                <w:szCs w:val="28"/>
              </w:rPr>
            </w:pPr>
            <w:r w:rsidRPr="00257300">
              <w:rPr>
                <w:rFonts w:ascii="Times New Roman" w:hAnsi="Times New Roman"/>
                <w:b/>
                <w:bCs/>
                <w:sz w:val="28"/>
                <w:szCs w:val="28"/>
              </w:rPr>
              <w:t>果</w:t>
            </w:r>
          </w:p>
          <w:p w:rsidR="00257300" w:rsidRPr="00257300" w:rsidRDefault="00257300" w:rsidP="00257300">
            <w:pPr>
              <w:autoSpaceDE w:val="0"/>
              <w:autoSpaceDN w:val="0"/>
              <w:spacing w:line="580" w:lineRule="exact"/>
              <w:rPr>
                <w:rFonts w:ascii="Times New Roman" w:hAnsi="Times New Roman"/>
                <w:b/>
                <w:bCs/>
                <w:sz w:val="28"/>
                <w:szCs w:val="28"/>
              </w:rPr>
            </w:pPr>
            <w:r w:rsidRPr="00257300">
              <w:rPr>
                <w:rFonts w:ascii="Times New Roman" w:hAnsi="Times New Roman"/>
                <w:b/>
                <w:bCs/>
                <w:sz w:val="28"/>
                <w:szCs w:val="28"/>
              </w:rPr>
              <w:t>清</w:t>
            </w:r>
          </w:p>
          <w:p w:rsidR="00257300" w:rsidRPr="00257300" w:rsidRDefault="00257300" w:rsidP="00257300">
            <w:pPr>
              <w:autoSpaceDE w:val="0"/>
              <w:autoSpaceDN w:val="0"/>
              <w:spacing w:line="580" w:lineRule="exact"/>
              <w:rPr>
                <w:rFonts w:ascii="Times New Roman" w:hAnsi="Times New Roman"/>
                <w:sz w:val="28"/>
                <w:szCs w:val="28"/>
              </w:rPr>
            </w:pPr>
            <w:r w:rsidRPr="00257300">
              <w:rPr>
                <w:rFonts w:ascii="Times New Roman" w:hAnsi="Times New Roman"/>
                <w:b/>
                <w:bCs/>
                <w:sz w:val="28"/>
                <w:szCs w:val="28"/>
              </w:rPr>
              <w:t>单</w:t>
            </w: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b/>
                <w:sz w:val="24"/>
                <w:szCs w:val="24"/>
              </w:rPr>
            </w:pPr>
            <w:r w:rsidRPr="00257300">
              <w:rPr>
                <w:rFonts w:ascii="Times New Roman" w:hAnsi="Times New Roman"/>
                <w:b/>
                <w:sz w:val="24"/>
                <w:szCs w:val="24"/>
              </w:rPr>
              <w:t>建议</w:t>
            </w:r>
            <w:proofErr w:type="gramStart"/>
            <w:r w:rsidRPr="00257300">
              <w:rPr>
                <w:rFonts w:ascii="Times New Roman" w:hAnsi="Times New Roman"/>
                <w:b/>
                <w:sz w:val="24"/>
                <w:szCs w:val="24"/>
              </w:rPr>
              <w:t>一</w:t>
            </w:r>
            <w:proofErr w:type="gramEnd"/>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sz w:val="24"/>
                <w:szCs w:val="24"/>
                <w:u w:color="000000"/>
                <w:shd w:val="clear" w:color="auto" w:fill="FFFFFF"/>
              </w:rPr>
              <w:t>狠抓园区建设。聚焦园区这一中心，加快推进</w:t>
            </w:r>
            <w:r w:rsidRPr="00257300">
              <w:rPr>
                <w:rFonts w:ascii="Times New Roman" w:hAnsi="Times New Roman"/>
                <w:sz w:val="24"/>
                <w:szCs w:val="24"/>
                <w:shd w:val="clear" w:color="auto" w:fill="FFFFFF"/>
                <w:lang/>
              </w:rPr>
              <w:t>白石岩片区开发力度，提升园区承载能力</w:t>
            </w:r>
            <w:r w:rsidRPr="00257300">
              <w:rPr>
                <w:rFonts w:ascii="Times New Roman" w:hAnsi="Times New Roman"/>
                <w:sz w:val="24"/>
                <w:szCs w:val="24"/>
              </w:rPr>
              <w:t>；</w:t>
            </w:r>
            <w:r w:rsidRPr="00257300">
              <w:rPr>
                <w:rFonts w:ascii="Times New Roman" w:hAnsi="Times New Roman"/>
                <w:sz w:val="24"/>
                <w:szCs w:val="24"/>
                <w:u w:color="000000"/>
                <w:shd w:val="clear" w:color="auto" w:fill="FFFFFF"/>
              </w:rPr>
              <w:t>加大园区</w:t>
            </w:r>
            <w:r w:rsidRPr="00257300">
              <w:rPr>
                <w:rFonts w:ascii="Times New Roman" w:hAnsi="Times New Roman"/>
                <w:spacing w:val="-6"/>
                <w:sz w:val="24"/>
                <w:szCs w:val="24"/>
              </w:rPr>
              <w:t>“</w:t>
            </w:r>
            <w:r w:rsidRPr="00257300">
              <w:rPr>
                <w:rFonts w:ascii="Times New Roman" w:hAnsi="Times New Roman"/>
                <w:spacing w:val="-6"/>
                <w:sz w:val="24"/>
                <w:szCs w:val="24"/>
              </w:rPr>
              <w:t>专精特新</w:t>
            </w:r>
            <w:r w:rsidRPr="00257300">
              <w:rPr>
                <w:rFonts w:ascii="Times New Roman" w:hAnsi="Times New Roman"/>
                <w:spacing w:val="-6"/>
                <w:sz w:val="24"/>
                <w:szCs w:val="24"/>
              </w:rPr>
              <w:t>”</w:t>
            </w:r>
            <w:r w:rsidRPr="00257300">
              <w:rPr>
                <w:rFonts w:ascii="Times New Roman" w:hAnsi="Times New Roman"/>
                <w:spacing w:val="-6"/>
                <w:sz w:val="24"/>
                <w:szCs w:val="24"/>
              </w:rPr>
              <w:t>项目</w:t>
            </w:r>
            <w:r w:rsidRPr="00257300">
              <w:rPr>
                <w:rFonts w:ascii="Times New Roman" w:hAnsi="Times New Roman"/>
                <w:sz w:val="24"/>
                <w:szCs w:val="24"/>
                <w:u w:color="000000"/>
                <w:shd w:val="clear" w:color="auto" w:fill="FFFFFF"/>
              </w:rPr>
              <w:t>扶持力度，坚决淘汰落后产能，</w:t>
            </w:r>
            <w:r w:rsidRPr="00257300">
              <w:rPr>
                <w:rFonts w:ascii="Times New Roman" w:hAnsi="Times New Roman"/>
                <w:sz w:val="24"/>
                <w:szCs w:val="24"/>
              </w:rPr>
              <w:t>推动园区工业产业集群发展；落实好园区财税扶持相关政策，</w:t>
            </w:r>
            <w:r w:rsidRPr="00257300">
              <w:rPr>
                <w:rFonts w:ascii="Times New Roman" w:hAnsi="Times New Roman"/>
                <w:sz w:val="24"/>
                <w:szCs w:val="24"/>
                <w:lang w:val="zh-CN"/>
              </w:rPr>
              <w:t>保障园区开发建设</w:t>
            </w:r>
            <w:r w:rsidRPr="00257300">
              <w:rPr>
                <w:rFonts w:ascii="Times New Roman" w:hAnsi="Times New Roman"/>
                <w:sz w:val="24"/>
                <w:szCs w:val="24"/>
              </w:rPr>
              <w:t>资金需求，</w:t>
            </w:r>
            <w:r w:rsidRPr="00257300">
              <w:rPr>
                <w:rFonts w:ascii="Times New Roman" w:hAnsi="Times New Roman"/>
                <w:sz w:val="24"/>
                <w:szCs w:val="24"/>
                <w:u w:color="000000"/>
                <w:shd w:val="clear" w:color="auto" w:fill="FFFFFF"/>
              </w:rPr>
              <w:t>以园区经济引领工业经济高质量发展。</w:t>
            </w:r>
          </w:p>
        </w:tc>
      </w:tr>
      <w:tr w:rsidR="00257300" w:rsidRPr="00257300" w:rsidTr="00257300">
        <w:trPr>
          <w:trHeight w:val="523"/>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sz w:val="24"/>
                <w:szCs w:val="24"/>
              </w:rPr>
            </w:pPr>
            <w:r w:rsidRPr="00257300">
              <w:rPr>
                <w:rFonts w:ascii="Times New Roman" w:hAnsi="Times New Roman"/>
                <w:sz w:val="24"/>
                <w:szCs w:val="24"/>
              </w:rPr>
              <w:t>当年完成事项</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b/>
                <w:bCs/>
                <w:sz w:val="24"/>
                <w:szCs w:val="24"/>
              </w:rPr>
              <w:t>一是</w:t>
            </w:r>
            <w:r w:rsidRPr="00257300">
              <w:rPr>
                <w:rFonts w:ascii="Times New Roman" w:hAnsi="Times New Roman"/>
                <w:bCs/>
                <w:sz w:val="24"/>
                <w:szCs w:val="24"/>
              </w:rPr>
              <w:t>积极争取</w:t>
            </w:r>
            <w:r w:rsidRPr="00257300">
              <w:rPr>
                <w:rFonts w:ascii="Times New Roman" w:hAnsi="Times New Roman"/>
                <w:sz w:val="24"/>
                <w:szCs w:val="24"/>
              </w:rPr>
              <w:t>市级政策支撑。市政府出台《支持富民县聚集钛产业进阶发展工业经济若干措施》支持富民县化工园区建设及发展；</w:t>
            </w:r>
            <w:r w:rsidRPr="00257300">
              <w:rPr>
                <w:rFonts w:ascii="Times New Roman" w:hAnsi="Times New Roman"/>
                <w:b/>
                <w:sz w:val="24"/>
                <w:szCs w:val="24"/>
              </w:rPr>
              <w:t>二是</w:t>
            </w:r>
            <w:r w:rsidRPr="00257300">
              <w:rPr>
                <w:rFonts w:ascii="Times New Roman" w:hAnsi="Times New Roman"/>
                <w:sz w:val="24"/>
                <w:szCs w:val="24"/>
              </w:rPr>
              <w:t>落实税收收入增量留用分享政策。印发《富民县落实省级分享税收收入增量留用实施细则》，助力园区激发内生发展动力，促进我县县域及园区经济高质量发展；</w:t>
            </w:r>
          </w:p>
        </w:tc>
      </w:tr>
      <w:tr w:rsidR="00257300" w:rsidRPr="00257300" w:rsidTr="00257300">
        <w:trPr>
          <w:trHeight w:val="525"/>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sz w:val="24"/>
                <w:szCs w:val="24"/>
              </w:rPr>
            </w:pPr>
            <w:r w:rsidRPr="00257300">
              <w:rPr>
                <w:rFonts w:ascii="Times New Roman" w:hAnsi="Times New Roman"/>
                <w:sz w:val="24"/>
                <w:szCs w:val="24"/>
              </w:rPr>
              <w:t>当年推动工作</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sz w:val="24"/>
                <w:szCs w:val="24"/>
              </w:rPr>
              <w:t>积极配合园区做好向上争取资金工作，协助园区申报预算内资金、超长期国债等上级补助项目。</w:t>
            </w:r>
          </w:p>
        </w:tc>
      </w:tr>
      <w:tr w:rsidR="00257300" w:rsidRPr="00257300" w:rsidTr="00257300">
        <w:trPr>
          <w:trHeight w:val="493"/>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sz w:val="24"/>
                <w:szCs w:val="24"/>
              </w:rPr>
            </w:pPr>
            <w:r w:rsidRPr="00257300">
              <w:rPr>
                <w:rFonts w:ascii="Times New Roman" w:hAnsi="Times New Roman"/>
                <w:sz w:val="24"/>
                <w:szCs w:val="24"/>
              </w:rPr>
              <w:t>明年待落实事项</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sz w:val="24"/>
                <w:szCs w:val="24"/>
              </w:rPr>
              <w:t>若园区申报项目落地，积极做好财政资金统筹。</w:t>
            </w:r>
          </w:p>
        </w:tc>
      </w:tr>
      <w:tr w:rsidR="00257300" w:rsidRPr="00257300" w:rsidTr="00257300">
        <w:trPr>
          <w:trHeight w:val="568"/>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b/>
                <w:sz w:val="24"/>
                <w:szCs w:val="24"/>
              </w:rPr>
            </w:pPr>
            <w:r w:rsidRPr="00257300">
              <w:rPr>
                <w:rFonts w:ascii="Times New Roman" w:hAnsi="Times New Roman"/>
                <w:b/>
                <w:sz w:val="24"/>
                <w:szCs w:val="24"/>
              </w:rPr>
              <w:t>建议二</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sz w:val="24"/>
                <w:szCs w:val="24"/>
                <w:u w:color="000000"/>
                <w:shd w:val="clear" w:color="auto" w:fill="FFFFFF"/>
              </w:rPr>
              <w:t>扩大税基容量。</w:t>
            </w:r>
            <w:r w:rsidRPr="00257300">
              <w:rPr>
                <w:rFonts w:ascii="Times New Roman" w:hAnsi="Times New Roman"/>
                <w:sz w:val="24"/>
                <w:szCs w:val="24"/>
              </w:rPr>
              <w:t>全面分析我县重点产业的分布和区域竞合关系，立足区域的整体利益和目标，以做大产业集群为核心，有针对性的招大引强，做大产业集群。</w:t>
            </w:r>
          </w:p>
        </w:tc>
      </w:tr>
      <w:tr w:rsidR="00257300" w:rsidRPr="00257300" w:rsidTr="00257300">
        <w:trPr>
          <w:trHeight w:val="523"/>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sz w:val="24"/>
                <w:szCs w:val="24"/>
              </w:rPr>
            </w:pPr>
            <w:r w:rsidRPr="00257300">
              <w:rPr>
                <w:rFonts w:ascii="Times New Roman" w:hAnsi="Times New Roman"/>
                <w:sz w:val="24"/>
                <w:szCs w:val="24"/>
              </w:rPr>
              <w:t>当年完成事项</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sz w:val="24"/>
                <w:szCs w:val="24"/>
              </w:rPr>
              <w:t>富民县税务局结合税收工作职能，积极获取外部数据开展行业分析。目前正在撰写《用税收推进产业发展》的分析报告，富民县税务局从富民县不动产中心获取的全县不动产登记信息，结合</w:t>
            </w:r>
            <w:proofErr w:type="gramStart"/>
            <w:r w:rsidRPr="00257300">
              <w:rPr>
                <w:rFonts w:ascii="Times New Roman" w:hAnsi="Times New Roman"/>
                <w:sz w:val="24"/>
                <w:szCs w:val="24"/>
              </w:rPr>
              <w:t>税务金</w:t>
            </w:r>
            <w:proofErr w:type="gramEnd"/>
            <w:r w:rsidRPr="00257300">
              <w:rPr>
                <w:rFonts w:ascii="Times New Roman" w:hAnsi="Times New Roman"/>
                <w:sz w:val="24"/>
                <w:szCs w:val="24"/>
              </w:rPr>
              <w:t>三系统房源登记信息，对税收收入与企业登记的房产建筑面积关系进行分析，就引进企业方面提出税务建议。</w:t>
            </w:r>
          </w:p>
        </w:tc>
      </w:tr>
      <w:tr w:rsidR="00257300" w:rsidRPr="00257300" w:rsidTr="00257300">
        <w:trPr>
          <w:trHeight w:val="523"/>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sz w:val="24"/>
                <w:szCs w:val="24"/>
              </w:rPr>
            </w:pPr>
            <w:r w:rsidRPr="00257300">
              <w:rPr>
                <w:rFonts w:ascii="Times New Roman" w:hAnsi="Times New Roman"/>
                <w:sz w:val="24"/>
                <w:szCs w:val="24"/>
              </w:rPr>
              <w:t>当年推动工作</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bCs/>
                <w:sz w:val="24"/>
                <w:szCs w:val="24"/>
              </w:rPr>
              <w:t>聚焦</w:t>
            </w:r>
            <w:r w:rsidRPr="00257300">
              <w:rPr>
                <w:rFonts w:ascii="Times New Roman" w:hAnsi="Times New Roman"/>
                <w:bCs/>
                <w:sz w:val="24"/>
                <w:szCs w:val="24"/>
              </w:rPr>
              <w:t>“</w:t>
            </w:r>
            <w:r w:rsidRPr="00257300">
              <w:rPr>
                <w:rFonts w:ascii="Times New Roman" w:hAnsi="Times New Roman"/>
                <w:bCs/>
                <w:sz w:val="24"/>
                <w:szCs w:val="24"/>
              </w:rPr>
              <w:t>接得住、留得下、玩得好</w:t>
            </w:r>
            <w:r w:rsidRPr="00257300">
              <w:rPr>
                <w:rFonts w:ascii="Times New Roman" w:hAnsi="Times New Roman"/>
                <w:bCs/>
                <w:sz w:val="24"/>
                <w:szCs w:val="24"/>
              </w:rPr>
              <w:t>”</w:t>
            </w:r>
            <w:r w:rsidRPr="00257300">
              <w:rPr>
                <w:rFonts w:ascii="Times New Roman" w:hAnsi="Times New Roman"/>
                <w:bCs/>
                <w:sz w:val="24"/>
                <w:szCs w:val="24"/>
              </w:rPr>
              <w:t>目标，</w:t>
            </w:r>
            <w:r w:rsidRPr="00257300">
              <w:rPr>
                <w:rFonts w:ascii="Times New Roman" w:hAnsi="Times New Roman"/>
                <w:snapToGrid w:val="0"/>
                <w:sz w:val="24"/>
                <w:szCs w:val="24"/>
              </w:rPr>
              <w:t>拓展生态露营、温泉养生、农事体验等业态，</w:t>
            </w:r>
            <w:r w:rsidRPr="00257300">
              <w:rPr>
                <w:rFonts w:ascii="Times New Roman" w:hAnsi="Times New Roman"/>
                <w:sz w:val="24"/>
                <w:szCs w:val="24"/>
                <w:lang/>
              </w:rPr>
              <w:t>聚力提升天马山</w:t>
            </w:r>
            <w:r w:rsidRPr="00257300">
              <w:rPr>
                <w:rFonts w:ascii="Times New Roman" w:hAnsi="Times New Roman"/>
                <w:sz w:val="24"/>
                <w:szCs w:val="24"/>
                <w:lang/>
              </w:rPr>
              <w:t>—</w:t>
            </w:r>
            <w:proofErr w:type="gramStart"/>
            <w:r w:rsidRPr="00257300">
              <w:rPr>
                <w:rFonts w:ascii="Times New Roman" w:hAnsi="Times New Roman"/>
                <w:sz w:val="24"/>
                <w:szCs w:val="24"/>
                <w:lang/>
              </w:rPr>
              <w:t>明熙苑</w:t>
            </w:r>
            <w:proofErr w:type="gramEnd"/>
            <w:r w:rsidRPr="00257300">
              <w:rPr>
                <w:rFonts w:ascii="Times New Roman" w:hAnsi="Times New Roman"/>
                <w:sz w:val="24"/>
                <w:szCs w:val="24"/>
                <w:lang/>
              </w:rPr>
              <w:t>片区</w:t>
            </w:r>
            <w:r w:rsidRPr="00257300">
              <w:rPr>
                <w:rFonts w:ascii="Times New Roman" w:hAnsi="Times New Roman"/>
                <w:sz w:val="24"/>
                <w:szCs w:val="24"/>
                <w:lang/>
              </w:rPr>
              <w:t>—</w:t>
            </w:r>
            <w:r w:rsidRPr="00257300">
              <w:rPr>
                <w:rFonts w:ascii="Times New Roman" w:hAnsi="Times New Roman"/>
                <w:sz w:val="24"/>
                <w:szCs w:val="24"/>
                <w:lang/>
              </w:rPr>
              <w:t>徐霞客游线</w:t>
            </w:r>
            <w:r w:rsidRPr="00257300">
              <w:rPr>
                <w:rFonts w:ascii="Times New Roman" w:hAnsi="Times New Roman"/>
                <w:sz w:val="24"/>
                <w:szCs w:val="24"/>
                <w:lang/>
              </w:rPr>
              <w:t>—</w:t>
            </w:r>
            <w:r w:rsidRPr="00257300">
              <w:rPr>
                <w:rFonts w:ascii="Times New Roman" w:hAnsi="Times New Roman"/>
                <w:sz w:val="24"/>
                <w:szCs w:val="24"/>
                <w:lang/>
              </w:rPr>
              <w:t>半山耕云田园综合体示范效应，提高餐饮、娱乐、住宿等配套承接水平，实现提质增效。全年实现接待游客</w:t>
            </w:r>
            <w:r w:rsidRPr="00257300">
              <w:rPr>
                <w:rFonts w:ascii="Times New Roman" w:hAnsi="Times New Roman"/>
                <w:sz w:val="24"/>
                <w:szCs w:val="24"/>
                <w:lang/>
              </w:rPr>
              <w:t>500</w:t>
            </w:r>
            <w:r w:rsidRPr="00257300">
              <w:rPr>
                <w:rFonts w:ascii="Times New Roman" w:hAnsi="Times New Roman"/>
                <w:sz w:val="24"/>
                <w:szCs w:val="24"/>
                <w:lang/>
              </w:rPr>
              <w:t>万人次以上，旅游营业收入增长</w:t>
            </w:r>
            <w:r w:rsidRPr="00257300">
              <w:rPr>
                <w:rFonts w:ascii="Times New Roman" w:hAnsi="Times New Roman"/>
                <w:sz w:val="24"/>
                <w:szCs w:val="24"/>
                <w:lang/>
              </w:rPr>
              <w:lastRenderedPageBreak/>
              <w:t>126%</w:t>
            </w:r>
          </w:p>
        </w:tc>
      </w:tr>
      <w:tr w:rsidR="00257300" w:rsidRPr="00257300" w:rsidTr="00257300">
        <w:trPr>
          <w:trHeight w:val="523"/>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sz w:val="24"/>
                <w:szCs w:val="24"/>
              </w:rPr>
            </w:pPr>
            <w:r w:rsidRPr="00257300">
              <w:rPr>
                <w:rFonts w:ascii="Times New Roman" w:hAnsi="Times New Roman"/>
                <w:sz w:val="24"/>
                <w:szCs w:val="24"/>
              </w:rPr>
              <w:t>待明年落实事项</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pStyle w:val="1"/>
              <w:framePr w:hSpace="0" w:wrap="auto" w:vAnchor="margin" w:hAnchor="text" w:xAlign="left" w:yAlign="inline"/>
              <w:ind w:firstLineChars="0" w:firstLine="0"/>
              <w:suppressOverlap w:val="0"/>
              <w:jc w:val="both"/>
              <w:rPr>
                <w:rFonts w:ascii="Times New Roman" w:eastAsia="仿宋_GB2312"/>
                <w:szCs w:val="24"/>
              </w:rPr>
            </w:pPr>
            <w:r w:rsidRPr="00257300">
              <w:rPr>
                <w:rFonts w:ascii="Times New Roman" w:eastAsia="仿宋_GB2312"/>
                <w:b/>
                <w:bCs/>
                <w:szCs w:val="24"/>
              </w:rPr>
              <w:t>一是</w:t>
            </w:r>
            <w:r w:rsidRPr="00257300">
              <w:rPr>
                <w:rFonts w:ascii="Times New Roman" w:eastAsia="仿宋_GB2312"/>
                <w:szCs w:val="24"/>
              </w:rPr>
              <w:t>强化政策支持积极推动相关优惠政策的落实，吸引</w:t>
            </w:r>
            <w:proofErr w:type="gramStart"/>
            <w:r w:rsidRPr="00257300">
              <w:rPr>
                <w:rFonts w:ascii="Times New Roman" w:eastAsia="仿宋_GB2312"/>
                <w:szCs w:val="24"/>
              </w:rPr>
              <w:t>更多文旅企业</w:t>
            </w:r>
            <w:proofErr w:type="gramEnd"/>
            <w:r w:rsidRPr="00257300">
              <w:rPr>
                <w:rFonts w:ascii="Times New Roman" w:eastAsia="仿宋_GB2312"/>
                <w:szCs w:val="24"/>
              </w:rPr>
              <w:t>入驻，激发市场活力。加强与税务部门的协作，确保政策执行到位。二</w:t>
            </w:r>
            <w:r w:rsidRPr="00257300">
              <w:rPr>
                <w:rFonts w:ascii="Times New Roman" w:eastAsia="仿宋_GB2312"/>
                <w:b/>
                <w:bCs/>
                <w:szCs w:val="24"/>
              </w:rPr>
              <w:t>是</w:t>
            </w:r>
            <w:r w:rsidRPr="00257300">
              <w:rPr>
                <w:rFonts w:ascii="Times New Roman" w:eastAsia="仿宋_GB2312"/>
                <w:szCs w:val="24"/>
              </w:rPr>
              <w:t>优化产业布局，加大对</w:t>
            </w:r>
            <w:proofErr w:type="gramStart"/>
            <w:r w:rsidRPr="00257300">
              <w:rPr>
                <w:rFonts w:ascii="Times New Roman" w:eastAsia="仿宋_GB2312"/>
                <w:szCs w:val="24"/>
              </w:rPr>
              <w:t>文旅产业</w:t>
            </w:r>
            <w:proofErr w:type="gramEnd"/>
            <w:r w:rsidRPr="00257300">
              <w:rPr>
                <w:rFonts w:ascii="Times New Roman" w:eastAsia="仿宋_GB2312"/>
                <w:szCs w:val="24"/>
              </w:rPr>
              <w:t>的规划和引导，促进产业集聚发展。扶持</w:t>
            </w:r>
            <w:proofErr w:type="gramStart"/>
            <w:r w:rsidRPr="00257300">
              <w:rPr>
                <w:rFonts w:ascii="Times New Roman" w:eastAsia="仿宋_GB2312"/>
                <w:szCs w:val="24"/>
              </w:rPr>
              <w:t>特色文旅项目</w:t>
            </w:r>
            <w:proofErr w:type="gramEnd"/>
            <w:r w:rsidRPr="00257300">
              <w:rPr>
                <w:rFonts w:ascii="Times New Roman" w:eastAsia="仿宋_GB2312"/>
                <w:szCs w:val="24"/>
              </w:rPr>
              <w:t>，提升产业附加值。</w:t>
            </w:r>
            <w:r w:rsidRPr="00257300">
              <w:rPr>
                <w:rFonts w:ascii="Times New Roman" w:eastAsia="仿宋_GB2312"/>
                <w:b/>
                <w:bCs/>
                <w:szCs w:val="24"/>
              </w:rPr>
              <w:t>三是</w:t>
            </w:r>
            <w:r w:rsidRPr="00257300">
              <w:rPr>
                <w:rFonts w:ascii="Times New Roman" w:eastAsia="仿宋_GB2312"/>
                <w:szCs w:val="24"/>
              </w:rPr>
              <w:t>提升服务质量，加强对</w:t>
            </w:r>
            <w:proofErr w:type="gramStart"/>
            <w:r w:rsidRPr="00257300">
              <w:rPr>
                <w:rFonts w:ascii="Times New Roman" w:eastAsia="仿宋_GB2312"/>
                <w:szCs w:val="24"/>
              </w:rPr>
              <w:t>文旅企业</w:t>
            </w:r>
            <w:proofErr w:type="gramEnd"/>
            <w:r w:rsidRPr="00257300">
              <w:rPr>
                <w:rFonts w:ascii="Times New Roman" w:eastAsia="仿宋_GB2312"/>
                <w:szCs w:val="24"/>
              </w:rPr>
              <w:t>的服务和指导，帮助企业解决实际问题。改善营商环境，吸引更多投资。</w:t>
            </w:r>
          </w:p>
        </w:tc>
      </w:tr>
      <w:tr w:rsidR="00257300" w:rsidRPr="00257300" w:rsidTr="00257300">
        <w:trPr>
          <w:trHeight w:val="523"/>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b/>
                <w:sz w:val="24"/>
                <w:szCs w:val="24"/>
              </w:rPr>
            </w:pPr>
            <w:r w:rsidRPr="00257300">
              <w:rPr>
                <w:rFonts w:ascii="Times New Roman" w:hAnsi="Times New Roman"/>
                <w:b/>
                <w:sz w:val="24"/>
                <w:szCs w:val="24"/>
              </w:rPr>
              <w:t>建议三</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sz w:val="24"/>
                <w:szCs w:val="24"/>
                <w:u w:color="000000"/>
                <w:shd w:val="clear" w:color="auto" w:fill="FFFFFF"/>
              </w:rPr>
              <w:t>涵养优质税源。</w:t>
            </w:r>
            <w:r w:rsidRPr="00257300">
              <w:rPr>
                <w:rFonts w:ascii="Times New Roman" w:hAnsi="Times New Roman"/>
                <w:sz w:val="24"/>
                <w:szCs w:val="24"/>
              </w:rPr>
              <w:t>加强对税源企业的培育，落实好各项税收优惠政策，及时掌握企业的生产经营情况，解决存在的问题，增强企业发展信心；及时兑现惠</w:t>
            </w:r>
            <w:proofErr w:type="gramStart"/>
            <w:r w:rsidRPr="00257300">
              <w:rPr>
                <w:rFonts w:ascii="Times New Roman" w:hAnsi="Times New Roman"/>
                <w:sz w:val="24"/>
                <w:szCs w:val="24"/>
              </w:rPr>
              <w:t>企政策</w:t>
            </w:r>
            <w:proofErr w:type="gramEnd"/>
            <w:r w:rsidRPr="00257300">
              <w:rPr>
                <w:rFonts w:ascii="Times New Roman" w:hAnsi="Times New Roman"/>
                <w:sz w:val="24"/>
                <w:szCs w:val="24"/>
              </w:rPr>
              <w:t>奖励资金，巩固存量；</w:t>
            </w:r>
            <w:r w:rsidRPr="00257300">
              <w:rPr>
                <w:rFonts w:ascii="Times New Roman" w:hAnsi="Times New Roman"/>
                <w:sz w:val="24"/>
                <w:szCs w:val="24"/>
                <w:u w:color="000000"/>
                <w:shd w:val="clear" w:color="auto" w:fill="FFFFFF"/>
              </w:rPr>
              <w:t>把握以项目数量为基础、以项目质量为根本</w:t>
            </w:r>
            <w:proofErr w:type="gramStart"/>
            <w:r w:rsidRPr="00257300">
              <w:rPr>
                <w:rFonts w:ascii="Times New Roman" w:hAnsi="Times New Roman"/>
                <w:sz w:val="24"/>
                <w:szCs w:val="24"/>
                <w:u w:color="000000"/>
                <w:shd w:val="clear" w:color="auto" w:fill="FFFFFF"/>
              </w:rPr>
              <w:t>的选资导向</w:t>
            </w:r>
            <w:proofErr w:type="gramEnd"/>
            <w:r w:rsidRPr="00257300">
              <w:rPr>
                <w:rFonts w:ascii="Times New Roman" w:hAnsi="Times New Roman"/>
                <w:sz w:val="24"/>
                <w:szCs w:val="24"/>
                <w:u w:color="000000"/>
                <w:shd w:val="clear" w:color="auto" w:fill="FFFFFF"/>
              </w:rPr>
              <w:t>，注重引进前景好的企业，</w:t>
            </w:r>
            <w:r w:rsidRPr="00257300">
              <w:rPr>
                <w:rFonts w:ascii="Times New Roman" w:hAnsi="Times New Roman"/>
                <w:sz w:val="24"/>
                <w:szCs w:val="24"/>
              </w:rPr>
              <w:t>做大增量</w:t>
            </w:r>
            <w:r w:rsidRPr="00257300">
              <w:rPr>
                <w:rFonts w:ascii="Times New Roman" w:hAnsi="Times New Roman"/>
                <w:sz w:val="24"/>
                <w:szCs w:val="24"/>
                <w:u w:color="000000"/>
                <w:shd w:val="clear" w:color="auto" w:fill="FFFFFF"/>
              </w:rPr>
              <w:t>。</w:t>
            </w:r>
          </w:p>
        </w:tc>
      </w:tr>
      <w:tr w:rsidR="00257300" w:rsidRPr="00257300" w:rsidTr="00257300">
        <w:trPr>
          <w:trHeight w:val="523"/>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sz w:val="24"/>
                <w:szCs w:val="24"/>
              </w:rPr>
            </w:pPr>
            <w:r w:rsidRPr="00257300">
              <w:rPr>
                <w:rFonts w:ascii="Times New Roman" w:hAnsi="Times New Roman"/>
                <w:sz w:val="24"/>
                <w:szCs w:val="24"/>
              </w:rPr>
              <w:t>当年完成事项</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sz w:val="24"/>
                <w:szCs w:val="24"/>
              </w:rPr>
              <w:t>一是为扎实推进各项税费优惠政策落实落细，持续优化税收营商环境，有效防控税收执法风险，依法依规开展组织税费收入工作。县财政局、县税务局于</w:t>
            </w:r>
            <w:r w:rsidRPr="00257300">
              <w:rPr>
                <w:rFonts w:ascii="Times New Roman" w:hAnsi="Times New Roman"/>
                <w:sz w:val="24"/>
                <w:szCs w:val="24"/>
              </w:rPr>
              <w:t>2024</w:t>
            </w:r>
            <w:r w:rsidRPr="00257300">
              <w:rPr>
                <w:rFonts w:ascii="Times New Roman" w:hAnsi="Times New Roman"/>
                <w:sz w:val="24"/>
                <w:szCs w:val="24"/>
              </w:rPr>
              <w:t>年</w:t>
            </w:r>
            <w:r w:rsidRPr="00257300">
              <w:rPr>
                <w:rFonts w:ascii="Times New Roman" w:hAnsi="Times New Roman"/>
                <w:sz w:val="24"/>
                <w:szCs w:val="24"/>
              </w:rPr>
              <w:t>2</w:t>
            </w:r>
            <w:r w:rsidRPr="00257300">
              <w:rPr>
                <w:rFonts w:ascii="Times New Roman" w:hAnsi="Times New Roman"/>
                <w:sz w:val="24"/>
                <w:szCs w:val="24"/>
              </w:rPr>
              <w:t>月向县委县政府报送《富民县税务局关于</w:t>
            </w:r>
            <w:r w:rsidRPr="00257300">
              <w:rPr>
                <w:rFonts w:ascii="Times New Roman" w:hAnsi="Times New Roman"/>
                <w:sz w:val="24"/>
                <w:szCs w:val="24"/>
              </w:rPr>
              <w:t>2023</w:t>
            </w:r>
            <w:r w:rsidRPr="00257300">
              <w:rPr>
                <w:rFonts w:ascii="Times New Roman" w:hAnsi="Times New Roman"/>
                <w:sz w:val="24"/>
                <w:szCs w:val="24"/>
              </w:rPr>
              <w:t>年组织收入完成情况和</w:t>
            </w:r>
            <w:r w:rsidRPr="00257300">
              <w:rPr>
                <w:rFonts w:ascii="Times New Roman" w:hAnsi="Times New Roman"/>
                <w:sz w:val="24"/>
                <w:szCs w:val="24"/>
              </w:rPr>
              <w:t>2024</w:t>
            </w:r>
            <w:r w:rsidRPr="00257300">
              <w:rPr>
                <w:rFonts w:ascii="Times New Roman" w:hAnsi="Times New Roman"/>
                <w:sz w:val="24"/>
                <w:szCs w:val="24"/>
              </w:rPr>
              <w:t>年组织收入形势的分析报告》，就</w:t>
            </w:r>
            <w:r w:rsidRPr="00257300">
              <w:rPr>
                <w:rFonts w:ascii="Times New Roman" w:hAnsi="Times New Roman"/>
                <w:sz w:val="24"/>
                <w:szCs w:val="24"/>
              </w:rPr>
              <w:t>2023</w:t>
            </w:r>
            <w:r w:rsidRPr="00257300">
              <w:rPr>
                <w:rFonts w:ascii="Times New Roman" w:hAnsi="Times New Roman"/>
                <w:sz w:val="24"/>
                <w:szCs w:val="24"/>
              </w:rPr>
              <w:t>年组织收入情况、税源结构情况、当前存在的困难以及组织收入的办法措施进行汇报；二是为进一步提升税收征管精准度和规范化，确保富民财政收入稳步增长，县税务局立足于自身职能，认真落实组织收入原则，协同多部门充分发挥税收共治机制效能，多</w:t>
            </w:r>
            <w:proofErr w:type="gramStart"/>
            <w:r w:rsidRPr="00257300">
              <w:rPr>
                <w:rFonts w:ascii="Times New Roman" w:hAnsi="Times New Roman"/>
                <w:sz w:val="24"/>
                <w:szCs w:val="24"/>
              </w:rPr>
              <w:t>措</w:t>
            </w:r>
            <w:proofErr w:type="gramEnd"/>
            <w:r w:rsidRPr="00257300">
              <w:rPr>
                <w:rFonts w:ascii="Times New Roman" w:hAnsi="Times New Roman"/>
                <w:sz w:val="24"/>
                <w:szCs w:val="24"/>
              </w:rPr>
              <w:t>并举高质量推动税收现代化服务富民地方经济，于</w:t>
            </w:r>
            <w:r w:rsidRPr="00257300">
              <w:rPr>
                <w:rFonts w:ascii="Times New Roman" w:hAnsi="Times New Roman"/>
                <w:sz w:val="24"/>
                <w:szCs w:val="24"/>
              </w:rPr>
              <w:t>2024</w:t>
            </w:r>
            <w:r w:rsidRPr="00257300">
              <w:rPr>
                <w:rFonts w:ascii="Times New Roman" w:hAnsi="Times New Roman"/>
                <w:sz w:val="24"/>
                <w:szCs w:val="24"/>
              </w:rPr>
              <w:t>年</w:t>
            </w:r>
            <w:r w:rsidRPr="00257300">
              <w:rPr>
                <w:rFonts w:ascii="Times New Roman" w:hAnsi="Times New Roman"/>
                <w:sz w:val="24"/>
                <w:szCs w:val="24"/>
              </w:rPr>
              <w:t>4</w:t>
            </w:r>
            <w:r w:rsidRPr="00257300">
              <w:rPr>
                <w:rFonts w:ascii="Times New Roman" w:hAnsi="Times New Roman"/>
                <w:sz w:val="24"/>
                <w:szCs w:val="24"/>
              </w:rPr>
              <w:t>月向县委县政府报送《国家税务总局富民县税务局关于构建税收共治格局及组织收入有关措施的调研报告》。</w:t>
            </w:r>
          </w:p>
        </w:tc>
      </w:tr>
      <w:tr w:rsidR="00257300" w:rsidRPr="00257300" w:rsidTr="00257300">
        <w:trPr>
          <w:trHeight w:val="523"/>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sz w:val="24"/>
                <w:szCs w:val="24"/>
              </w:rPr>
            </w:pPr>
            <w:r w:rsidRPr="00257300">
              <w:rPr>
                <w:rFonts w:ascii="Times New Roman" w:hAnsi="Times New Roman"/>
                <w:sz w:val="24"/>
                <w:szCs w:val="24"/>
              </w:rPr>
              <w:t>当年推动工作</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sz w:val="24"/>
                <w:szCs w:val="24"/>
              </w:rPr>
              <w:t>持续做好各类税费政策的落实和宣导工作，协助企业申报惠</w:t>
            </w:r>
            <w:proofErr w:type="gramStart"/>
            <w:r w:rsidRPr="00257300">
              <w:rPr>
                <w:rFonts w:ascii="Times New Roman" w:hAnsi="Times New Roman"/>
                <w:sz w:val="24"/>
                <w:szCs w:val="24"/>
              </w:rPr>
              <w:t>企政策</w:t>
            </w:r>
            <w:proofErr w:type="gramEnd"/>
            <w:r w:rsidRPr="00257300">
              <w:rPr>
                <w:rFonts w:ascii="Times New Roman" w:hAnsi="Times New Roman"/>
                <w:sz w:val="24"/>
                <w:szCs w:val="24"/>
              </w:rPr>
              <w:t>并及时兑现，税费支持政策和扶持政策应享尽享，激发企业内生动力，增强企业发展信心。</w:t>
            </w:r>
          </w:p>
        </w:tc>
      </w:tr>
      <w:tr w:rsidR="00257300" w:rsidRPr="00257300" w:rsidTr="00257300">
        <w:trPr>
          <w:trHeight w:val="523"/>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sz w:val="24"/>
                <w:szCs w:val="24"/>
              </w:rPr>
            </w:pPr>
            <w:r w:rsidRPr="00257300">
              <w:rPr>
                <w:rFonts w:ascii="Times New Roman" w:hAnsi="Times New Roman"/>
                <w:sz w:val="24"/>
                <w:szCs w:val="24"/>
              </w:rPr>
              <w:t>待明年落实事项</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sz w:val="24"/>
                <w:szCs w:val="24"/>
              </w:rPr>
              <w:t>常态</w:t>
            </w:r>
            <w:proofErr w:type="gramStart"/>
            <w:r w:rsidRPr="00257300">
              <w:rPr>
                <w:rFonts w:ascii="Times New Roman" w:hAnsi="Times New Roman"/>
                <w:sz w:val="24"/>
                <w:szCs w:val="24"/>
              </w:rPr>
              <w:t>化开展</w:t>
            </w:r>
            <w:proofErr w:type="gramEnd"/>
            <w:r w:rsidRPr="00257300">
              <w:rPr>
                <w:rFonts w:ascii="Times New Roman" w:hAnsi="Times New Roman"/>
                <w:sz w:val="24"/>
                <w:szCs w:val="24"/>
                <w:u w:color="000000"/>
                <w:shd w:val="clear" w:color="auto" w:fill="FFFFFF"/>
              </w:rPr>
              <w:t>涵养税源，培育优质税源工作。</w:t>
            </w:r>
          </w:p>
        </w:tc>
      </w:tr>
      <w:tr w:rsidR="00257300" w:rsidRPr="00257300" w:rsidTr="00257300">
        <w:trPr>
          <w:trHeight w:val="523"/>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b/>
                <w:sz w:val="24"/>
                <w:szCs w:val="24"/>
              </w:rPr>
            </w:pPr>
            <w:r w:rsidRPr="00257300">
              <w:rPr>
                <w:rFonts w:ascii="Times New Roman" w:hAnsi="Times New Roman"/>
                <w:b/>
                <w:sz w:val="24"/>
                <w:szCs w:val="24"/>
              </w:rPr>
              <w:t>建议四</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sz w:val="24"/>
                <w:szCs w:val="24"/>
                <w:u w:color="000000"/>
                <w:shd w:val="clear" w:color="auto" w:fill="FFFFFF"/>
              </w:rPr>
              <w:t>加强税源管控。</w:t>
            </w:r>
            <w:r w:rsidRPr="00257300">
              <w:rPr>
                <w:rFonts w:ascii="Times New Roman" w:hAnsi="Times New Roman"/>
                <w:sz w:val="24"/>
                <w:szCs w:val="24"/>
              </w:rPr>
              <w:t>坚持财税部门收入分析工作机制，强化税收效应分析，结合税源情况，分级分类建立税源监控台账，对重点企业进行动态监控，抓牢年纳税额</w:t>
            </w:r>
            <w:r w:rsidRPr="00257300">
              <w:rPr>
                <w:rFonts w:ascii="Times New Roman" w:hAnsi="Times New Roman"/>
                <w:sz w:val="24"/>
                <w:szCs w:val="24"/>
              </w:rPr>
              <w:t>10</w:t>
            </w:r>
            <w:r w:rsidRPr="00257300">
              <w:rPr>
                <w:rFonts w:ascii="Times New Roman" w:hAnsi="Times New Roman"/>
                <w:sz w:val="24"/>
                <w:szCs w:val="24"/>
              </w:rPr>
              <w:t>万元以上重点税源的管控，防止税源流失、税收跑冒滴漏</w:t>
            </w:r>
          </w:p>
        </w:tc>
      </w:tr>
      <w:tr w:rsidR="00257300" w:rsidRPr="00257300" w:rsidTr="00257300">
        <w:trPr>
          <w:trHeight w:val="523"/>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sz w:val="24"/>
                <w:szCs w:val="24"/>
              </w:rPr>
            </w:pPr>
            <w:r w:rsidRPr="00257300">
              <w:rPr>
                <w:rFonts w:ascii="Times New Roman" w:hAnsi="Times New Roman"/>
                <w:sz w:val="24"/>
                <w:szCs w:val="24"/>
              </w:rPr>
              <w:t>当年完成事项</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sz w:val="24"/>
                <w:szCs w:val="24"/>
              </w:rPr>
              <w:t>富民县税务局目前按月开展全口径税费收入情况分析，从分税种、分行业、税务总局监控的</w:t>
            </w:r>
            <w:r w:rsidRPr="00257300">
              <w:rPr>
                <w:rFonts w:ascii="Times New Roman" w:hAnsi="Times New Roman"/>
                <w:sz w:val="24"/>
                <w:szCs w:val="24"/>
              </w:rPr>
              <w:lastRenderedPageBreak/>
              <w:t>重点税源企业、非税收入、社会保险费收入等方面进行分析，传送至县政府、县财政局、县统计局、县审计局、县人大财经委等相关部门传阅。</w:t>
            </w:r>
          </w:p>
        </w:tc>
      </w:tr>
      <w:tr w:rsidR="00257300" w:rsidRPr="00257300" w:rsidTr="00257300">
        <w:trPr>
          <w:trHeight w:val="523"/>
          <w:jc w:val="center"/>
        </w:trPr>
        <w:tc>
          <w:tcPr>
            <w:tcW w:w="625" w:type="dxa"/>
            <w:vMerge/>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jc w:val="center"/>
              <w:rPr>
                <w:rFonts w:ascii="Times New Roman" w:hAnsi="Times New Roman"/>
                <w:sz w:val="24"/>
                <w:szCs w:val="24"/>
              </w:rPr>
            </w:pPr>
            <w:r w:rsidRPr="00257300">
              <w:rPr>
                <w:rFonts w:ascii="Times New Roman" w:hAnsi="Times New Roman"/>
                <w:sz w:val="24"/>
                <w:szCs w:val="24"/>
              </w:rPr>
              <w:t>当年推动工作</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spacing w:line="0" w:lineRule="atLeast"/>
              <w:rPr>
                <w:rFonts w:ascii="Times New Roman" w:hAnsi="Times New Roman"/>
                <w:sz w:val="24"/>
                <w:szCs w:val="24"/>
              </w:rPr>
            </w:pPr>
            <w:r w:rsidRPr="00257300">
              <w:rPr>
                <w:rFonts w:ascii="Times New Roman" w:hAnsi="Times New Roman"/>
                <w:sz w:val="24"/>
                <w:szCs w:val="24"/>
              </w:rPr>
              <w:t>一是定期召开财税分析联系会议。由县财政局、县税务局牵头每月</w:t>
            </w:r>
            <w:r w:rsidRPr="00257300">
              <w:rPr>
                <w:rFonts w:ascii="Times New Roman" w:hAnsi="Times New Roman"/>
                <w:sz w:val="24"/>
                <w:szCs w:val="24"/>
              </w:rPr>
              <w:t>23</w:t>
            </w:r>
            <w:r w:rsidRPr="00257300">
              <w:rPr>
                <w:rFonts w:ascii="Times New Roman" w:hAnsi="Times New Roman"/>
                <w:sz w:val="24"/>
                <w:szCs w:val="24"/>
              </w:rPr>
              <w:t>日召开财税分析专题会，根据当月预计完成事项召集相关行管部门及各镇（街道）主要负责人共同会商协税护税工作推进；二是按月统计纳税</w:t>
            </w:r>
            <w:r w:rsidRPr="00257300">
              <w:rPr>
                <w:rFonts w:ascii="Times New Roman" w:hAnsi="Times New Roman"/>
                <w:sz w:val="24"/>
                <w:szCs w:val="24"/>
              </w:rPr>
              <w:t>10</w:t>
            </w:r>
            <w:r w:rsidRPr="00257300">
              <w:rPr>
                <w:rFonts w:ascii="Times New Roman" w:hAnsi="Times New Roman"/>
                <w:sz w:val="24"/>
                <w:szCs w:val="24"/>
              </w:rPr>
              <w:t>万元以上企业名单、四上企业纳税情况、税收分产业情况表、非公经济统计表、财政收支分析表（对一般预算收入分税种情况进行增减因素分析）并报送县财政局，为领导决策提供数据支撑，便于县级领导和行管部门及时掌握富民县税收经济运行情况。三是构建税收共治新体系，与行管部门和各镇街联合行动，加强跨区域涉税事项管理，加强富民县在建工程监控，防止税源流失，确保建安企业税款及时准确入库。四是强化税种管理，优化税收环境，</w:t>
            </w:r>
            <w:proofErr w:type="gramStart"/>
            <w:r w:rsidRPr="00257300">
              <w:rPr>
                <w:rFonts w:ascii="Times New Roman" w:hAnsi="Times New Roman"/>
                <w:sz w:val="24"/>
                <w:szCs w:val="24"/>
              </w:rPr>
              <w:t>开展房土两</w:t>
            </w:r>
            <w:proofErr w:type="gramEnd"/>
            <w:r w:rsidRPr="00257300">
              <w:rPr>
                <w:rFonts w:ascii="Times New Roman" w:hAnsi="Times New Roman"/>
                <w:sz w:val="24"/>
                <w:szCs w:val="24"/>
              </w:rPr>
              <w:t>税申报数据与不动产中心登记数据比对，核实是否存在漏缴情况看，如果存在，及时督促纳税人补缴税款。</w:t>
            </w:r>
          </w:p>
        </w:tc>
      </w:tr>
      <w:tr w:rsidR="00257300" w:rsidRPr="00257300" w:rsidTr="00257300">
        <w:trPr>
          <w:trHeight w:val="523"/>
          <w:jc w:val="center"/>
        </w:trPr>
        <w:tc>
          <w:tcPr>
            <w:tcW w:w="625" w:type="dxa"/>
            <w:tcBorders>
              <w:top w:val="nil"/>
              <w:left w:val="single" w:sz="4" w:space="0" w:color="auto"/>
              <w:bottom w:val="single" w:sz="4" w:space="0" w:color="auto"/>
              <w:right w:val="single" w:sz="4" w:space="0" w:color="auto"/>
            </w:tcBorders>
            <w:vAlign w:val="center"/>
          </w:tcPr>
          <w:p w:rsidR="00257300" w:rsidRPr="00257300" w:rsidRDefault="00257300" w:rsidP="00257300">
            <w:pPr>
              <w:widowControl/>
              <w:jc w:val="left"/>
              <w:rPr>
                <w:rFonts w:ascii="Times New Roman" w:hAnsi="Times New Roman"/>
                <w:sz w:val="28"/>
                <w:szCs w:val="28"/>
              </w:rPr>
            </w:pPr>
          </w:p>
        </w:tc>
        <w:tc>
          <w:tcPr>
            <w:tcW w:w="3630"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jc w:val="center"/>
              <w:rPr>
                <w:rFonts w:ascii="Times New Roman" w:hAnsi="Times New Roman"/>
                <w:sz w:val="24"/>
                <w:szCs w:val="24"/>
              </w:rPr>
            </w:pPr>
            <w:r w:rsidRPr="00257300">
              <w:rPr>
                <w:rFonts w:ascii="Times New Roman" w:hAnsi="Times New Roman"/>
                <w:sz w:val="24"/>
                <w:szCs w:val="24"/>
              </w:rPr>
              <w:t>待明年落实事项</w:t>
            </w:r>
          </w:p>
        </w:tc>
        <w:tc>
          <w:tcPr>
            <w:tcW w:w="5025" w:type="dxa"/>
            <w:gridSpan w:val="3"/>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rPr>
                <w:rFonts w:ascii="Times New Roman" w:hAnsi="Times New Roman"/>
                <w:sz w:val="24"/>
                <w:szCs w:val="24"/>
              </w:rPr>
            </w:pPr>
            <w:r w:rsidRPr="00257300">
              <w:rPr>
                <w:rFonts w:ascii="Times New Roman" w:hAnsi="Times New Roman"/>
                <w:sz w:val="24"/>
                <w:szCs w:val="24"/>
              </w:rPr>
              <w:t>常态</w:t>
            </w:r>
            <w:proofErr w:type="gramStart"/>
            <w:r w:rsidRPr="00257300">
              <w:rPr>
                <w:rFonts w:ascii="Times New Roman" w:hAnsi="Times New Roman"/>
                <w:sz w:val="24"/>
                <w:szCs w:val="24"/>
              </w:rPr>
              <w:t>化开展</w:t>
            </w:r>
            <w:proofErr w:type="gramEnd"/>
            <w:r w:rsidRPr="00257300">
              <w:rPr>
                <w:rFonts w:ascii="Times New Roman" w:hAnsi="Times New Roman"/>
                <w:sz w:val="24"/>
                <w:szCs w:val="24"/>
                <w:u w:color="000000"/>
                <w:shd w:val="clear" w:color="auto" w:fill="FFFFFF"/>
              </w:rPr>
              <w:t>税源管控工作</w:t>
            </w:r>
          </w:p>
        </w:tc>
      </w:tr>
      <w:tr w:rsidR="00257300" w:rsidRPr="00257300" w:rsidTr="00257300">
        <w:trPr>
          <w:trHeight w:val="653"/>
          <w:jc w:val="center"/>
        </w:trPr>
        <w:tc>
          <w:tcPr>
            <w:tcW w:w="9280" w:type="dxa"/>
            <w:gridSpan w:val="6"/>
            <w:tcBorders>
              <w:top w:val="single" w:sz="4" w:space="0" w:color="auto"/>
              <w:left w:val="single" w:sz="4" w:space="0" w:color="auto"/>
              <w:bottom w:val="single" w:sz="4" w:space="0" w:color="auto"/>
              <w:right w:val="single" w:sz="4" w:space="0" w:color="auto"/>
            </w:tcBorders>
          </w:tcPr>
          <w:p w:rsidR="00257300" w:rsidRPr="00257300" w:rsidRDefault="00257300" w:rsidP="00257300">
            <w:pPr>
              <w:autoSpaceDE w:val="0"/>
              <w:autoSpaceDN w:val="0"/>
              <w:spacing w:line="580" w:lineRule="exact"/>
              <w:ind w:firstLineChars="200" w:firstLine="560"/>
              <w:rPr>
                <w:rFonts w:ascii="Times New Roman" w:hAnsi="Times New Roman"/>
                <w:sz w:val="28"/>
                <w:szCs w:val="28"/>
              </w:rPr>
            </w:pPr>
            <w:r w:rsidRPr="00257300">
              <w:rPr>
                <w:rFonts w:ascii="Times New Roman" w:hAnsi="Times New Roman"/>
                <w:sz w:val="28"/>
                <w:szCs w:val="28"/>
              </w:rPr>
              <w:t>附件清单：（现场协商照片、相关答复文件等）</w:t>
            </w:r>
          </w:p>
        </w:tc>
      </w:tr>
      <w:tr w:rsidR="00257300" w:rsidRPr="00257300" w:rsidTr="00257300">
        <w:trPr>
          <w:trHeight w:val="1180"/>
          <w:jc w:val="center"/>
        </w:trPr>
        <w:tc>
          <w:tcPr>
            <w:tcW w:w="9280" w:type="dxa"/>
            <w:gridSpan w:val="6"/>
            <w:tcBorders>
              <w:top w:val="single" w:sz="4" w:space="0" w:color="auto"/>
              <w:left w:val="single" w:sz="4" w:space="0" w:color="auto"/>
              <w:bottom w:val="single" w:sz="4" w:space="0" w:color="auto"/>
              <w:right w:val="single" w:sz="4" w:space="0" w:color="auto"/>
            </w:tcBorders>
          </w:tcPr>
          <w:p w:rsidR="00257300" w:rsidRPr="00257300" w:rsidRDefault="00257300" w:rsidP="00257300">
            <w:pPr>
              <w:autoSpaceDE w:val="0"/>
              <w:autoSpaceDN w:val="0"/>
              <w:spacing w:line="400" w:lineRule="exact"/>
              <w:ind w:firstLineChars="200" w:firstLine="560"/>
              <w:rPr>
                <w:rFonts w:ascii="Times New Roman" w:hAnsi="Times New Roman"/>
                <w:sz w:val="28"/>
                <w:szCs w:val="28"/>
              </w:rPr>
            </w:pPr>
            <w:r w:rsidRPr="00257300">
              <w:rPr>
                <w:rFonts w:ascii="Times New Roman" w:hAnsi="Times New Roman"/>
                <w:sz w:val="28"/>
                <w:szCs w:val="28"/>
              </w:rPr>
              <w:t>补充说明：办理情况是结合县财政局、县税务局和县文化旅游局相关工作推进情况进行回复。</w:t>
            </w:r>
          </w:p>
          <w:p w:rsidR="00257300" w:rsidRPr="00257300" w:rsidRDefault="00257300" w:rsidP="00257300">
            <w:pPr>
              <w:autoSpaceDE w:val="0"/>
              <w:autoSpaceDN w:val="0"/>
              <w:spacing w:line="400" w:lineRule="exact"/>
              <w:ind w:firstLineChars="200" w:firstLine="560"/>
              <w:jc w:val="center"/>
              <w:rPr>
                <w:rFonts w:ascii="Times New Roman" w:hAnsi="Times New Roman"/>
                <w:sz w:val="28"/>
                <w:szCs w:val="28"/>
              </w:rPr>
            </w:pPr>
          </w:p>
          <w:p w:rsidR="00257300" w:rsidRPr="00257300" w:rsidRDefault="00257300" w:rsidP="00257300">
            <w:pPr>
              <w:autoSpaceDE w:val="0"/>
              <w:autoSpaceDN w:val="0"/>
              <w:spacing w:line="400" w:lineRule="exact"/>
              <w:ind w:firstLineChars="200" w:firstLine="560"/>
              <w:jc w:val="center"/>
              <w:rPr>
                <w:rFonts w:ascii="Times New Roman" w:hAnsi="Times New Roman"/>
                <w:sz w:val="28"/>
                <w:szCs w:val="28"/>
              </w:rPr>
            </w:pPr>
            <w:r w:rsidRPr="00257300">
              <w:rPr>
                <w:rFonts w:ascii="Times New Roman" w:hAnsi="Times New Roman"/>
                <w:sz w:val="28"/>
                <w:szCs w:val="28"/>
              </w:rPr>
              <w:t>富民县财政局</w:t>
            </w:r>
          </w:p>
          <w:p w:rsidR="00257300" w:rsidRPr="00257300" w:rsidRDefault="00257300" w:rsidP="00257300">
            <w:pPr>
              <w:autoSpaceDE w:val="0"/>
              <w:autoSpaceDN w:val="0"/>
              <w:spacing w:line="400" w:lineRule="exact"/>
              <w:rPr>
                <w:rFonts w:ascii="Times New Roman" w:hAnsi="Times New Roman"/>
                <w:sz w:val="28"/>
                <w:szCs w:val="28"/>
              </w:rPr>
            </w:pPr>
            <w:r w:rsidRPr="00257300">
              <w:rPr>
                <w:rFonts w:ascii="Times New Roman" w:hAnsi="Times New Roman"/>
                <w:sz w:val="28"/>
                <w:szCs w:val="28"/>
              </w:rPr>
              <w:t>日期：</w:t>
            </w:r>
            <w:r w:rsidRPr="00257300">
              <w:rPr>
                <w:rFonts w:ascii="Times New Roman" w:hAnsi="Times New Roman"/>
                <w:sz w:val="28"/>
                <w:szCs w:val="28"/>
              </w:rPr>
              <w:t>2024</w:t>
            </w:r>
            <w:r w:rsidRPr="00257300">
              <w:rPr>
                <w:rFonts w:ascii="Times New Roman" w:hAnsi="Times New Roman"/>
                <w:sz w:val="28"/>
                <w:szCs w:val="28"/>
              </w:rPr>
              <w:t>年</w:t>
            </w:r>
            <w:r w:rsidRPr="00257300">
              <w:rPr>
                <w:rFonts w:ascii="Times New Roman" w:hAnsi="Times New Roman"/>
                <w:sz w:val="28"/>
                <w:szCs w:val="28"/>
              </w:rPr>
              <w:t>6</w:t>
            </w:r>
            <w:r w:rsidRPr="00257300">
              <w:rPr>
                <w:rFonts w:ascii="Times New Roman" w:hAnsi="Times New Roman"/>
                <w:sz w:val="28"/>
                <w:szCs w:val="28"/>
              </w:rPr>
              <w:t>月</w:t>
            </w:r>
            <w:r w:rsidRPr="00257300">
              <w:rPr>
                <w:rFonts w:ascii="Times New Roman" w:hAnsi="Times New Roman"/>
                <w:sz w:val="28"/>
                <w:szCs w:val="28"/>
              </w:rPr>
              <w:t>28</w:t>
            </w:r>
            <w:r w:rsidRPr="00257300">
              <w:rPr>
                <w:rFonts w:ascii="Times New Roman" w:hAnsi="Times New Roman"/>
                <w:sz w:val="28"/>
                <w:szCs w:val="28"/>
              </w:rPr>
              <w:t>日</w:t>
            </w:r>
          </w:p>
        </w:tc>
      </w:tr>
      <w:tr w:rsidR="00257300" w:rsidRPr="00257300" w:rsidTr="00257300">
        <w:trPr>
          <w:trHeight w:val="1340"/>
          <w:jc w:val="center"/>
        </w:trPr>
        <w:tc>
          <w:tcPr>
            <w:tcW w:w="9280" w:type="dxa"/>
            <w:gridSpan w:val="6"/>
            <w:tcBorders>
              <w:top w:val="single" w:sz="4" w:space="0" w:color="auto"/>
              <w:left w:val="single" w:sz="4" w:space="0" w:color="auto"/>
              <w:bottom w:val="single" w:sz="4" w:space="0" w:color="auto"/>
              <w:right w:val="single" w:sz="4" w:space="0" w:color="auto"/>
            </w:tcBorders>
          </w:tcPr>
          <w:p w:rsidR="00257300" w:rsidRPr="00257300" w:rsidRDefault="00257300" w:rsidP="00257300">
            <w:pPr>
              <w:autoSpaceDE w:val="0"/>
              <w:autoSpaceDN w:val="0"/>
              <w:spacing w:line="400" w:lineRule="exact"/>
              <w:ind w:firstLineChars="200" w:firstLine="560"/>
              <w:rPr>
                <w:rFonts w:ascii="Times New Roman" w:hAnsi="Times New Roman"/>
                <w:sz w:val="28"/>
                <w:szCs w:val="28"/>
              </w:rPr>
            </w:pPr>
            <w:r w:rsidRPr="00257300">
              <w:rPr>
                <w:rFonts w:ascii="Times New Roman" w:hAnsi="Times New Roman"/>
                <w:sz w:val="28"/>
                <w:szCs w:val="28"/>
              </w:rPr>
              <w:t>提案办理结果：</w:t>
            </w:r>
            <w:r w:rsidR="007F0A3A">
              <w:rPr>
                <w:rFonts w:ascii="Times New Roman" w:hAnsi="Times New Roman" w:hint="eastAsia"/>
                <w:sz w:val="28"/>
                <w:szCs w:val="28"/>
                <w:u w:val="single"/>
              </w:rPr>
              <w:t>A</w:t>
            </w:r>
            <w:r w:rsidRPr="00257300">
              <w:rPr>
                <w:rFonts w:ascii="Times New Roman" w:hAnsi="Times New Roman"/>
                <w:sz w:val="28"/>
                <w:szCs w:val="28"/>
              </w:rPr>
              <w:t>类</w:t>
            </w:r>
          </w:p>
          <w:p w:rsidR="00257300" w:rsidRPr="00257300" w:rsidRDefault="00257300" w:rsidP="00257300">
            <w:pPr>
              <w:autoSpaceDE w:val="0"/>
              <w:autoSpaceDN w:val="0"/>
              <w:spacing w:line="400" w:lineRule="exact"/>
              <w:rPr>
                <w:rFonts w:ascii="Times New Roman" w:hAnsi="Times New Roman"/>
                <w:sz w:val="28"/>
                <w:szCs w:val="28"/>
              </w:rPr>
            </w:pPr>
            <w:r w:rsidRPr="00257300">
              <w:rPr>
                <w:rFonts w:ascii="Times New Roman" w:hAnsi="Times New Roman"/>
                <w:sz w:val="28"/>
                <w:szCs w:val="28"/>
              </w:rPr>
              <w:t>（</w:t>
            </w:r>
            <w:r w:rsidRPr="00257300">
              <w:rPr>
                <w:rFonts w:ascii="Times New Roman" w:hAnsi="Times New Roman"/>
                <w:sz w:val="28"/>
                <w:szCs w:val="28"/>
              </w:rPr>
              <w:t>A</w:t>
            </w:r>
            <w:r w:rsidRPr="00257300">
              <w:rPr>
                <w:rFonts w:ascii="Times New Roman" w:hAnsi="Times New Roman"/>
                <w:sz w:val="28"/>
                <w:szCs w:val="28"/>
              </w:rPr>
              <w:t>类为提案所提问题已经解决或部分解决；</w:t>
            </w:r>
            <w:r w:rsidRPr="00257300">
              <w:rPr>
                <w:rFonts w:ascii="Times New Roman" w:hAnsi="Times New Roman"/>
                <w:sz w:val="28"/>
                <w:szCs w:val="28"/>
              </w:rPr>
              <w:t>B</w:t>
            </w:r>
            <w:r w:rsidRPr="00257300">
              <w:rPr>
                <w:rFonts w:ascii="Times New Roman" w:hAnsi="Times New Roman"/>
                <w:sz w:val="28"/>
                <w:szCs w:val="28"/>
              </w:rPr>
              <w:t>类为提案所提问题列入计划逐步解决；</w:t>
            </w:r>
            <w:r w:rsidRPr="00257300">
              <w:rPr>
                <w:rFonts w:ascii="Times New Roman" w:hAnsi="Times New Roman"/>
                <w:sz w:val="28"/>
                <w:szCs w:val="28"/>
              </w:rPr>
              <w:t>C</w:t>
            </w:r>
            <w:r w:rsidRPr="00257300">
              <w:rPr>
                <w:rFonts w:ascii="Times New Roman" w:hAnsi="Times New Roman"/>
                <w:sz w:val="28"/>
                <w:szCs w:val="28"/>
              </w:rPr>
              <w:t>类为提案所提问题目前无法解决或留作参考。）</w:t>
            </w:r>
          </w:p>
        </w:tc>
      </w:tr>
      <w:tr w:rsidR="00257300" w:rsidRPr="00257300" w:rsidTr="00257300">
        <w:trPr>
          <w:trHeight w:val="753"/>
          <w:jc w:val="center"/>
        </w:trPr>
        <w:tc>
          <w:tcPr>
            <w:tcW w:w="2445"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autoSpaceDE w:val="0"/>
              <w:autoSpaceDN w:val="0"/>
              <w:spacing w:line="580" w:lineRule="exact"/>
              <w:ind w:firstLineChars="200" w:firstLine="560"/>
              <w:rPr>
                <w:rFonts w:ascii="Times New Roman" w:hAnsi="Times New Roman"/>
                <w:sz w:val="28"/>
                <w:szCs w:val="28"/>
              </w:rPr>
            </w:pPr>
            <w:r w:rsidRPr="00257300">
              <w:rPr>
                <w:rFonts w:ascii="Times New Roman" w:hAnsi="Times New Roman"/>
                <w:sz w:val="28"/>
                <w:szCs w:val="28"/>
              </w:rPr>
              <w:t>联系人</w:t>
            </w: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257300" w:rsidRPr="00257300" w:rsidRDefault="007F0A3A" w:rsidP="00257300">
            <w:pPr>
              <w:autoSpaceDE w:val="0"/>
              <w:autoSpaceDN w:val="0"/>
              <w:spacing w:line="580" w:lineRule="exact"/>
              <w:ind w:firstLineChars="200" w:firstLine="560"/>
              <w:rPr>
                <w:rFonts w:ascii="Times New Roman" w:hAnsi="Times New Roman"/>
                <w:sz w:val="28"/>
                <w:szCs w:val="28"/>
              </w:rPr>
            </w:pPr>
            <w:r>
              <w:rPr>
                <w:rFonts w:ascii="Times New Roman" w:hAnsi="Times New Roman" w:hint="eastAsia"/>
                <w:sz w:val="28"/>
                <w:szCs w:val="28"/>
              </w:rPr>
              <w:t>杨海军</w:t>
            </w:r>
          </w:p>
        </w:tc>
        <w:tc>
          <w:tcPr>
            <w:tcW w:w="2445" w:type="dxa"/>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autoSpaceDE w:val="0"/>
              <w:autoSpaceDN w:val="0"/>
              <w:spacing w:line="580" w:lineRule="exact"/>
              <w:ind w:firstLineChars="200" w:firstLine="560"/>
              <w:rPr>
                <w:rFonts w:ascii="Times New Roman" w:hAnsi="Times New Roman"/>
                <w:sz w:val="28"/>
                <w:szCs w:val="28"/>
              </w:rPr>
            </w:pPr>
            <w:r w:rsidRPr="00257300">
              <w:rPr>
                <w:rFonts w:ascii="Times New Roman" w:hAnsi="Times New Roman"/>
                <w:sz w:val="28"/>
                <w:szCs w:val="28"/>
              </w:rPr>
              <w:t>联系电话</w:t>
            </w:r>
          </w:p>
        </w:tc>
        <w:tc>
          <w:tcPr>
            <w:tcW w:w="1944" w:type="dxa"/>
            <w:tcBorders>
              <w:top w:val="single" w:sz="4" w:space="0" w:color="auto"/>
              <w:left w:val="single" w:sz="4" w:space="0" w:color="auto"/>
              <w:bottom w:val="single" w:sz="4" w:space="0" w:color="auto"/>
              <w:right w:val="single" w:sz="4" w:space="0" w:color="auto"/>
            </w:tcBorders>
            <w:vAlign w:val="center"/>
          </w:tcPr>
          <w:p w:rsidR="00257300" w:rsidRPr="00257300" w:rsidRDefault="00257300" w:rsidP="00257300">
            <w:pPr>
              <w:autoSpaceDE w:val="0"/>
              <w:autoSpaceDN w:val="0"/>
              <w:spacing w:line="580" w:lineRule="exact"/>
              <w:rPr>
                <w:rFonts w:ascii="Times New Roman" w:hAnsi="Times New Roman"/>
                <w:sz w:val="28"/>
                <w:szCs w:val="28"/>
              </w:rPr>
            </w:pPr>
            <w:bookmarkStart w:id="0" w:name="_GoBack"/>
            <w:bookmarkEnd w:id="0"/>
          </w:p>
        </w:tc>
      </w:tr>
    </w:tbl>
    <w:p w:rsidR="00257300" w:rsidRPr="00257300" w:rsidRDefault="00257300" w:rsidP="00257300">
      <w:pPr>
        <w:spacing w:line="440" w:lineRule="exact"/>
        <w:rPr>
          <w:rFonts w:ascii="Times New Roman" w:hAnsi="Times New Roman"/>
          <w:sz w:val="28"/>
          <w:szCs w:val="28"/>
        </w:rPr>
      </w:pPr>
    </w:p>
    <w:p w:rsidR="001F52A6" w:rsidRPr="00257300" w:rsidRDefault="001F52A6">
      <w:pPr>
        <w:rPr>
          <w:rFonts w:ascii="Times New Roman" w:hAnsi="Times New Roman"/>
        </w:rPr>
      </w:pPr>
    </w:p>
    <w:sectPr w:rsidR="001F52A6" w:rsidRPr="00257300" w:rsidSect="00B661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10A" w:rsidRDefault="00DD010A" w:rsidP="007F0A3A">
      <w:r>
        <w:separator/>
      </w:r>
    </w:p>
  </w:endnote>
  <w:endnote w:type="continuationSeparator" w:id="1">
    <w:p w:rsidR="00DD010A" w:rsidRDefault="00DD010A" w:rsidP="007F0A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10A" w:rsidRDefault="00DD010A" w:rsidP="007F0A3A">
      <w:r>
        <w:separator/>
      </w:r>
    </w:p>
  </w:footnote>
  <w:footnote w:type="continuationSeparator" w:id="1">
    <w:p w:rsidR="00DD010A" w:rsidRDefault="00DD010A" w:rsidP="007F0A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7300"/>
    <w:rsid w:val="001F52A6"/>
    <w:rsid w:val="00257300"/>
    <w:rsid w:val="007F0A3A"/>
    <w:rsid w:val="008F7BE2"/>
    <w:rsid w:val="00B6612F"/>
    <w:rsid w:val="00DD01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00"/>
    <w:pPr>
      <w:widowControl w:val="0"/>
      <w:jc w:val="both"/>
    </w:pPr>
    <w:rPr>
      <w:rFonts w:ascii="Calibri" w:eastAsia="仿宋_GB2312" w:hAnsi="Calibri"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300"/>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缩进1"/>
    <w:basedOn w:val="a"/>
    <w:uiPriority w:val="99"/>
    <w:qFormat/>
    <w:rsid w:val="00257300"/>
    <w:pPr>
      <w:framePr w:hSpace="180" w:wrap="around" w:vAnchor="text" w:hAnchor="page" w:xAlign="center" w:y="240"/>
      <w:autoSpaceDE w:val="0"/>
      <w:autoSpaceDN w:val="0"/>
      <w:spacing w:line="0" w:lineRule="atLeast"/>
      <w:ind w:firstLineChars="200" w:firstLine="420"/>
      <w:suppressOverlap/>
      <w:jc w:val="center"/>
    </w:pPr>
    <w:rPr>
      <w:rFonts w:ascii="方正小标宋_GBK" w:eastAsia="方正小标宋_GBK" w:hAnsi="Times New Roman"/>
      <w:color w:val="000000"/>
      <w:sz w:val="24"/>
      <w:szCs w:val="32"/>
    </w:rPr>
  </w:style>
  <w:style w:type="paragraph" w:styleId="a4">
    <w:name w:val="header"/>
    <w:basedOn w:val="a"/>
    <w:link w:val="Char"/>
    <w:uiPriority w:val="99"/>
    <w:unhideWhenUsed/>
    <w:rsid w:val="007F0A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0A3A"/>
    <w:rPr>
      <w:rFonts w:ascii="Calibri" w:eastAsia="仿宋_GB2312" w:hAnsi="Calibri" w:cs="Times New Roman"/>
      <w:sz w:val="18"/>
      <w:szCs w:val="18"/>
    </w:rPr>
  </w:style>
  <w:style w:type="paragraph" w:styleId="a5">
    <w:name w:val="footer"/>
    <w:basedOn w:val="a"/>
    <w:link w:val="Char0"/>
    <w:uiPriority w:val="99"/>
    <w:unhideWhenUsed/>
    <w:rsid w:val="007F0A3A"/>
    <w:pPr>
      <w:tabs>
        <w:tab w:val="center" w:pos="4153"/>
        <w:tab w:val="right" w:pos="8306"/>
      </w:tabs>
      <w:snapToGrid w:val="0"/>
      <w:jc w:val="left"/>
    </w:pPr>
    <w:rPr>
      <w:sz w:val="18"/>
      <w:szCs w:val="18"/>
    </w:rPr>
  </w:style>
  <w:style w:type="character" w:customStyle="1" w:styleId="Char0">
    <w:name w:val="页脚 Char"/>
    <w:basedOn w:val="a0"/>
    <w:link w:val="a5"/>
    <w:uiPriority w:val="99"/>
    <w:rsid w:val="007F0A3A"/>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300"/>
    <w:pPr>
      <w:widowControl w:val="0"/>
      <w:jc w:val="both"/>
    </w:pPr>
    <w:rPr>
      <w:rFonts w:ascii="Calibri" w:eastAsia="仿宋_GB2312" w:hAnsi="Calibri"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300"/>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缩进1"/>
    <w:basedOn w:val="a"/>
    <w:uiPriority w:val="99"/>
    <w:qFormat/>
    <w:rsid w:val="00257300"/>
    <w:pPr>
      <w:framePr w:hSpace="180" w:wrap="around" w:vAnchor="text" w:hAnchor="page" w:xAlign="center" w:y="240"/>
      <w:autoSpaceDE w:val="0"/>
      <w:autoSpaceDN w:val="0"/>
      <w:spacing w:line="0" w:lineRule="atLeast"/>
      <w:ind w:firstLineChars="200" w:firstLine="420"/>
      <w:suppressOverlap/>
      <w:jc w:val="center"/>
    </w:pPr>
    <w:rPr>
      <w:rFonts w:ascii="方正小标宋_GBK" w:eastAsia="方正小标宋_GBK" w:hAnsi="Times New Roman"/>
      <w:color w:val="000000"/>
      <w:sz w:val="24"/>
      <w:szCs w:val="32"/>
    </w:rPr>
  </w:style>
  <w:style w:type="paragraph" w:styleId="a4">
    <w:name w:val="header"/>
    <w:basedOn w:val="a"/>
    <w:link w:val="Char"/>
    <w:uiPriority w:val="99"/>
    <w:unhideWhenUsed/>
    <w:rsid w:val="007F0A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0A3A"/>
    <w:rPr>
      <w:rFonts w:ascii="Calibri" w:eastAsia="仿宋_GB2312" w:hAnsi="Calibri" w:cs="Times New Roman"/>
      <w:sz w:val="18"/>
      <w:szCs w:val="18"/>
    </w:rPr>
  </w:style>
  <w:style w:type="paragraph" w:styleId="a5">
    <w:name w:val="footer"/>
    <w:basedOn w:val="a"/>
    <w:link w:val="Char0"/>
    <w:uiPriority w:val="99"/>
    <w:unhideWhenUsed/>
    <w:rsid w:val="007F0A3A"/>
    <w:pPr>
      <w:tabs>
        <w:tab w:val="center" w:pos="4153"/>
        <w:tab w:val="right" w:pos="8306"/>
      </w:tabs>
      <w:snapToGrid w:val="0"/>
      <w:jc w:val="left"/>
    </w:pPr>
    <w:rPr>
      <w:sz w:val="18"/>
      <w:szCs w:val="18"/>
    </w:rPr>
  </w:style>
  <w:style w:type="character" w:customStyle="1" w:styleId="Char0">
    <w:name w:val="页脚 Char"/>
    <w:basedOn w:val="a0"/>
    <w:link w:val="a5"/>
    <w:uiPriority w:val="99"/>
    <w:rsid w:val="007F0A3A"/>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dc:creator>
  <cp:keywords/>
  <dc:description/>
  <cp:lastModifiedBy>富民县罗免镇中心卫生院</cp:lastModifiedBy>
  <cp:revision>3</cp:revision>
  <dcterms:created xsi:type="dcterms:W3CDTF">2024-06-28T00:51:00Z</dcterms:created>
  <dcterms:modified xsi:type="dcterms:W3CDTF">2024-11-29T14:05:00Z</dcterms:modified>
</cp:coreProperties>
</file>