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111D3">
      <w:pPr>
        <w:pStyle w:val="2"/>
      </w:pPr>
    </w:p>
    <w:p w14:paraId="50459F07">
      <w:pPr>
        <w:pStyle w:val="2"/>
      </w:pPr>
    </w:p>
    <w:p w14:paraId="14E42DA9">
      <w:pPr>
        <w:pStyle w:val="2"/>
      </w:pPr>
    </w:p>
    <w:p w14:paraId="348BEE6F">
      <w:pPr>
        <w:pStyle w:val="2"/>
      </w:pPr>
    </w:p>
    <w:p w14:paraId="2D96EFDC">
      <w:pPr>
        <w:pStyle w:val="2"/>
      </w:pPr>
    </w:p>
    <w:p w14:paraId="47077AEC">
      <w:pPr>
        <w:pStyle w:val="2"/>
      </w:pPr>
    </w:p>
    <w:p w14:paraId="416049CD">
      <w:pPr>
        <w:pStyle w:val="2"/>
      </w:pPr>
    </w:p>
    <w:p w14:paraId="440F57EB">
      <w:pPr>
        <w:pStyle w:val="2"/>
        <w:spacing w:line="241" w:lineRule="auto"/>
      </w:pPr>
    </w:p>
    <w:p w14:paraId="4A17649D">
      <w:pPr>
        <w:pStyle w:val="2"/>
        <w:spacing w:line="241" w:lineRule="auto"/>
      </w:pPr>
    </w:p>
    <w:p w14:paraId="53F15849">
      <w:pPr>
        <w:pStyle w:val="2"/>
        <w:spacing w:line="241" w:lineRule="auto"/>
      </w:pPr>
    </w:p>
    <w:p w14:paraId="51B96A10">
      <w:pPr>
        <w:pStyle w:val="2"/>
        <w:spacing w:line="241" w:lineRule="auto"/>
      </w:pPr>
    </w:p>
    <w:p w14:paraId="4E5992F0">
      <w:pPr>
        <w:pStyle w:val="2"/>
        <w:spacing w:line="241" w:lineRule="auto"/>
      </w:pPr>
    </w:p>
    <w:p w14:paraId="1D163E54">
      <w:pPr>
        <w:pStyle w:val="2"/>
        <w:spacing w:line="241" w:lineRule="auto"/>
      </w:pPr>
    </w:p>
    <w:p w14:paraId="6DD85365">
      <w:pPr>
        <w:pStyle w:val="2"/>
        <w:spacing w:line="241" w:lineRule="auto"/>
      </w:pPr>
    </w:p>
    <w:p w14:paraId="5D94139A">
      <w:pPr>
        <w:pStyle w:val="2"/>
        <w:spacing w:line="241" w:lineRule="auto"/>
      </w:pPr>
    </w:p>
    <w:p w14:paraId="6630CE3F">
      <w:pPr>
        <w:spacing w:before="84" w:line="184" w:lineRule="auto"/>
        <w:ind w:left="6999"/>
        <w:rPr>
          <w:rFonts w:ascii="宋体" w:hAnsi="宋体" w:eastAsia="宋体" w:cs="宋体"/>
          <w:sz w:val="26"/>
          <w:szCs w:val="26"/>
        </w:rPr>
      </w:pPr>
      <w:r>
        <w:rPr>
          <w:rFonts w:ascii="宋体" w:hAnsi="宋体" w:eastAsia="宋体" w:cs="宋体"/>
          <w:spacing w:val="-1"/>
          <w:sz w:val="26"/>
          <w:szCs w:val="26"/>
        </w:rPr>
        <w:t>BSZN-00012301800003</w:t>
      </w:r>
    </w:p>
    <w:p w14:paraId="684DFC3E">
      <w:pPr>
        <w:pStyle w:val="2"/>
      </w:pPr>
    </w:p>
    <w:p w14:paraId="66CF5269">
      <w:pPr>
        <w:pStyle w:val="2"/>
      </w:pPr>
    </w:p>
    <w:p w14:paraId="2218EEEF">
      <w:pPr>
        <w:pStyle w:val="2"/>
      </w:pPr>
    </w:p>
    <w:p w14:paraId="12F7A9D9">
      <w:pPr>
        <w:pStyle w:val="2"/>
      </w:pPr>
    </w:p>
    <w:p w14:paraId="11BE5BB1">
      <w:pPr>
        <w:pStyle w:val="2"/>
      </w:pPr>
    </w:p>
    <w:p w14:paraId="3CE7CAF9">
      <w:pPr>
        <w:pStyle w:val="2"/>
      </w:pPr>
    </w:p>
    <w:p w14:paraId="0BD4B614">
      <w:pPr>
        <w:pStyle w:val="2"/>
      </w:pPr>
    </w:p>
    <w:p w14:paraId="5D247CB6">
      <w:pPr>
        <w:pStyle w:val="2"/>
      </w:pPr>
    </w:p>
    <w:p w14:paraId="10072C5E">
      <w:pPr>
        <w:pStyle w:val="2"/>
      </w:pPr>
    </w:p>
    <w:p w14:paraId="72F5A59C">
      <w:pPr>
        <w:pStyle w:val="2"/>
      </w:pPr>
    </w:p>
    <w:p w14:paraId="0D82C119">
      <w:pPr>
        <w:pStyle w:val="2"/>
      </w:pPr>
    </w:p>
    <w:p w14:paraId="54F35689">
      <w:pPr>
        <w:pStyle w:val="2"/>
      </w:pPr>
    </w:p>
    <w:p w14:paraId="1810C5E2">
      <w:pPr>
        <w:pStyle w:val="2"/>
        <w:spacing w:line="241" w:lineRule="auto"/>
      </w:pPr>
    </w:p>
    <w:p w14:paraId="05B9129E">
      <w:pPr>
        <w:spacing w:before="143" w:line="219" w:lineRule="auto"/>
        <w:jc w:val="right"/>
        <w:outlineLvl w:val="0"/>
        <w:rPr>
          <w:rFonts w:ascii="宋体" w:hAnsi="宋体" w:eastAsia="宋体" w:cs="宋体"/>
          <w:sz w:val="44"/>
          <w:szCs w:val="44"/>
        </w:rPr>
      </w:pPr>
      <w:r>
        <w:rPr>
          <w:rFonts w:ascii="宋体" w:hAnsi="宋体" w:eastAsia="宋体" w:cs="宋体"/>
          <w:b/>
          <w:bCs/>
          <w:spacing w:val="4"/>
          <w:sz w:val="44"/>
          <w:szCs w:val="44"/>
        </w:rPr>
        <w:t>饮用水供水单位(集中式供水单位)新办卫生许可</w:t>
      </w:r>
    </w:p>
    <w:p w14:paraId="0F1C5BA4">
      <w:pPr>
        <w:spacing w:before="111" w:line="219" w:lineRule="auto"/>
        <w:ind w:left="2866"/>
        <w:outlineLvl w:val="0"/>
        <w:rPr>
          <w:rFonts w:ascii="宋体" w:hAnsi="宋体" w:eastAsia="宋体" w:cs="宋体"/>
          <w:sz w:val="44"/>
          <w:szCs w:val="44"/>
        </w:rPr>
      </w:pPr>
      <w:r>
        <w:rPr>
          <w:rFonts w:ascii="宋体" w:hAnsi="宋体" w:eastAsia="宋体" w:cs="宋体"/>
          <w:b/>
          <w:bCs/>
          <w:spacing w:val="21"/>
          <w:sz w:val="44"/>
          <w:szCs w:val="44"/>
        </w:rPr>
        <w:t>办事指南(完整版)</w:t>
      </w:r>
    </w:p>
    <w:p w14:paraId="6B2A65E4">
      <w:pPr>
        <w:pStyle w:val="2"/>
        <w:spacing w:line="241" w:lineRule="auto"/>
      </w:pPr>
    </w:p>
    <w:p w14:paraId="4132C523">
      <w:pPr>
        <w:pStyle w:val="2"/>
        <w:spacing w:line="241" w:lineRule="auto"/>
      </w:pPr>
    </w:p>
    <w:p w14:paraId="495D6A30">
      <w:pPr>
        <w:pStyle w:val="2"/>
        <w:spacing w:line="241" w:lineRule="auto"/>
      </w:pPr>
    </w:p>
    <w:p w14:paraId="489FC212">
      <w:pPr>
        <w:pStyle w:val="2"/>
        <w:spacing w:line="241" w:lineRule="auto"/>
      </w:pPr>
    </w:p>
    <w:p w14:paraId="5955053A">
      <w:pPr>
        <w:pStyle w:val="2"/>
        <w:spacing w:line="241" w:lineRule="auto"/>
      </w:pPr>
    </w:p>
    <w:p w14:paraId="269D4106">
      <w:pPr>
        <w:pStyle w:val="2"/>
        <w:spacing w:line="241" w:lineRule="auto"/>
      </w:pPr>
    </w:p>
    <w:p w14:paraId="0B8973BD">
      <w:pPr>
        <w:pStyle w:val="2"/>
        <w:spacing w:line="241" w:lineRule="auto"/>
      </w:pPr>
    </w:p>
    <w:p w14:paraId="3DCAF107">
      <w:pPr>
        <w:pStyle w:val="2"/>
        <w:spacing w:line="241" w:lineRule="auto"/>
      </w:pPr>
    </w:p>
    <w:p w14:paraId="58534028">
      <w:pPr>
        <w:pStyle w:val="2"/>
        <w:spacing w:line="241" w:lineRule="auto"/>
      </w:pPr>
    </w:p>
    <w:p w14:paraId="72990CF2">
      <w:pPr>
        <w:pStyle w:val="2"/>
        <w:spacing w:line="241" w:lineRule="auto"/>
      </w:pPr>
    </w:p>
    <w:p w14:paraId="0924166D">
      <w:pPr>
        <w:pStyle w:val="2"/>
        <w:spacing w:line="242" w:lineRule="auto"/>
      </w:pPr>
    </w:p>
    <w:p w14:paraId="417DE309">
      <w:pPr>
        <w:pStyle w:val="2"/>
        <w:spacing w:line="242" w:lineRule="auto"/>
      </w:pPr>
    </w:p>
    <w:p w14:paraId="612654CF">
      <w:pPr>
        <w:pStyle w:val="2"/>
        <w:spacing w:line="242" w:lineRule="auto"/>
      </w:pPr>
    </w:p>
    <w:p w14:paraId="2D48A21F">
      <w:pPr>
        <w:pStyle w:val="2"/>
        <w:spacing w:line="242" w:lineRule="auto"/>
      </w:pPr>
    </w:p>
    <w:p w14:paraId="52031783">
      <w:pPr>
        <w:pStyle w:val="2"/>
        <w:spacing w:line="242" w:lineRule="auto"/>
      </w:pPr>
    </w:p>
    <w:p w14:paraId="4215358B">
      <w:pPr>
        <w:pStyle w:val="2"/>
        <w:spacing w:line="242" w:lineRule="auto"/>
      </w:pPr>
    </w:p>
    <w:p w14:paraId="745A2284">
      <w:pPr>
        <w:pStyle w:val="2"/>
        <w:spacing w:line="242" w:lineRule="auto"/>
      </w:pPr>
    </w:p>
    <w:p w14:paraId="65065C13">
      <w:pPr>
        <w:pStyle w:val="2"/>
        <w:spacing w:line="242" w:lineRule="auto"/>
      </w:pPr>
    </w:p>
    <w:p w14:paraId="7FB7BCD2">
      <w:pPr>
        <w:spacing w:before="72" w:line="338" w:lineRule="exact"/>
        <w:ind w:left="3899"/>
        <w:rPr>
          <w:rFonts w:ascii="黑体" w:hAnsi="黑体" w:eastAsia="黑体" w:cs="黑体"/>
          <w:sz w:val="22"/>
          <w:szCs w:val="22"/>
        </w:rPr>
      </w:pPr>
      <w:r>
        <w:rPr>
          <w:rFonts w:ascii="黑体" w:hAnsi="黑体" w:eastAsia="黑体" w:cs="黑体"/>
          <w:spacing w:val="1"/>
          <w:position w:val="8"/>
          <w:sz w:val="22"/>
          <w:szCs w:val="22"/>
        </w:rPr>
        <w:t>富民县卫生健康局</w:t>
      </w:r>
    </w:p>
    <w:p w14:paraId="206CB287">
      <w:pPr>
        <w:spacing w:before="1" w:line="220" w:lineRule="auto"/>
        <w:ind w:left="3769"/>
        <w:rPr>
          <w:rFonts w:ascii="黑体" w:hAnsi="黑体" w:eastAsia="黑体" w:cs="黑体"/>
          <w:sz w:val="22"/>
          <w:szCs w:val="22"/>
        </w:rPr>
      </w:pPr>
      <w:r>
        <w:rPr>
          <w:rFonts w:ascii="黑体" w:hAnsi="黑体" w:eastAsia="黑体" w:cs="黑体"/>
          <w:spacing w:val="4"/>
          <w:sz w:val="22"/>
          <w:szCs w:val="22"/>
        </w:rPr>
        <w:t>2019年08月22日发布</w:t>
      </w:r>
    </w:p>
    <w:p w14:paraId="6303F44B">
      <w:pPr>
        <w:spacing w:line="220" w:lineRule="auto"/>
        <w:rPr>
          <w:rFonts w:ascii="黑体" w:hAnsi="黑体" w:eastAsia="黑体" w:cs="黑体"/>
          <w:sz w:val="22"/>
          <w:szCs w:val="22"/>
        </w:rPr>
        <w:sectPr>
          <w:pgSz w:w="11910" w:h="16840"/>
          <w:pgMar w:top="1431" w:right="1247" w:bottom="0" w:left="1150" w:header="0" w:footer="0" w:gutter="0"/>
          <w:cols w:space="720" w:num="1"/>
        </w:sectPr>
      </w:pPr>
    </w:p>
    <w:p w14:paraId="7FACD48C">
      <w:pPr>
        <w:spacing w:before="52" w:line="223" w:lineRule="auto"/>
        <w:ind w:left="3"/>
        <w:outlineLvl w:val="0"/>
        <w:rPr>
          <w:rFonts w:ascii="黑体" w:hAnsi="黑体" w:eastAsia="黑体" w:cs="黑体"/>
          <w:sz w:val="26"/>
          <w:szCs w:val="26"/>
        </w:rPr>
      </w:pPr>
      <w:r>
        <w:rPr>
          <w:rFonts w:ascii="黑体" w:hAnsi="黑体" w:eastAsia="黑体" w:cs="黑体"/>
          <w:b/>
          <w:bCs/>
          <w:spacing w:val="-7"/>
          <w:sz w:val="26"/>
          <w:szCs w:val="26"/>
        </w:rPr>
        <w:t>一、</w:t>
      </w:r>
      <w:r>
        <w:rPr>
          <w:rFonts w:ascii="黑体" w:hAnsi="黑体" w:eastAsia="黑体" w:cs="黑体"/>
          <w:spacing w:val="-64"/>
          <w:sz w:val="26"/>
          <w:szCs w:val="26"/>
        </w:rPr>
        <w:t xml:space="preserve"> </w:t>
      </w:r>
      <w:r>
        <w:rPr>
          <w:rFonts w:ascii="黑体" w:hAnsi="黑体" w:eastAsia="黑体" w:cs="黑体"/>
          <w:b/>
          <w:bCs/>
          <w:spacing w:val="-7"/>
          <w:sz w:val="26"/>
          <w:szCs w:val="26"/>
        </w:rPr>
        <w:t>基本信息</w:t>
      </w:r>
    </w:p>
    <w:p w14:paraId="6BEA9581">
      <w:pPr>
        <w:spacing w:line="203" w:lineRule="exact"/>
      </w:pPr>
    </w:p>
    <w:tbl>
      <w:tblPr>
        <w:tblStyle w:val="5"/>
        <w:tblW w:w="1090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3277"/>
        <w:gridCol w:w="2168"/>
        <w:gridCol w:w="3272"/>
      </w:tblGrid>
      <w:tr w14:paraId="62BE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183" w:type="dxa"/>
            <w:vAlign w:val="top"/>
          </w:tcPr>
          <w:p w14:paraId="0C1B8690">
            <w:pPr>
              <w:pStyle w:val="6"/>
              <w:spacing w:before="189" w:line="219" w:lineRule="auto"/>
              <w:ind w:left="217"/>
            </w:pPr>
            <w:r>
              <w:rPr>
                <w:b/>
                <w:bCs/>
                <w:spacing w:val="-3"/>
              </w:rPr>
              <w:t>事项类型</w:t>
            </w:r>
          </w:p>
        </w:tc>
        <w:tc>
          <w:tcPr>
            <w:tcW w:w="3277" w:type="dxa"/>
            <w:vAlign w:val="top"/>
          </w:tcPr>
          <w:p w14:paraId="077579D5">
            <w:pPr>
              <w:pStyle w:val="6"/>
              <w:spacing w:before="192" w:line="220" w:lineRule="auto"/>
              <w:ind w:left="241"/>
            </w:pPr>
            <w:r>
              <w:rPr>
                <w:spacing w:val="-2"/>
              </w:rPr>
              <w:t>行政许可</w:t>
            </w:r>
          </w:p>
        </w:tc>
        <w:tc>
          <w:tcPr>
            <w:tcW w:w="2168" w:type="dxa"/>
            <w:vAlign w:val="top"/>
          </w:tcPr>
          <w:p w14:paraId="59667261">
            <w:pPr>
              <w:pStyle w:val="6"/>
              <w:spacing w:before="189" w:line="219" w:lineRule="auto"/>
              <w:ind w:left="227"/>
            </w:pPr>
            <w:r>
              <w:rPr>
                <w:b/>
                <w:bCs/>
                <w:spacing w:val="-4"/>
              </w:rPr>
              <w:t>办件类型</w:t>
            </w:r>
          </w:p>
        </w:tc>
        <w:tc>
          <w:tcPr>
            <w:tcW w:w="3272" w:type="dxa"/>
            <w:vAlign w:val="top"/>
          </w:tcPr>
          <w:p w14:paraId="5F0C5AC2">
            <w:pPr>
              <w:pStyle w:val="6"/>
              <w:spacing w:before="191" w:line="219" w:lineRule="auto"/>
              <w:ind w:left="237"/>
            </w:pPr>
            <w:r>
              <w:rPr>
                <w:spacing w:val="2"/>
              </w:rPr>
              <w:t>即办件</w:t>
            </w:r>
          </w:p>
        </w:tc>
      </w:tr>
      <w:tr w14:paraId="584ED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47F6C2D5">
            <w:pPr>
              <w:pStyle w:val="6"/>
              <w:spacing w:before="185" w:line="220" w:lineRule="auto"/>
              <w:ind w:left="217"/>
            </w:pPr>
            <w:r>
              <w:rPr>
                <w:b/>
                <w:bCs/>
                <w:spacing w:val="-4"/>
              </w:rPr>
              <w:t>实施主体</w:t>
            </w:r>
          </w:p>
        </w:tc>
        <w:tc>
          <w:tcPr>
            <w:tcW w:w="3277" w:type="dxa"/>
            <w:vAlign w:val="top"/>
          </w:tcPr>
          <w:p w14:paraId="16C09F5F">
            <w:pPr>
              <w:pStyle w:val="6"/>
              <w:spacing w:before="187" w:line="219" w:lineRule="auto"/>
              <w:ind w:left="241"/>
            </w:pPr>
            <w:r>
              <w:rPr>
                <w:spacing w:val="1"/>
              </w:rPr>
              <w:t>富民县卫生健康局</w:t>
            </w:r>
          </w:p>
        </w:tc>
        <w:tc>
          <w:tcPr>
            <w:tcW w:w="2168" w:type="dxa"/>
            <w:vAlign w:val="top"/>
          </w:tcPr>
          <w:p w14:paraId="226C140D">
            <w:pPr>
              <w:pStyle w:val="6"/>
              <w:spacing w:before="185" w:line="219" w:lineRule="auto"/>
              <w:ind w:left="227"/>
            </w:pPr>
            <w:r>
              <w:rPr>
                <w:b/>
                <w:bCs/>
                <w:color w:val="002F80"/>
                <w:spacing w:val="-4"/>
              </w:rPr>
              <w:t>行使层级</w:t>
            </w:r>
          </w:p>
        </w:tc>
        <w:tc>
          <w:tcPr>
            <w:tcW w:w="3272" w:type="dxa"/>
            <w:vAlign w:val="top"/>
          </w:tcPr>
          <w:p w14:paraId="424F707A">
            <w:pPr>
              <w:pStyle w:val="6"/>
              <w:spacing w:before="189" w:line="221" w:lineRule="auto"/>
              <w:ind w:left="237"/>
            </w:pPr>
            <w:r>
              <w:rPr>
                <w:spacing w:val="-2"/>
              </w:rPr>
              <w:t>县级</w:t>
            </w:r>
          </w:p>
        </w:tc>
      </w:tr>
      <w:tr w14:paraId="2D10A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69770066">
            <w:pPr>
              <w:pStyle w:val="6"/>
              <w:spacing w:before="196" w:line="219" w:lineRule="auto"/>
              <w:ind w:left="217"/>
            </w:pPr>
            <w:r>
              <w:rPr>
                <w:b/>
                <w:bCs/>
                <w:spacing w:val="-3"/>
              </w:rPr>
              <w:t>承诺办结时限</w:t>
            </w:r>
          </w:p>
        </w:tc>
        <w:tc>
          <w:tcPr>
            <w:tcW w:w="3277" w:type="dxa"/>
            <w:vAlign w:val="top"/>
          </w:tcPr>
          <w:p w14:paraId="51BF869F">
            <w:pPr>
              <w:pStyle w:val="6"/>
              <w:spacing w:before="198" w:line="219" w:lineRule="auto"/>
              <w:ind w:left="241"/>
            </w:pPr>
            <w:r>
              <w:rPr>
                <w:spacing w:val="5"/>
              </w:rPr>
              <w:t>1个工作日</w:t>
            </w:r>
          </w:p>
        </w:tc>
        <w:tc>
          <w:tcPr>
            <w:tcW w:w="2168" w:type="dxa"/>
            <w:vAlign w:val="top"/>
          </w:tcPr>
          <w:p w14:paraId="640331F8">
            <w:pPr>
              <w:pStyle w:val="6"/>
              <w:spacing w:before="196" w:line="219" w:lineRule="auto"/>
              <w:ind w:left="227"/>
            </w:pPr>
            <w:r>
              <w:rPr>
                <w:b/>
                <w:bCs/>
                <w:spacing w:val="-3"/>
              </w:rPr>
              <w:t>法定办结时限</w:t>
            </w:r>
          </w:p>
        </w:tc>
        <w:tc>
          <w:tcPr>
            <w:tcW w:w="3272" w:type="dxa"/>
            <w:vAlign w:val="top"/>
          </w:tcPr>
          <w:p w14:paraId="608AF711">
            <w:pPr>
              <w:pStyle w:val="6"/>
              <w:spacing w:before="198" w:line="219" w:lineRule="auto"/>
              <w:ind w:left="237"/>
            </w:pPr>
            <w:r>
              <w:rPr>
                <w:spacing w:val="4"/>
              </w:rPr>
              <w:t>20个工作日</w:t>
            </w:r>
          </w:p>
        </w:tc>
      </w:tr>
      <w:tr w14:paraId="7EF99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6C0BA401">
            <w:pPr>
              <w:pStyle w:val="6"/>
              <w:spacing w:before="187" w:line="219" w:lineRule="auto"/>
              <w:ind w:left="217"/>
            </w:pPr>
            <w:r>
              <w:rPr>
                <w:b/>
                <w:bCs/>
                <w:spacing w:val="-4"/>
              </w:rPr>
              <w:t>办理形式</w:t>
            </w:r>
          </w:p>
        </w:tc>
        <w:tc>
          <w:tcPr>
            <w:tcW w:w="3277" w:type="dxa"/>
            <w:vAlign w:val="top"/>
          </w:tcPr>
          <w:p w14:paraId="3501ED5F">
            <w:pPr>
              <w:pStyle w:val="6"/>
              <w:spacing w:before="189" w:line="219" w:lineRule="auto"/>
              <w:ind w:left="241"/>
            </w:pPr>
            <w:r>
              <w:t>窗口办理、网上办理、快递申请</w:t>
            </w:r>
          </w:p>
        </w:tc>
        <w:tc>
          <w:tcPr>
            <w:tcW w:w="2168" w:type="dxa"/>
            <w:vAlign w:val="top"/>
          </w:tcPr>
          <w:p w14:paraId="751FA747">
            <w:pPr>
              <w:pStyle w:val="6"/>
              <w:spacing w:before="187" w:line="219" w:lineRule="auto"/>
              <w:ind w:left="227"/>
            </w:pPr>
            <w:r>
              <w:rPr>
                <w:b/>
                <w:bCs/>
                <w:spacing w:val="-4"/>
              </w:rPr>
              <w:t>办理深度</w:t>
            </w:r>
          </w:p>
        </w:tc>
        <w:tc>
          <w:tcPr>
            <w:tcW w:w="3272" w:type="dxa"/>
            <w:vAlign w:val="top"/>
          </w:tcPr>
          <w:p w14:paraId="0358FD5B">
            <w:pPr>
              <w:pStyle w:val="6"/>
              <w:spacing w:before="189" w:line="219" w:lineRule="auto"/>
              <w:ind w:left="237"/>
            </w:pPr>
            <w:r>
              <w:rPr>
                <w:spacing w:val="1"/>
              </w:rPr>
              <w:t>四级：全程网办</w:t>
            </w:r>
          </w:p>
        </w:tc>
      </w:tr>
      <w:tr w14:paraId="79B14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57D38CDC">
            <w:pPr>
              <w:pStyle w:val="6"/>
              <w:spacing w:before="198" w:line="219" w:lineRule="auto"/>
              <w:ind w:left="217"/>
            </w:pPr>
            <w:r>
              <w:rPr>
                <w:b/>
                <w:bCs/>
                <w:spacing w:val="-4"/>
              </w:rPr>
              <w:t>是否收费</w:t>
            </w:r>
          </w:p>
        </w:tc>
        <w:tc>
          <w:tcPr>
            <w:tcW w:w="3277" w:type="dxa"/>
            <w:vAlign w:val="top"/>
          </w:tcPr>
          <w:p w14:paraId="40CB045A">
            <w:pPr>
              <w:pStyle w:val="6"/>
              <w:spacing w:before="201" w:line="220" w:lineRule="auto"/>
              <w:ind w:left="241"/>
            </w:pPr>
            <w:r>
              <w:t>否</w:t>
            </w:r>
          </w:p>
        </w:tc>
        <w:tc>
          <w:tcPr>
            <w:tcW w:w="2168" w:type="dxa"/>
            <w:vAlign w:val="top"/>
          </w:tcPr>
          <w:p w14:paraId="0A3DB4CE">
            <w:pPr>
              <w:pStyle w:val="6"/>
              <w:spacing w:before="198" w:line="219" w:lineRule="auto"/>
              <w:ind w:left="227"/>
            </w:pPr>
            <w:r>
              <w:rPr>
                <w:b/>
                <w:bCs/>
                <w:spacing w:val="-3"/>
              </w:rPr>
              <w:t>到现场办理的次数</w:t>
            </w:r>
          </w:p>
        </w:tc>
        <w:tc>
          <w:tcPr>
            <w:tcW w:w="3272" w:type="dxa"/>
            <w:vAlign w:val="top"/>
          </w:tcPr>
          <w:p w14:paraId="62D255BE">
            <w:pPr>
              <w:pStyle w:val="6"/>
              <w:spacing w:before="200" w:line="219" w:lineRule="auto"/>
              <w:ind w:left="237"/>
            </w:pPr>
            <w:r>
              <w:rPr>
                <w:spacing w:val="-2"/>
              </w:rPr>
              <w:t>0次</w:t>
            </w:r>
          </w:p>
        </w:tc>
      </w:tr>
      <w:tr w14:paraId="36601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83" w:type="dxa"/>
            <w:vAlign w:val="top"/>
          </w:tcPr>
          <w:p w14:paraId="503CD5C6">
            <w:pPr>
              <w:spacing w:line="246" w:lineRule="auto"/>
              <w:rPr>
                <w:rFonts w:ascii="Arial"/>
                <w:sz w:val="21"/>
              </w:rPr>
            </w:pPr>
          </w:p>
          <w:p w14:paraId="3E9DE2F7">
            <w:pPr>
              <w:pStyle w:val="6"/>
              <w:spacing w:before="52" w:line="221" w:lineRule="auto"/>
              <w:ind w:left="217"/>
            </w:pPr>
            <w:r>
              <w:rPr>
                <w:b/>
                <w:bCs/>
                <w:spacing w:val="-5"/>
              </w:rPr>
              <w:t>咨询方式</w:t>
            </w:r>
          </w:p>
        </w:tc>
        <w:tc>
          <w:tcPr>
            <w:tcW w:w="8717" w:type="dxa"/>
            <w:gridSpan w:val="3"/>
            <w:vAlign w:val="top"/>
          </w:tcPr>
          <w:p w14:paraId="5F900E7A">
            <w:pPr>
              <w:pStyle w:val="6"/>
              <w:spacing w:before="200" w:line="237" w:lineRule="auto"/>
              <w:ind w:left="241" w:right="135"/>
            </w:pPr>
            <w:r>
              <w:t>云南省昆明市富民县黎昌路7号昆黎时代广场1栋二楼政务服务中心综合窗口H23、H24号窗口电话咨询0871-68818221;电</w:t>
            </w:r>
            <w:r>
              <w:rPr>
                <w:spacing w:val="8"/>
              </w:rPr>
              <w:t xml:space="preserve"> </w:t>
            </w:r>
            <w:r>
              <w:rPr>
                <w:spacing w:val="1"/>
              </w:rPr>
              <w:t>话号码：(0871)-68818221;云南政务服务网</w:t>
            </w:r>
            <w:r>
              <w:fldChar w:fldCharType="begin"/>
            </w:r>
            <w:r>
              <w:instrText xml:space="preserve"> HYPERLINK "https://zwfw.yn.gov.cn/portal/#/home" </w:instrText>
            </w:r>
            <w:r>
              <w:fldChar w:fldCharType="separate"/>
            </w:r>
            <w:r>
              <w:t>https</w:t>
            </w:r>
            <w:r>
              <w:rPr>
                <w:spacing w:val="1"/>
              </w:rPr>
              <w:t>://</w:t>
            </w:r>
            <w:r>
              <w:t>zwfw</w:t>
            </w:r>
            <w:r>
              <w:rPr>
                <w:spacing w:val="1"/>
              </w:rPr>
              <w:t>.</w:t>
            </w:r>
            <w:r>
              <w:t>yn</w:t>
            </w:r>
            <w:r>
              <w:rPr>
                <w:spacing w:val="1"/>
              </w:rPr>
              <w:t>.</w:t>
            </w:r>
            <w:r>
              <w:t>gov.cn/portal/#/home</w:t>
            </w:r>
            <w:r>
              <w:fldChar w:fldCharType="end"/>
            </w:r>
            <w:r>
              <w:rPr>
                <w:spacing w:val="-48"/>
              </w:rPr>
              <w:t xml:space="preserve"> </w:t>
            </w:r>
            <w:r>
              <w:t>;</w:t>
            </w:r>
          </w:p>
        </w:tc>
      </w:tr>
      <w:tr w14:paraId="1FD85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183" w:type="dxa"/>
            <w:vAlign w:val="top"/>
          </w:tcPr>
          <w:p w14:paraId="43A5F406">
            <w:pPr>
              <w:spacing w:line="465" w:lineRule="auto"/>
              <w:rPr>
                <w:rFonts w:ascii="Arial"/>
                <w:sz w:val="21"/>
              </w:rPr>
            </w:pPr>
          </w:p>
          <w:p w14:paraId="1A0A26E4">
            <w:pPr>
              <w:pStyle w:val="6"/>
              <w:spacing w:before="52" w:line="220" w:lineRule="auto"/>
              <w:ind w:left="217"/>
            </w:pPr>
            <w:r>
              <w:rPr>
                <w:b/>
                <w:bCs/>
                <w:spacing w:val="-3"/>
              </w:rPr>
              <w:t>监督投诉方式</w:t>
            </w:r>
          </w:p>
        </w:tc>
        <w:tc>
          <w:tcPr>
            <w:tcW w:w="8717" w:type="dxa"/>
            <w:gridSpan w:val="3"/>
            <w:vAlign w:val="top"/>
          </w:tcPr>
          <w:p w14:paraId="40FE7477">
            <w:pPr>
              <w:pStyle w:val="6"/>
              <w:spacing w:before="206" w:line="234" w:lineRule="auto"/>
              <w:ind w:left="241"/>
            </w:pPr>
            <w:r>
              <w:rPr>
                <w:spacing w:val="-4"/>
              </w:rPr>
              <w:t>云南省昆明市富民县黎昌路7号昆黎时代广场1栋政务服务中心总台。网上投诉：</w:t>
            </w:r>
            <w:r>
              <w:rPr>
                <w:spacing w:val="39"/>
              </w:rPr>
              <w:t xml:space="preserve"> </w:t>
            </w:r>
            <w:r>
              <w:fldChar w:fldCharType="begin"/>
            </w:r>
            <w:r>
              <w:instrText xml:space="preserve"> HYPERLINK "https://zwfw.yn.gov.cn/portal/#/home" </w:instrText>
            </w:r>
            <w:r>
              <w:fldChar w:fldCharType="separate"/>
            </w:r>
            <w:r>
              <w:rPr>
                <w:spacing w:val="-4"/>
              </w:rPr>
              <w:t>https://zwfw.yn.gov.cn/portal/#/ho</w:t>
            </w:r>
            <w:r>
              <w:rPr>
                <w:spacing w:val="-5"/>
              </w:rPr>
              <w:t>me</w:t>
            </w:r>
            <w:r>
              <w:rPr>
                <w:spacing w:val="-5"/>
              </w:rPr>
              <w:fldChar w:fldCharType="end"/>
            </w:r>
            <w:r>
              <w:rPr>
                <w:spacing w:val="-5"/>
              </w:rPr>
              <w:t>或</w:t>
            </w:r>
            <w:r>
              <w:t xml:space="preserve"> 电子邮箱fmx530124@163.com。信函投诉：投诉受理部门：富民县卫生健康局纪检监察室，通讯地址：云南省昆明市富</w:t>
            </w:r>
          </w:p>
          <w:p w14:paraId="218B4BFF">
            <w:pPr>
              <w:pStyle w:val="6"/>
              <w:spacing w:before="40" w:line="225" w:lineRule="auto"/>
              <w:ind w:left="241" w:right="304"/>
            </w:pPr>
            <w:r>
              <w:t>民县昆黎时代广场黎阳大厦14楼1415室，邮政编码：650400;电话投诉：政务服务中心总台(0871)</w:t>
            </w:r>
            <w:r>
              <w:rPr>
                <w:color w:val="002A72"/>
              </w:rPr>
              <w:t>-68818210</w:t>
            </w:r>
            <w:r>
              <w:t xml:space="preserve">。电话投 </w:t>
            </w:r>
            <w:r>
              <w:rPr>
                <w:spacing w:val="1"/>
              </w:rPr>
              <w:t>诉：富民县卫生健康局纪检监察室(0871)</w:t>
            </w:r>
            <w:r>
              <w:rPr>
                <w:color w:val="002E73"/>
                <w:spacing w:val="1"/>
              </w:rPr>
              <w:t>-68817336;</w:t>
            </w:r>
            <w:r>
              <w:rPr>
                <w:color w:val="002E73"/>
              </w:rPr>
              <w:t>云</w:t>
            </w:r>
            <w:r>
              <w:t>南省政务服务网监督+监管平台</w:t>
            </w:r>
            <w:r>
              <w:fldChar w:fldCharType="begin"/>
            </w:r>
            <w:r>
              <w:instrText xml:space="preserve"> HYPERLINK "tps://zwfw.yn.gov.cn/ynjg" </w:instrText>
            </w:r>
            <w:r>
              <w:fldChar w:fldCharType="separate"/>
            </w:r>
            <w:r>
              <w:t>tps://zwfw.yn.gov.cn/ynjg</w:t>
            </w:r>
            <w:r>
              <w:fldChar w:fldCharType="end"/>
            </w:r>
            <w:r>
              <w:rPr>
                <w:spacing w:val="-47"/>
              </w:rPr>
              <w:t xml:space="preserve"> </w:t>
            </w:r>
            <w:r>
              <w:t>;</w:t>
            </w:r>
          </w:p>
        </w:tc>
      </w:tr>
      <w:tr w14:paraId="1E126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27154C98">
            <w:pPr>
              <w:pStyle w:val="6"/>
              <w:spacing w:before="192" w:line="219" w:lineRule="auto"/>
              <w:ind w:left="217"/>
            </w:pPr>
            <w:r>
              <w:rPr>
                <w:b/>
                <w:bCs/>
                <w:spacing w:val="1"/>
              </w:rPr>
              <w:t>办理时间</w:t>
            </w:r>
          </w:p>
        </w:tc>
        <w:tc>
          <w:tcPr>
            <w:tcW w:w="8717" w:type="dxa"/>
            <w:gridSpan w:val="3"/>
            <w:vAlign w:val="top"/>
          </w:tcPr>
          <w:p w14:paraId="68DC5240">
            <w:pPr>
              <w:pStyle w:val="6"/>
              <w:spacing w:before="192" w:line="216" w:lineRule="auto"/>
              <w:ind w:left="241"/>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r>
              <w:t>(法定节假日按国家假期安排调整办理时间)</w:t>
            </w:r>
          </w:p>
        </w:tc>
      </w:tr>
      <w:tr w14:paraId="0A4FF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83" w:type="dxa"/>
            <w:vAlign w:val="top"/>
          </w:tcPr>
          <w:p w14:paraId="57E71B72">
            <w:pPr>
              <w:spacing w:line="259" w:lineRule="auto"/>
              <w:rPr>
                <w:rFonts w:ascii="Arial"/>
                <w:sz w:val="21"/>
              </w:rPr>
            </w:pPr>
          </w:p>
          <w:p w14:paraId="7FFBD6CB">
            <w:pPr>
              <w:pStyle w:val="6"/>
              <w:spacing w:before="52" w:line="219" w:lineRule="auto"/>
              <w:ind w:left="217"/>
            </w:pPr>
            <w:r>
              <w:rPr>
                <w:b/>
                <w:bCs/>
                <w:spacing w:val="-4"/>
              </w:rPr>
              <w:t>办理地点</w:t>
            </w:r>
          </w:p>
        </w:tc>
        <w:tc>
          <w:tcPr>
            <w:tcW w:w="8717" w:type="dxa"/>
            <w:gridSpan w:val="3"/>
            <w:vAlign w:val="top"/>
          </w:tcPr>
          <w:p w14:paraId="25F744F6">
            <w:pPr>
              <w:pStyle w:val="6"/>
              <w:spacing w:before="225" w:line="254" w:lineRule="auto"/>
              <w:ind w:left="241" w:hanging="10"/>
            </w:pPr>
            <w:r>
              <w:rPr>
                <w:spacing w:val="-1"/>
              </w:rPr>
              <w:t>云南省昆明市富民县黎昌路7号昆黎时代广场1栋二楼政务服务中心</w:t>
            </w:r>
            <w:r>
              <w:rPr>
                <w:spacing w:val="-2"/>
              </w:rPr>
              <w:t>综合窗口H23、H24号窗口交通方式：乘坐1路公交车到黎</w:t>
            </w:r>
            <w:r>
              <w:t xml:space="preserve"> </w:t>
            </w:r>
            <w:r>
              <w:rPr>
                <w:spacing w:val="1"/>
              </w:rPr>
              <w:t>昌路昆黎时代广场</w:t>
            </w:r>
          </w:p>
        </w:tc>
      </w:tr>
    </w:tbl>
    <w:p w14:paraId="5BB75681">
      <w:pPr>
        <w:pStyle w:val="2"/>
        <w:spacing w:line="276" w:lineRule="auto"/>
      </w:pPr>
    </w:p>
    <w:p w14:paraId="09C7FC0C">
      <w:pPr>
        <w:pStyle w:val="2"/>
        <w:spacing w:line="276" w:lineRule="auto"/>
      </w:pPr>
    </w:p>
    <w:p w14:paraId="248B7C96">
      <w:pPr>
        <w:spacing w:before="84" w:line="222" w:lineRule="auto"/>
        <w:ind w:left="3"/>
        <w:outlineLvl w:val="0"/>
        <w:rPr>
          <w:rFonts w:ascii="黑体" w:hAnsi="黑体" w:eastAsia="黑体" w:cs="黑体"/>
          <w:sz w:val="26"/>
          <w:szCs w:val="26"/>
        </w:rPr>
      </w:pPr>
      <w:r>
        <w:rPr>
          <w:rFonts w:ascii="黑体" w:hAnsi="黑体" w:eastAsia="黑体" w:cs="黑体"/>
          <w:b/>
          <w:bCs/>
          <w:spacing w:val="-20"/>
          <w:sz w:val="26"/>
          <w:szCs w:val="26"/>
        </w:rPr>
        <w:t>二、</w:t>
      </w:r>
      <w:r>
        <w:rPr>
          <w:rFonts w:ascii="黑体" w:hAnsi="黑体" w:eastAsia="黑体" w:cs="黑体"/>
          <w:spacing w:val="14"/>
          <w:sz w:val="26"/>
          <w:szCs w:val="26"/>
        </w:rPr>
        <w:t xml:space="preserve"> </w:t>
      </w:r>
      <w:r>
        <w:rPr>
          <w:rFonts w:ascii="黑体" w:hAnsi="黑体" w:eastAsia="黑体" w:cs="黑体"/>
          <w:b/>
          <w:bCs/>
          <w:spacing w:val="-20"/>
          <w:sz w:val="26"/>
          <w:szCs w:val="26"/>
        </w:rPr>
        <w:t>设定依据</w:t>
      </w:r>
    </w:p>
    <w:p w14:paraId="4C87C261">
      <w:pPr>
        <w:spacing w:before="251" w:line="233" w:lineRule="auto"/>
        <w:ind w:right="16"/>
        <w:rPr>
          <w:rFonts w:ascii="黑体" w:hAnsi="黑体" w:eastAsia="黑体" w:cs="黑体"/>
          <w:sz w:val="16"/>
          <w:szCs w:val="16"/>
        </w:rPr>
      </w:pPr>
      <w:r>
        <w:rPr>
          <w:rFonts w:ascii="黑体" w:hAnsi="黑体" w:eastAsia="黑体" w:cs="黑体"/>
          <w:color w:val="3A4C6D"/>
          <w:spacing w:val="-7"/>
          <w:sz w:val="16"/>
          <w:szCs w:val="16"/>
        </w:rPr>
        <w:t>《中华人民共和国传染病防治法》第二十九条饮用水供水单位从事生产或者供应活动，应当依法取得卫生许可证。  《生活饮用水卫生监督管理办法》(建设部卫生</w:t>
      </w:r>
      <w:r>
        <w:rPr>
          <w:rFonts w:ascii="黑体" w:hAnsi="黑体" w:eastAsia="黑体" w:cs="黑体"/>
          <w:color w:val="3A4C6D"/>
          <w:sz w:val="16"/>
          <w:szCs w:val="16"/>
        </w:rPr>
        <w:t xml:space="preserve"> </w:t>
      </w:r>
      <w:r>
        <w:rPr>
          <w:rFonts w:ascii="黑体" w:hAnsi="黑体" w:eastAsia="黑体" w:cs="黑体"/>
          <w:color w:val="3A4C6D"/>
          <w:spacing w:val="-4"/>
          <w:sz w:val="16"/>
          <w:szCs w:val="16"/>
        </w:rPr>
        <w:t>部令第53号发布，住房和城乡建设部国家</w:t>
      </w:r>
      <w:r>
        <w:rPr>
          <w:rFonts w:ascii="黑体" w:hAnsi="黑体" w:eastAsia="黑体" w:cs="黑体"/>
          <w:color w:val="3A4C6D"/>
          <w:spacing w:val="-5"/>
          <w:sz w:val="16"/>
          <w:szCs w:val="16"/>
        </w:rPr>
        <w:t>卫生和计划生育委员会令第31号修正)第十六条县级以上人民政府卫生计生主管部门负责本行政区域内饮用水卫生监督监</w:t>
      </w:r>
    </w:p>
    <w:p w14:paraId="5E47D56C">
      <w:pPr>
        <w:spacing w:before="42" w:line="219" w:lineRule="auto"/>
        <w:rPr>
          <w:rFonts w:ascii="宋体" w:hAnsi="宋体" w:eastAsia="宋体" w:cs="宋体"/>
          <w:sz w:val="16"/>
          <w:szCs w:val="16"/>
        </w:rPr>
      </w:pPr>
      <w:r>
        <w:rPr>
          <w:rFonts w:ascii="宋体" w:hAnsi="宋体" w:eastAsia="宋体" w:cs="宋体"/>
          <w:spacing w:val="-8"/>
          <w:sz w:val="16"/>
          <w:szCs w:val="16"/>
        </w:rPr>
        <w:t>测工作。供水单位的供水范围在本行政区域内的，由该行政区人民政府卫生计生主管部门负责其饮用水卫生监督监测工作；供水单位的供水范围超出其所在行政区域</w:t>
      </w:r>
    </w:p>
    <w:p w14:paraId="4740B632">
      <w:pPr>
        <w:spacing w:before="23" w:line="213" w:lineRule="auto"/>
        <w:rPr>
          <w:rFonts w:ascii="黑体" w:hAnsi="黑体" w:eastAsia="黑体" w:cs="黑体"/>
          <w:sz w:val="16"/>
          <w:szCs w:val="16"/>
        </w:rPr>
      </w:pPr>
      <w:r>
        <w:rPr>
          <w:rFonts w:ascii="黑体" w:hAnsi="黑体" w:eastAsia="黑体" w:cs="黑体"/>
          <w:color w:val="3A4C6D"/>
          <w:spacing w:val="-8"/>
          <w:sz w:val="16"/>
          <w:szCs w:val="16"/>
        </w:rPr>
        <w:t>的，由供水单位所在行政区域的上一级人民政府卫生计生主管部门负责其饮用水卫生监督监测工作；供水单位的供水范围超出其所在省、自治区、直辖市的，由该供</w:t>
      </w:r>
    </w:p>
    <w:p w14:paraId="4C96AE67">
      <w:pPr>
        <w:spacing w:before="36" w:line="213" w:lineRule="auto"/>
        <w:rPr>
          <w:rFonts w:ascii="黑体" w:hAnsi="黑体" w:eastAsia="黑体" w:cs="黑体"/>
          <w:sz w:val="16"/>
          <w:szCs w:val="16"/>
        </w:rPr>
      </w:pPr>
      <w:r>
        <w:rPr>
          <w:rFonts w:ascii="黑体" w:hAnsi="黑体" w:eastAsia="黑体" w:cs="黑体"/>
          <w:spacing w:val="-8"/>
          <w:sz w:val="16"/>
          <w:szCs w:val="16"/>
        </w:rPr>
        <w:t>水单位所在省、自治区、直辖市人民政府卫生计生主管部门负责其饮用水卫生监督监测工作。铁道、交通、民航行政主管部门设立的卫生监督机构，行使国务院卫生</w:t>
      </w:r>
    </w:p>
    <w:p w14:paraId="0F491EA8">
      <w:pPr>
        <w:spacing w:before="41" w:line="247" w:lineRule="auto"/>
        <w:rPr>
          <w:rFonts w:ascii="黑体" w:hAnsi="黑体" w:eastAsia="黑体" w:cs="黑体"/>
          <w:sz w:val="16"/>
          <w:szCs w:val="16"/>
        </w:rPr>
      </w:pPr>
      <w:r>
        <w:rPr>
          <w:rFonts w:ascii="黑体" w:hAnsi="黑体" w:eastAsia="黑体" w:cs="黑体"/>
          <w:color w:val="3A4C6D"/>
          <w:spacing w:val="-8"/>
          <w:sz w:val="16"/>
          <w:szCs w:val="16"/>
        </w:rPr>
        <w:t>计生主管部门会同国务院有关部门规定的饮用水卫生监督职责。第二十条供水单位卫生许可证由县级以上人民政府卫生计生主管部门按照本办</w:t>
      </w:r>
      <w:r>
        <w:rPr>
          <w:rFonts w:ascii="黑体" w:hAnsi="黑体" w:eastAsia="黑体" w:cs="黑体"/>
          <w:color w:val="3A4C6D"/>
          <w:spacing w:val="-9"/>
          <w:sz w:val="16"/>
          <w:szCs w:val="16"/>
        </w:rPr>
        <w:t>法第十六条规定的管理</w:t>
      </w:r>
      <w:r>
        <w:rPr>
          <w:rFonts w:ascii="黑体" w:hAnsi="黑体" w:eastAsia="黑体" w:cs="黑体"/>
          <w:color w:val="3A4C6D"/>
          <w:sz w:val="16"/>
          <w:szCs w:val="16"/>
        </w:rPr>
        <w:t xml:space="preserve"> </w:t>
      </w:r>
      <w:r>
        <w:rPr>
          <w:rFonts w:ascii="黑体" w:hAnsi="黑体" w:eastAsia="黑体" w:cs="黑体"/>
          <w:color w:val="3A4C6D"/>
          <w:spacing w:val="-2"/>
          <w:sz w:val="16"/>
          <w:szCs w:val="16"/>
        </w:rPr>
        <w:t>范围发放，有效期四年。  《国务院关于第六批取消和调整行</w:t>
      </w:r>
      <w:r>
        <w:rPr>
          <w:rFonts w:ascii="黑体" w:hAnsi="黑体" w:eastAsia="黑体" w:cs="黑体"/>
          <w:color w:val="3A4C6D"/>
          <w:spacing w:val="-3"/>
          <w:sz w:val="16"/>
          <w:szCs w:val="16"/>
        </w:rPr>
        <w:t>政审批项目的决定》(国发〔2012〕52号)附件2第48项饮用水供水单位卫生许可，下放至设区的市</w:t>
      </w:r>
      <w:r>
        <w:rPr>
          <w:rFonts w:ascii="黑体" w:hAnsi="黑体" w:eastAsia="黑体" w:cs="黑体"/>
          <w:color w:val="3A4C6D"/>
          <w:sz w:val="16"/>
          <w:szCs w:val="16"/>
        </w:rPr>
        <w:t xml:space="preserve"> </w:t>
      </w:r>
      <w:r>
        <w:rPr>
          <w:rFonts w:ascii="黑体" w:hAnsi="黑体" w:eastAsia="黑体" w:cs="黑体"/>
          <w:color w:val="3A4C6D"/>
          <w:spacing w:val="-1"/>
          <w:sz w:val="16"/>
          <w:szCs w:val="16"/>
        </w:rPr>
        <w:t>级、县级人民政府卫生行政部门。《云南省生活饮用水供水单位卫生许可规定(试行)》第</w:t>
      </w:r>
      <w:r>
        <w:rPr>
          <w:rFonts w:ascii="黑体" w:hAnsi="黑体" w:eastAsia="黑体" w:cs="黑体"/>
          <w:color w:val="3A4C6D"/>
          <w:spacing w:val="-2"/>
          <w:sz w:val="16"/>
          <w:szCs w:val="16"/>
        </w:rPr>
        <w:t>五条集中式供水单位首次申请卫生许可应当提交下列材料：(一)云南</w:t>
      </w:r>
      <w:r>
        <w:rPr>
          <w:rFonts w:ascii="黑体" w:hAnsi="黑体" w:eastAsia="黑体" w:cs="黑体"/>
          <w:color w:val="3A4C6D"/>
          <w:sz w:val="16"/>
          <w:szCs w:val="16"/>
        </w:rPr>
        <w:t xml:space="preserve"> </w:t>
      </w:r>
      <w:r>
        <w:rPr>
          <w:rFonts w:ascii="黑体" w:hAnsi="黑体" w:eastAsia="黑体" w:cs="黑体"/>
          <w:color w:val="3A4C6D"/>
          <w:spacing w:val="1"/>
          <w:sz w:val="16"/>
          <w:szCs w:val="16"/>
        </w:rPr>
        <w:t>省生活饮用水供水单位卫生许可申请表；(二)营业执照(或事业单位法人证书、</w:t>
      </w:r>
      <w:r>
        <w:rPr>
          <w:rFonts w:ascii="黑体" w:hAnsi="黑体" w:eastAsia="黑体" w:cs="黑体"/>
          <w:color w:val="3A4C6D"/>
          <w:sz w:val="16"/>
          <w:szCs w:val="16"/>
        </w:rPr>
        <w:t xml:space="preserve">民办非企业登记证书)复印件；(三)法定代表人或负责人身份证复印件；(四) </w:t>
      </w:r>
      <w:r>
        <w:rPr>
          <w:rFonts w:ascii="黑体" w:hAnsi="黑体" w:eastAsia="黑体" w:cs="黑体"/>
          <w:color w:val="3A4C6D"/>
          <w:spacing w:val="-1"/>
          <w:sz w:val="16"/>
          <w:szCs w:val="16"/>
        </w:rPr>
        <w:t>卫生管理制度及卫生应急处置预案；(五)厂区平面</w:t>
      </w:r>
      <w:r>
        <w:rPr>
          <w:rFonts w:ascii="黑体" w:hAnsi="黑体" w:eastAsia="黑体" w:cs="黑体"/>
          <w:color w:val="3A4C6D"/>
          <w:spacing w:val="-2"/>
          <w:sz w:val="16"/>
          <w:szCs w:val="16"/>
        </w:rPr>
        <w:t>图、供水流程简图、水处理工艺流程图(必须有水质净化消毒设施)及其文字说明；(六)水源卫生防护资料、</w:t>
      </w:r>
      <w:r>
        <w:rPr>
          <w:rFonts w:ascii="黑体" w:hAnsi="黑体" w:eastAsia="黑体" w:cs="黑体"/>
          <w:color w:val="3A4C6D"/>
          <w:sz w:val="16"/>
          <w:szCs w:val="16"/>
        </w:rPr>
        <w:t xml:space="preserve"> </w:t>
      </w:r>
      <w:r>
        <w:rPr>
          <w:rFonts w:ascii="黑体" w:hAnsi="黑体" w:eastAsia="黑体" w:cs="黑体"/>
          <w:color w:val="3A4C6D"/>
          <w:spacing w:val="-2"/>
          <w:sz w:val="16"/>
          <w:szCs w:val="16"/>
        </w:rPr>
        <w:t>水质检验仪器设备和检验人员清单(不具备水质检验条件的自建集中式供水单位，应委托有资质的检验机构</w:t>
      </w:r>
      <w:r>
        <w:rPr>
          <w:rFonts w:ascii="黑体" w:hAnsi="黑体" w:eastAsia="黑体" w:cs="黑体"/>
          <w:color w:val="3A4C6D"/>
          <w:spacing w:val="-3"/>
          <w:sz w:val="16"/>
          <w:szCs w:val="16"/>
        </w:rPr>
        <w:t>进行检验，并提供委托检验协议);(七)使用涉及饮用</w:t>
      </w:r>
      <w:r>
        <w:rPr>
          <w:rFonts w:ascii="黑体" w:hAnsi="黑体" w:eastAsia="黑体" w:cs="黑体"/>
          <w:color w:val="3A4C6D"/>
          <w:sz w:val="16"/>
          <w:szCs w:val="16"/>
        </w:rPr>
        <w:t xml:space="preserve"> </w:t>
      </w:r>
      <w:r>
        <w:rPr>
          <w:rFonts w:ascii="黑体" w:hAnsi="黑体" w:eastAsia="黑体" w:cs="黑体"/>
          <w:color w:val="3A4C6D"/>
          <w:spacing w:val="-3"/>
          <w:sz w:val="16"/>
          <w:szCs w:val="16"/>
        </w:rPr>
        <w:t>水卫生安全产品的卫生许可批件复印件；(八)水质检测报告(</w:t>
      </w:r>
      <w:r>
        <w:rPr>
          <w:rFonts w:ascii="黑体" w:hAnsi="黑体" w:eastAsia="黑体" w:cs="黑体"/>
          <w:color w:val="3A4C6D"/>
          <w:spacing w:val="-4"/>
          <w:sz w:val="16"/>
          <w:szCs w:val="16"/>
        </w:rPr>
        <w:t>包括水源水及近三个月内的出厂水水质常规指标和区域风险指标检测合格报告)。</w:t>
      </w:r>
    </w:p>
    <w:p w14:paraId="0F669CC1">
      <w:pPr>
        <w:pStyle w:val="2"/>
        <w:spacing w:line="306" w:lineRule="auto"/>
      </w:pPr>
    </w:p>
    <w:p w14:paraId="69727924">
      <w:pPr>
        <w:pStyle w:val="2"/>
        <w:spacing w:line="307" w:lineRule="auto"/>
      </w:pPr>
    </w:p>
    <w:p w14:paraId="3739E45E">
      <w:pPr>
        <w:spacing w:before="85" w:line="221" w:lineRule="auto"/>
        <w:ind w:left="3"/>
        <w:outlineLvl w:val="0"/>
        <w:rPr>
          <w:rFonts w:ascii="黑体" w:hAnsi="黑体" w:eastAsia="黑体" w:cs="黑体"/>
          <w:sz w:val="26"/>
          <w:szCs w:val="26"/>
        </w:rPr>
      </w:pPr>
      <w:r>
        <w:rPr>
          <w:rFonts w:ascii="黑体" w:hAnsi="黑体" w:eastAsia="黑体" w:cs="黑体"/>
          <w:b/>
          <w:bCs/>
          <w:spacing w:val="-22"/>
          <w:sz w:val="26"/>
          <w:szCs w:val="26"/>
        </w:rPr>
        <w:t>三、</w:t>
      </w:r>
      <w:r>
        <w:rPr>
          <w:rFonts w:ascii="黑体" w:hAnsi="黑体" w:eastAsia="黑体" w:cs="黑体"/>
          <w:spacing w:val="25"/>
          <w:sz w:val="26"/>
          <w:szCs w:val="26"/>
        </w:rPr>
        <w:t xml:space="preserve"> </w:t>
      </w:r>
      <w:r>
        <w:rPr>
          <w:rFonts w:ascii="黑体" w:hAnsi="黑体" w:eastAsia="黑体" w:cs="黑体"/>
          <w:b/>
          <w:bCs/>
          <w:spacing w:val="-22"/>
          <w:sz w:val="26"/>
          <w:szCs w:val="26"/>
        </w:rPr>
        <w:t>办理条件</w:t>
      </w:r>
    </w:p>
    <w:p w14:paraId="5337DF28">
      <w:pPr>
        <w:spacing w:line="219"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8727"/>
      </w:tblGrid>
      <w:tr w14:paraId="258C5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173" w:type="dxa"/>
            <w:vAlign w:val="top"/>
          </w:tcPr>
          <w:p w14:paraId="4F16643A">
            <w:pPr>
              <w:pStyle w:val="6"/>
              <w:spacing w:before="189" w:line="219" w:lineRule="auto"/>
              <w:ind w:left="227"/>
            </w:pPr>
            <w:r>
              <w:rPr>
                <w:b/>
                <w:bCs/>
                <w:spacing w:val="-3"/>
              </w:rPr>
              <w:t>服务对象</w:t>
            </w:r>
          </w:p>
        </w:tc>
        <w:tc>
          <w:tcPr>
            <w:tcW w:w="8727" w:type="dxa"/>
            <w:vAlign w:val="top"/>
          </w:tcPr>
          <w:p w14:paraId="55693388">
            <w:pPr>
              <w:pStyle w:val="6"/>
              <w:spacing w:before="188" w:line="219" w:lineRule="auto"/>
              <w:ind w:left="234"/>
            </w:pPr>
            <w:r>
              <w:rPr>
                <w:b/>
                <w:bCs/>
                <w:spacing w:val="-2"/>
              </w:rPr>
              <w:t>企业法人、社会组织法人、自然人、非法人企业、事业法人、行政机关、其他组织</w:t>
            </w:r>
          </w:p>
        </w:tc>
      </w:tr>
      <w:tr w14:paraId="1DB58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173" w:type="dxa"/>
            <w:vAlign w:val="top"/>
          </w:tcPr>
          <w:p w14:paraId="19605E6E">
            <w:pPr>
              <w:pStyle w:val="6"/>
              <w:spacing w:before="185" w:line="219" w:lineRule="auto"/>
              <w:ind w:left="227"/>
            </w:pPr>
            <w:r>
              <w:rPr>
                <w:b/>
                <w:bCs/>
                <w:color w:val="002D86"/>
                <w:spacing w:val="-3"/>
              </w:rPr>
              <w:t>办理用户等级</w:t>
            </w:r>
          </w:p>
        </w:tc>
        <w:tc>
          <w:tcPr>
            <w:tcW w:w="8727" w:type="dxa"/>
            <w:vAlign w:val="top"/>
          </w:tcPr>
          <w:p w14:paraId="24B0227D">
            <w:pPr>
              <w:pStyle w:val="6"/>
              <w:spacing w:before="189" w:line="221" w:lineRule="auto"/>
              <w:ind w:left="231"/>
            </w:pPr>
            <w:r>
              <w:rPr>
                <w:spacing w:val="-2"/>
              </w:rPr>
              <w:t>三级</w:t>
            </w:r>
          </w:p>
        </w:tc>
      </w:tr>
      <w:tr w14:paraId="5A357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2173" w:type="dxa"/>
            <w:vAlign w:val="top"/>
          </w:tcPr>
          <w:p w14:paraId="78E02D5F">
            <w:pPr>
              <w:spacing w:line="264" w:lineRule="auto"/>
              <w:rPr>
                <w:rFonts w:ascii="Arial"/>
                <w:sz w:val="21"/>
              </w:rPr>
            </w:pPr>
          </w:p>
          <w:p w14:paraId="1D219E3B">
            <w:pPr>
              <w:spacing w:line="264" w:lineRule="auto"/>
              <w:rPr>
                <w:rFonts w:ascii="Arial"/>
                <w:sz w:val="21"/>
              </w:rPr>
            </w:pPr>
          </w:p>
          <w:p w14:paraId="48214124">
            <w:pPr>
              <w:spacing w:line="265" w:lineRule="auto"/>
              <w:rPr>
                <w:rFonts w:ascii="Arial"/>
                <w:sz w:val="21"/>
              </w:rPr>
            </w:pPr>
          </w:p>
          <w:p w14:paraId="10255E64">
            <w:pPr>
              <w:spacing w:line="265" w:lineRule="auto"/>
              <w:rPr>
                <w:rFonts w:ascii="Arial"/>
                <w:sz w:val="21"/>
              </w:rPr>
            </w:pPr>
          </w:p>
          <w:p w14:paraId="2DE0E7C1">
            <w:pPr>
              <w:pStyle w:val="6"/>
              <w:spacing w:before="52" w:line="219" w:lineRule="auto"/>
              <w:ind w:left="227"/>
            </w:pPr>
            <w:r>
              <w:rPr>
                <w:b/>
                <w:bCs/>
                <w:color w:val="003084"/>
                <w:spacing w:val="-4"/>
              </w:rPr>
              <w:t>受理条件</w:t>
            </w:r>
          </w:p>
        </w:tc>
        <w:tc>
          <w:tcPr>
            <w:tcW w:w="8727" w:type="dxa"/>
            <w:vAlign w:val="top"/>
          </w:tcPr>
          <w:p w14:paraId="4DB651B3">
            <w:pPr>
              <w:pStyle w:val="6"/>
              <w:spacing w:before="208" w:line="237" w:lineRule="auto"/>
              <w:ind w:left="191" w:firstLine="39"/>
            </w:pPr>
            <w:r>
              <w:rPr>
                <w:spacing w:val="-3"/>
              </w:rPr>
              <w:t>1.准许生活饮用水单位从事饮用水的生产供应、销告和使用。2.水源选择应符合《生活饮用水集中式供水单位卫生规范》第</w:t>
            </w:r>
            <w:r>
              <w:rPr>
                <w:spacing w:val="12"/>
              </w:rPr>
              <w:t xml:space="preserve"> </w:t>
            </w:r>
            <w:r>
              <w:t>5、6、7条的规定；水源水水质应当符合《地表水环境质量标准》(GB3838)或《地下水质量标准》</w:t>
            </w:r>
            <w:r>
              <w:rPr>
                <w:spacing w:val="-1"/>
              </w:rPr>
              <w:t>(GB/T14848)3.水源卫</w:t>
            </w:r>
          </w:p>
          <w:p w14:paraId="12E7DE2E">
            <w:pPr>
              <w:pStyle w:val="6"/>
              <w:spacing w:before="19" w:line="245" w:lineRule="auto"/>
              <w:ind w:left="221" w:firstLine="19"/>
            </w:pPr>
            <w:r>
              <w:rPr>
                <w:spacing w:val="-3"/>
              </w:rPr>
              <w:t>生防护应符合《生活饮用水卫生监督管理办法》第13条以及《生活饮用水集中式供水单位卫生规范》第8、10、11条的规定</w:t>
            </w:r>
            <w:r>
              <w:rPr>
                <w:spacing w:val="8"/>
              </w:rPr>
              <w:t xml:space="preserve">  </w:t>
            </w:r>
            <w:r>
              <w:rPr>
                <w:spacing w:val="-1"/>
              </w:rPr>
              <w:t>4.供水单位应符合《生活饮用水卫生监督管理办法》第8条，《生活饮用水集中式供水单位卫生规范》第16、17</w:t>
            </w:r>
            <w:r>
              <w:rPr>
                <w:spacing w:val="-2"/>
              </w:rPr>
              <w:t>、18、19、</w:t>
            </w:r>
            <w:r>
              <w:t xml:space="preserve"> </w:t>
            </w:r>
            <w:r>
              <w:rPr>
                <w:spacing w:val="-4"/>
              </w:rPr>
              <w:t>24、26、27条等的规定。集中式供水单位卫生管理、制水工艺、储水供水、水质检验设备、使用的涉水产品等应当符合《生</w:t>
            </w:r>
            <w:r>
              <w:rPr>
                <w:spacing w:val="5"/>
              </w:rPr>
              <w:t xml:space="preserve">  </w:t>
            </w:r>
            <w:r>
              <w:rPr>
                <w:spacing w:val="-4"/>
              </w:rPr>
              <w:t>活饮用水卫生监督管理办法》、《生活饮用水集中式供水单位卫生规范》及国家其他有关规定。5.水质检验应符合《生活饮</w:t>
            </w:r>
          </w:p>
          <w:p w14:paraId="54CEC557">
            <w:pPr>
              <w:pStyle w:val="6"/>
              <w:spacing w:before="30" w:line="248" w:lineRule="auto"/>
              <w:ind w:left="351" w:right="98" w:hanging="199"/>
            </w:pPr>
            <w:r>
              <w:t>用水卫生监督管理办法》第10条、《生活饮用水集中式供水单位卫生规范》第30条、31</w:t>
            </w:r>
            <w:r>
              <w:rPr>
                <w:spacing w:val="-1"/>
              </w:rPr>
              <w:t>条及《生活饮用水标准检验方法》</w:t>
            </w:r>
            <w:r>
              <w:t xml:space="preserve"> (GB5750-2006)的规定6.二次供水应符合《二次供水设施卫生规范》(GB17051)7.供水单位供应的饮用水水质应当符</w:t>
            </w:r>
          </w:p>
          <w:p w14:paraId="09E473EC">
            <w:pPr>
              <w:pStyle w:val="6"/>
              <w:spacing w:before="1" w:line="219" w:lineRule="auto"/>
              <w:ind w:left="231"/>
            </w:pPr>
            <w:r>
              <w:rPr>
                <w:spacing w:val="1"/>
              </w:rPr>
              <w:t>合《生活饮用水卫生标准》(</w:t>
            </w:r>
            <w:r>
              <w:t>GB</w:t>
            </w:r>
            <w:r>
              <w:rPr>
                <w:spacing w:val="1"/>
              </w:rPr>
              <w:t>5749-2006)</w:t>
            </w:r>
          </w:p>
        </w:tc>
      </w:tr>
    </w:tbl>
    <w:p w14:paraId="6C3C508E">
      <w:pPr>
        <w:pStyle w:val="2"/>
        <w:spacing w:line="272" w:lineRule="auto"/>
      </w:pPr>
    </w:p>
    <w:p w14:paraId="00E40D4A">
      <w:pPr>
        <w:pStyle w:val="2"/>
        <w:spacing w:line="272" w:lineRule="auto"/>
      </w:pPr>
    </w:p>
    <w:p w14:paraId="10BACAED">
      <w:pPr>
        <w:spacing w:before="85" w:line="222" w:lineRule="auto"/>
        <w:ind w:left="3"/>
        <w:outlineLvl w:val="0"/>
        <w:rPr>
          <w:rFonts w:ascii="黑体" w:hAnsi="黑体" w:eastAsia="黑体" w:cs="黑体"/>
          <w:sz w:val="26"/>
          <w:szCs w:val="26"/>
        </w:rPr>
      </w:pPr>
      <w:r>
        <w:rPr>
          <w:rFonts w:ascii="黑体" w:hAnsi="黑体" w:eastAsia="黑体" w:cs="黑体"/>
          <w:b/>
          <w:bCs/>
          <w:spacing w:val="-19"/>
          <w:sz w:val="26"/>
          <w:szCs w:val="26"/>
        </w:rPr>
        <w:t>四、</w:t>
      </w:r>
      <w:r>
        <w:rPr>
          <w:rFonts w:ascii="黑体" w:hAnsi="黑体" w:eastAsia="黑体" w:cs="黑体"/>
          <w:spacing w:val="19"/>
          <w:sz w:val="26"/>
          <w:szCs w:val="26"/>
        </w:rPr>
        <w:t xml:space="preserve"> </w:t>
      </w:r>
      <w:r>
        <w:rPr>
          <w:rFonts w:ascii="黑体" w:hAnsi="黑体" w:eastAsia="黑体" w:cs="黑体"/>
          <w:b/>
          <w:bCs/>
          <w:spacing w:val="-19"/>
          <w:sz w:val="26"/>
          <w:szCs w:val="26"/>
        </w:rPr>
        <w:t>申请材料</w:t>
      </w:r>
    </w:p>
    <w:p w14:paraId="2400DB9C">
      <w:pPr>
        <w:spacing w:line="222" w:lineRule="auto"/>
        <w:rPr>
          <w:rFonts w:ascii="黑体" w:hAnsi="黑体" w:eastAsia="黑体" w:cs="黑体"/>
          <w:sz w:val="26"/>
          <w:szCs w:val="26"/>
        </w:rPr>
        <w:sectPr>
          <w:footerReference r:id="rId5" w:type="default"/>
          <w:pgSz w:w="11910" w:h="16840"/>
          <w:pgMar w:top="594" w:right="497" w:bottom="1" w:left="459" w:header="0" w:footer="0" w:gutter="0"/>
          <w:cols w:space="720" w:num="1"/>
        </w:sectPr>
      </w:pPr>
    </w:p>
    <w:p w14:paraId="13CFB5F0">
      <w:pPr>
        <w:spacing w:before="52" w:line="221" w:lineRule="auto"/>
        <w:ind w:left="3"/>
        <w:outlineLvl w:val="0"/>
        <w:rPr>
          <w:rFonts w:ascii="黑体" w:hAnsi="黑体" w:eastAsia="黑体" w:cs="黑体"/>
          <w:sz w:val="26"/>
          <w:szCs w:val="26"/>
        </w:rPr>
      </w:pPr>
      <w:r>
        <w:rPr>
          <w:rFonts w:ascii="黑体" w:hAnsi="黑体" w:eastAsia="黑体" w:cs="黑体"/>
          <w:b/>
          <w:bCs/>
          <w:spacing w:val="-13"/>
          <w:sz w:val="26"/>
          <w:szCs w:val="26"/>
        </w:rPr>
        <w:t>五</w:t>
      </w:r>
      <w:r>
        <w:rPr>
          <w:rFonts w:ascii="黑体" w:hAnsi="黑体" w:eastAsia="黑体" w:cs="黑体"/>
          <w:spacing w:val="-32"/>
          <w:sz w:val="26"/>
          <w:szCs w:val="26"/>
        </w:rPr>
        <w:t xml:space="preserve"> </w:t>
      </w:r>
      <w:r>
        <w:rPr>
          <w:rFonts w:ascii="黑体" w:hAnsi="黑体" w:eastAsia="黑体" w:cs="黑体"/>
          <w:b/>
          <w:bCs/>
          <w:spacing w:val="-13"/>
          <w:sz w:val="26"/>
          <w:szCs w:val="26"/>
        </w:rPr>
        <w:t>、办理流程</w:t>
      </w:r>
    </w:p>
    <w:p w14:paraId="46E1DD08">
      <w:pPr>
        <w:spacing w:line="219" w:lineRule="exact"/>
      </w:pPr>
    </w:p>
    <w:tbl>
      <w:tblPr>
        <w:tblStyle w:val="5"/>
        <w:tblW w:w="10918"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68"/>
        <w:gridCol w:w="4716"/>
        <w:gridCol w:w="3080"/>
      </w:tblGrid>
      <w:tr w14:paraId="080CF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54" w:type="dxa"/>
            <w:vAlign w:val="top"/>
          </w:tcPr>
          <w:p w14:paraId="7C9DA3DD">
            <w:pPr>
              <w:pStyle w:val="6"/>
              <w:spacing w:before="189" w:line="220" w:lineRule="auto"/>
              <w:ind w:left="257"/>
            </w:pPr>
            <w:r>
              <w:rPr>
                <w:b/>
                <w:bCs/>
                <w:color w:val="003083"/>
                <w:spacing w:val="-4"/>
              </w:rPr>
              <w:t>环节</w:t>
            </w:r>
          </w:p>
        </w:tc>
        <w:tc>
          <w:tcPr>
            <w:tcW w:w="2268" w:type="dxa"/>
            <w:vAlign w:val="top"/>
          </w:tcPr>
          <w:p w14:paraId="7DD410E4">
            <w:pPr>
              <w:pStyle w:val="6"/>
              <w:spacing w:before="189" w:line="219" w:lineRule="auto"/>
              <w:ind w:left="243"/>
            </w:pPr>
            <w:r>
              <w:rPr>
                <w:b/>
                <w:bCs/>
                <w:color w:val="002D86"/>
              </w:rPr>
              <w:t>受理和办理时限(工作日)</w:t>
            </w:r>
          </w:p>
        </w:tc>
        <w:tc>
          <w:tcPr>
            <w:tcW w:w="4716" w:type="dxa"/>
            <w:vAlign w:val="top"/>
          </w:tcPr>
          <w:p w14:paraId="3BD47FD4">
            <w:pPr>
              <w:pStyle w:val="6"/>
              <w:spacing w:before="189" w:line="220" w:lineRule="auto"/>
              <w:ind w:left="2035"/>
            </w:pPr>
            <w:r>
              <w:rPr>
                <w:b/>
                <w:bCs/>
                <w:spacing w:val="-5"/>
              </w:rPr>
              <w:t>审批标准</w:t>
            </w:r>
          </w:p>
        </w:tc>
        <w:tc>
          <w:tcPr>
            <w:tcW w:w="3080" w:type="dxa"/>
            <w:vAlign w:val="top"/>
          </w:tcPr>
          <w:p w14:paraId="4191B019">
            <w:pPr>
              <w:pStyle w:val="6"/>
              <w:spacing w:before="189" w:line="219" w:lineRule="auto"/>
              <w:ind w:left="1209"/>
            </w:pPr>
            <w:r>
              <w:rPr>
                <w:b/>
                <w:bCs/>
                <w:color w:val="003082"/>
                <w:spacing w:val="-4"/>
              </w:rPr>
              <w:t>办理结果</w:t>
            </w:r>
          </w:p>
        </w:tc>
      </w:tr>
      <w:tr w14:paraId="43883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54" w:type="dxa"/>
            <w:vAlign w:val="top"/>
          </w:tcPr>
          <w:p w14:paraId="15B945A1">
            <w:pPr>
              <w:spacing w:line="244" w:lineRule="auto"/>
              <w:rPr>
                <w:rFonts w:ascii="Arial"/>
                <w:sz w:val="21"/>
              </w:rPr>
            </w:pPr>
          </w:p>
          <w:p w14:paraId="1198D09D">
            <w:pPr>
              <w:pStyle w:val="6"/>
              <w:spacing w:before="52" w:line="219" w:lineRule="auto"/>
              <w:ind w:left="254"/>
            </w:pPr>
            <w:r>
              <w:rPr>
                <w:spacing w:val="3"/>
              </w:rPr>
              <w:t>申请</w:t>
            </w:r>
          </w:p>
        </w:tc>
        <w:tc>
          <w:tcPr>
            <w:tcW w:w="10064" w:type="dxa"/>
            <w:gridSpan w:val="3"/>
            <w:vAlign w:val="top"/>
          </w:tcPr>
          <w:p w14:paraId="340C66E5">
            <w:pPr>
              <w:pStyle w:val="6"/>
              <w:spacing w:before="227" w:line="208" w:lineRule="auto"/>
              <w:jc w:val="right"/>
            </w:pPr>
            <w:r>
              <w:t>申请人：云南省行政区域范围内集中式供水单位申请新</w:t>
            </w:r>
            <w:r>
              <w:rPr>
                <w:spacing w:val="-1"/>
              </w:rPr>
              <w:t>办。申请人通过政务服务窗口或云南政务服务网向所属行政区域内卫生健康行政部门提交</w:t>
            </w:r>
          </w:p>
          <w:p w14:paraId="5EEBB971">
            <w:pPr>
              <w:pStyle w:val="6"/>
              <w:spacing w:line="219" w:lineRule="auto"/>
              <w:ind w:left="4820"/>
            </w:pPr>
            <w:r>
              <w:t>申请。</w:t>
            </w:r>
          </w:p>
        </w:tc>
      </w:tr>
      <w:tr w14:paraId="13A5F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854" w:type="dxa"/>
            <w:vAlign w:val="top"/>
          </w:tcPr>
          <w:p w14:paraId="1824651F">
            <w:pPr>
              <w:spacing w:line="277" w:lineRule="auto"/>
              <w:rPr>
                <w:rFonts w:ascii="Arial"/>
                <w:sz w:val="21"/>
              </w:rPr>
            </w:pPr>
          </w:p>
          <w:p w14:paraId="552AB1AA">
            <w:pPr>
              <w:spacing w:line="278" w:lineRule="auto"/>
              <w:rPr>
                <w:rFonts w:ascii="Arial"/>
                <w:sz w:val="21"/>
              </w:rPr>
            </w:pPr>
          </w:p>
          <w:p w14:paraId="5EBD794D">
            <w:pPr>
              <w:spacing w:line="278" w:lineRule="auto"/>
              <w:rPr>
                <w:rFonts w:ascii="Arial"/>
                <w:sz w:val="21"/>
              </w:rPr>
            </w:pPr>
          </w:p>
          <w:p w14:paraId="3AAE4552">
            <w:pPr>
              <w:spacing w:line="278" w:lineRule="auto"/>
              <w:rPr>
                <w:rFonts w:ascii="Arial"/>
                <w:sz w:val="21"/>
              </w:rPr>
            </w:pPr>
          </w:p>
          <w:p w14:paraId="5CF5DE6A">
            <w:pPr>
              <w:pStyle w:val="6"/>
              <w:spacing w:before="52" w:line="221" w:lineRule="auto"/>
              <w:ind w:left="254"/>
            </w:pPr>
            <w:r>
              <w:rPr>
                <w:spacing w:val="-3"/>
              </w:rPr>
              <w:t>受理</w:t>
            </w:r>
          </w:p>
        </w:tc>
        <w:tc>
          <w:tcPr>
            <w:tcW w:w="2268" w:type="dxa"/>
            <w:vAlign w:val="top"/>
          </w:tcPr>
          <w:p w14:paraId="62FD3D99">
            <w:pPr>
              <w:spacing w:line="277" w:lineRule="auto"/>
              <w:rPr>
                <w:rFonts w:ascii="Arial"/>
                <w:sz w:val="21"/>
              </w:rPr>
            </w:pPr>
          </w:p>
          <w:p w14:paraId="5A38E0EE">
            <w:pPr>
              <w:spacing w:line="277" w:lineRule="auto"/>
              <w:rPr>
                <w:rFonts w:ascii="Arial"/>
                <w:sz w:val="21"/>
              </w:rPr>
            </w:pPr>
          </w:p>
          <w:p w14:paraId="77229232">
            <w:pPr>
              <w:spacing w:line="277" w:lineRule="auto"/>
              <w:rPr>
                <w:rFonts w:ascii="Arial"/>
                <w:sz w:val="21"/>
              </w:rPr>
            </w:pPr>
          </w:p>
          <w:p w14:paraId="03648B53">
            <w:pPr>
              <w:spacing w:line="278" w:lineRule="auto"/>
              <w:rPr>
                <w:rFonts w:ascii="Arial"/>
                <w:sz w:val="21"/>
              </w:rPr>
            </w:pPr>
          </w:p>
          <w:p w14:paraId="3072605C">
            <w:pPr>
              <w:pStyle w:val="6"/>
              <w:spacing w:before="52" w:line="219" w:lineRule="auto"/>
              <w:ind w:left="801"/>
            </w:pPr>
            <w:r>
              <w:rPr>
                <w:spacing w:val="1"/>
              </w:rPr>
              <w:t>即时办理</w:t>
            </w:r>
          </w:p>
        </w:tc>
        <w:tc>
          <w:tcPr>
            <w:tcW w:w="4716" w:type="dxa"/>
            <w:vAlign w:val="top"/>
          </w:tcPr>
          <w:p w14:paraId="0708422E">
            <w:pPr>
              <w:pStyle w:val="6"/>
              <w:spacing w:before="198" w:line="246" w:lineRule="auto"/>
              <w:ind w:left="252" w:hanging="29"/>
            </w:pPr>
            <w:r>
              <w:rPr>
                <w:spacing w:val="-1"/>
              </w:rPr>
              <w:t>受理人：属地卫生健康行政部门。1.对申请材料符合要求的</w:t>
            </w:r>
            <w:r>
              <w:rPr>
                <w:spacing w:val="-2"/>
              </w:rPr>
              <w:t>，准</w:t>
            </w:r>
            <w:r>
              <w:t xml:space="preserve"> </w:t>
            </w:r>
            <w:r>
              <w:rPr>
                <w:spacing w:val="-1"/>
              </w:rPr>
              <w:t>予受理，并向申请人发送《行政许可申请受理通知书》</w:t>
            </w:r>
            <w:r>
              <w:rPr>
                <w:spacing w:val="-2"/>
              </w:rPr>
              <w:t>;申请材</w:t>
            </w:r>
            <w:r>
              <w:t xml:space="preserve">  料不齐全或者不符合法定形式的，应在5个工作</w:t>
            </w:r>
            <w:r>
              <w:rPr>
                <w:spacing w:val="-1"/>
              </w:rPr>
              <w:t>日内向申请人出 具《申请材料补正通知书》;对申请事项依法不属于本行</w:t>
            </w:r>
            <w:r>
              <w:rPr>
                <w:spacing w:val="-2"/>
              </w:rPr>
              <w:t>政机关</w:t>
            </w:r>
            <w:r>
              <w:t xml:space="preserve">  </w:t>
            </w:r>
            <w:r>
              <w:rPr>
                <w:spacing w:val="-1"/>
              </w:rPr>
              <w:t>职权范围的，应当即时作出不予受理的决定，并告知申请人向有</w:t>
            </w:r>
            <w:r>
              <w:t xml:space="preserve"> 关行政机关申请，并发出相应的《行政许可申请不予受理决定</w:t>
            </w:r>
          </w:p>
          <w:p w14:paraId="3040A58C">
            <w:pPr>
              <w:pStyle w:val="6"/>
              <w:spacing w:before="29" w:line="218" w:lineRule="auto"/>
              <w:ind w:left="193"/>
            </w:pPr>
            <w:r>
              <w:t>书》;对不需要取得行政许可的，应当即时告知申请人不受理，</w:t>
            </w:r>
          </w:p>
          <w:p w14:paraId="68A059D8">
            <w:pPr>
              <w:pStyle w:val="6"/>
              <w:spacing w:before="21" w:line="219" w:lineRule="auto"/>
              <w:ind w:right="13"/>
              <w:jc w:val="right"/>
            </w:pPr>
            <w:r>
              <w:rPr>
                <w:spacing w:val="-1"/>
              </w:rPr>
              <w:t>并发出相应的《行政许可申请不予受理决定书》。2.须书面审查</w:t>
            </w:r>
          </w:p>
          <w:p w14:paraId="59D281C1">
            <w:pPr>
              <w:pStyle w:val="6"/>
              <w:spacing w:before="40" w:line="219" w:lineRule="auto"/>
              <w:ind w:left="193"/>
            </w:pPr>
            <w:r>
              <w:t>和实地核查相结合的，经审查，申请材料符</w:t>
            </w:r>
            <w:r>
              <w:rPr>
                <w:spacing w:val="-1"/>
              </w:rPr>
              <w:t>合申请材料目录的</w:t>
            </w:r>
          </w:p>
          <w:p w14:paraId="10450DCA">
            <w:pPr>
              <w:pStyle w:val="6"/>
              <w:spacing w:before="21" w:line="220" w:lineRule="auto"/>
              <w:ind w:left="1672"/>
            </w:pPr>
            <w:r>
              <w:t>进入现场审核环节。</w:t>
            </w:r>
          </w:p>
        </w:tc>
        <w:tc>
          <w:tcPr>
            <w:tcW w:w="3080" w:type="dxa"/>
            <w:vAlign w:val="top"/>
          </w:tcPr>
          <w:p w14:paraId="0EF23E0E">
            <w:pPr>
              <w:spacing w:line="273" w:lineRule="auto"/>
              <w:rPr>
                <w:rFonts w:ascii="Arial"/>
                <w:sz w:val="21"/>
              </w:rPr>
            </w:pPr>
          </w:p>
          <w:p w14:paraId="349ED678">
            <w:pPr>
              <w:pStyle w:val="6"/>
              <w:spacing w:before="52" w:line="225" w:lineRule="auto"/>
              <w:ind w:left="167" w:right="143" w:firstLine="39"/>
            </w:pPr>
            <w:r>
              <w:rPr>
                <w:spacing w:val="-1"/>
              </w:rPr>
              <w:t>1.申请事项属于本行政机关职权范围，</w:t>
            </w:r>
            <w:r>
              <w:rPr>
                <w:spacing w:val="16"/>
              </w:rPr>
              <w:t xml:space="preserve"> </w:t>
            </w:r>
            <w:r>
              <w:rPr>
                <w:spacing w:val="1"/>
              </w:rPr>
              <w:t>申请材料齐全、符合法定形式，或者申</w:t>
            </w:r>
          </w:p>
          <w:p w14:paraId="36AB121F">
            <w:pPr>
              <w:pStyle w:val="6"/>
              <w:spacing w:before="50" w:line="225" w:lineRule="auto"/>
              <w:ind w:left="206" w:right="87" w:firstLine="60"/>
            </w:pPr>
            <w:r>
              <w:rPr>
                <w:spacing w:val="-1"/>
              </w:rPr>
              <w:t>请人按照本行政机关的要求提交全部补</w:t>
            </w:r>
            <w:r>
              <w:rPr>
                <w:spacing w:val="11"/>
              </w:rPr>
              <w:t xml:space="preserve"> </w:t>
            </w:r>
            <w:r>
              <w:rPr>
                <w:spacing w:val="1"/>
              </w:rPr>
              <w:t>正申请材料的，出具《受理通知书》;</w:t>
            </w:r>
          </w:p>
          <w:p w14:paraId="14E1D1D9">
            <w:pPr>
              <w:pStyle w:val="6"/>
              <w:spacing w:before="30" w:line="219" w:lineRule="auto"/>
              <w:ind w:left="206"/>
            </w:pPr>
            <w:r>
              <w:t>2.申请事项属于本行政机关职权范围，</w:t>
            </w:r>
          </w:p>
          <w:p w14:paraId="1567849A">
            <w:pPr>
              <w:pStyle w:val="6"/>
              <w:spacing w:before="30" w:line="219" w:lineRule="auto"/>
              <w:ind w:left="167"/>
            </w:pPr>
            <w:r>
              <w:rPr>
                <w:spacing w:val="-1"/>
              </w:rPr>
              <w:t>但申请材料不齐全或者不符合法定形式</w:t>
            </w:r>
          </w:p>
          <w:p w14:paraId="32E4A3A2">
            <w:pPr>
              <w:pStyle w:val="6"/>
              <w:spacing w:before="29" w:line="218" w:lineRule="auto"/>
              <w:ind w:left="206"/>
            </w:pPr>
            <w:r>
              <w:t>的，出具《补正告知书》;3.申请事项</w:t>
            </w:r>
          </w:p>
          <w:p w14:paraId="2B3B35F7">
            <w:pPr>
              <w:pStyle w:val="6"/>
              <w:spacing w:before="51" w:line="219" w:lineRule="auto"/>
              <w:ind w:left="246"/>
            </w:pPr>
            <w:r>
              <w:rPr>
                <w:spacing w:val="-1"/>
              </w:rPr>
              <w:t>不属于本行政机关职权范围的，出具</w:t>
            </w:r>
          </w:p>
          <w:p w14:paraId="347BEDF6">
            <w:pPr>
              <w:pStyle w:val="6"/>
              <w:spacing w:before="10" w:line="219" w:lineRule="auto"/>
              <w:ind w:left="726"/>
            </w:pPr>
            <w:r>
              <w:rPr>
                <w:spacing w:val="-1"/>
              </w:rPr>
              <w:t>《不予受理通知书》。</w:t>
            </w:r>
          </w:p>
        </w:tc>
      </w:tr>
      <w:tr w14:paraId="13F0A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trPr>
        <w:tc>
          <w:tcPr>
            <w:tcW w:w="854" w:type="dxa"/>
            <w:vAlign w:val="top"/>
          </w:tcPr>
          <w:p w14:paraId="7CF92755">
            <w:pPr>
              <w:spacing w:line="343" w:lineRule="auto"/>
              <w:rPr>
                <w:rFonts w:ascii="Arial"/>
                <w:sz w:val="21"/>
              </w:rPr>
            </w:pPr>
          </w:p>
          <w:p w14:paraId="64FF3BC4">
            <w:pPr>
              <w:spacing w:line="343" w:lineRule="auto"/>
              <w:rPr>
                <w:rFonts w:ascii="Arial"/>
                <w:sz w:val="21"/>
              </w:rPr>
            </w:pPr>
          </w:p>
          <w:p w14:paraId="23CC992A">
            <w:pPr>
              <w:pStyle w:val="6"/>
              <w:spacing w:before="52" w:line="220" w:lineRule="auto"/>
              <w:ind w:left="254"/>
            </w:pPr>
            <w:r>
              <w:rPr>
                <w:spacing w:val="4"/>
              </w:rPr>
              <w:t>审查</w:t>
            </w:r>
          </w:p>
        </w:tc>
        <w:tc>
          <w:tcPr>
            <w:tcW w:w="2268" w:type="dxa"/>
            <w:vAlign w:val="top"/>
          </w:tcPr>
          <w:p w14:paraId="308855DC">
            <w:pPr>
              <w:spacing w:line="343" w:lineRule="auto"/>
              <w:rPr>
                <w:rFonts w:ascii="Arial"/>
                <w:sz w:val="21"/>
              </w:rPr>
            </w:pPr>
          </w:p>
          <w:p w14:paraId="348235DF">
            <w:pPr>
              <w:spacing w:line="343" w:lineRule="auto"/>
              <w:rPr>
                <w:rFonts w:ascii="Arial"/>
                <w:sz w:val="21"/>
              </w:rPr>
            </w:pPr>
          </w:p>
          <w:p w14:paraId="2D9AE754">
            <w:pPr>
              <w:pStyle w:val="6"/>
              <w:spacing w:before="52" w:line="219" w:lineRule="auto"/>
              <w:ind w:left="801"/>
            </w:pPr>
            <w:r>
              <w:rPr>
                <w:spacing w:val="1"/>
              </w:rPr>
              <w:t>即时办理</w:t>
            </w:r>
          </w:p>
        </w:tc>
        <w:tc>
          <w:tcPr>
            <w:tcW w:w="4716" w:type="dxa"/>
            <w:vAlign w:val="top"/>
          </w:tcPr>
          <w:p w14:paraId="42A5A903">
            <w:pPr>
              <w:pStyle w:val="6"/>
              <w:spacing w:before="211" w:line="219" w:lineRule="auto"/>
              <w:ind w:left="293"/>
            </w:pPr>
            <w:r>
              <w:t>审查人：属地卫生健康行政部门。各级卫生健康委依据审批条</w:t>
            </w:r>
          </w:p>
          <w:p w14:paraId="358ACA8D">
            <w:pPr>
              <w:pStyle w:val="6"/>
              <w:spacing w:before="20" w:line="219" w:lineRule="auto"/>
              <w:ind w:left="382"/>
            </w:pPr>
            <w:r>
              <w:t>件对申请材料进行审查，根据《中华人民共</w:t>
            </w:r>
            <w:r>
              <w:rPr>
                <w:spacing w:val="-1"/>
              </w:rPr>
              <w:t>和国传染病防治</w:t>
            </w:r>
          </w:p>
          <w:p w14:paraId="55E797F5">
            <w:pPr>
              <w:pStyle w:val="6"/>
              <w:spacing w:before="60" w:line="219" w:lineRule="auto"/>
              <w:jc w:val="right"/>
            </w:pPr>
            <w:r>
              <w:rPr>
                <w:spacing w:val="-22"/>
              </w:rPr>
              <w:t xml:space="preserve">法》、    </w:t>
            </w:r>
            <w:r>
              <w:rPr>
                <w:spacing w:val="-21"/>
              </w:rPr>
              <w:t>《生活饮用水卫生监督管理办法》、</w:t>
            </w:r>
            <w:r>
              <w:rPr>
                <w:spacing w:val="1"/>
              </w:rPr>
              <w:t xml:space="preserve">    </w:t>
            </w:r>
            <w:r>
              <w:rPr>
                <w:spacing w:val="-21"/>
              </w:rPr>
              <w:t>《国务</w:t>
            </w:r>
            <w:r>
              <w:rPr>
                <w:spacing w:val="-22"/>
              </w:rPr>
              <w:t>院对确需保</w:t>
            </w:r>
            <w:r>
              <w:rPr>
                <w:spacing w:val="-15"/>
              </w:rPr>
              <w:t>留</w:t>
            </w:r>
          </w:p>
          <w:p w14:paraId="05781012">
            <w:pPr>
              <w:pStyle w:val="6"/>
              <w:spacing w:line="218" w:lineRule="auto"/>
              <w:jc w:val="right"/>
            </w:pPr>
            <w:r>
              <w:rPr>
                <w:spacing w:val="-1"/>
              </w:rPr>
              <w:t>的行政审批项目设定行政许可的决定》、《生活饮用水集中式供</w:t>
            </w:r>
          </w:p>
          <w:p w14:paraId="33D5DA99">
            <w:pPr>
              <w:pStyle w:val="6"/>
              <w:spacing w:before="20" w:line="219" w:lineRule="auto"/>
              <w:jc w:val="right"/>
            </w:pPr>
            <w:r>
              <w:rPr>
                <w:spacing w:val="-1"/>
              </w:rPr>
              <w:t>水单位卫生规范》、《二次供水设施卫生规范》等文件视情形需</w:t>
            </w:r>
          </w:p>
          <w:p w14:paraId="1CEDB2DC">
            <w:pPr>
              <w:pStyle w:val="6"/>
              <w:spacing w:before="31" w:line="220" w:lineRule="auto"/>
              <w:ind w:left="1113"/>
            </w:pPr>
            <w:r>
              <w:rPr>
                <w:spacing w:val="-1"/>
              </w:rPr>
              <w:t>要，组织进行现场审核和专家评审。</w:t>
            </w:r>
          </w:p>
        </w:tc>
        <w:tc>
          <w:tcPr>
            <w:tcW w:w="3080" w:type="dxa"/>
            <w:vAlign w:val="top"/>
          </w:tcPr>
          <w:p w14:paraId="42F2F28F">
            <w:pPr>
              <w:spacing w:line="297" w:lineRule="auto"/>
              <w:rPr>
                <w:rFonts w:ascii="Arial"/>
                <w:sz w:val="21"/>
              </w:rPr>
            </w:pPr>
          </w:p>
          <w:p w14:paraId="1046C2D3">
            <w:pPr>
              <w:spacing w:line="298" w:lineRule="auto"/>
              <w:rPr>
                <w:rFonts w:ascii="Arial"/>
                <w:sz w:val="21"/>
              </w:rPr>
            </w:pPr>
          </w:p>
          <w:p w14:paraId="35150598">
            <w:pPr>
              <w:pStyle w:val="6"/>
              <w:spacing w:before="52" w:line="219" w:lineRule="auto"/>
              <w:ind w:left="167"/>
            </w:pPr>
            <w:r>
              <w:rPr>
                <w:spacing w:val="-1"/>
              </w:rPr>
              <w:t>根据法定条件和程序，对申请材料的实</w:t>
            </w:r>
          </w:p>
          <w:p w14:paraId="72510E95">
            <w:pPr>
              <w:pStyle w:val="6"/>
              <w:spacing w:before="41" w:line="219" w:lineRule="auto"/>
              <w:ind w:left="367"/>
            </w:pPr>
            <w:r>
              <w:rPr>
                <w:spacing w:val="-1"/>
              </w:rPr>
              <w:t>质内容进行审查，出具审查意见。</w:t>
            </w:r>
          </w:p>
        </w:tc>
      </w:tr>
      <w:tr w14:paraId="10289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854" w:type="dxa"/>
            <w:vAlign w:val="top"/>
          </w:tcPr>
          <w:p w14:paraId="1FB4E64D">
            <w:pPr>
              <w:spacing w:line="339" w:lineRule="auto"/>
              <w:rPr>
                <w:rFonts w:ascii="Arial"/>
                <w:sz w:val="21"/>
              </w:rPr>
            </w:pPr>
          </w:p>
          <w:p w14:paraId="6817EF1E">
            <w:pPr>
              <w:spacing w:line="339" w:lineRule="auto"/>
              <w:rPr>
                <w:rFonts w:ascii="Arial"/>
                <w:sz w:val="21"/>
              </w:rPr>
            </w:pPr>
          </w:p>
          <w:p w14:paraId="02E7D8DE">
            <w:pPr>
              <w:pStyle w:val="6"/>
              <w:spacing w:before="52" w:line="219" w:lineRule="auto"/>
              <w:ind w:left="254"/>
            </w:pPr>
            <w:r>
              <w:rPr>
                <w:spacing w:val="5"/>
              </w:rPr>
              <w:t>决定</w:t>
            </w:r>
          </w:p>
        </w:tc>
        <w:tc>
          <w:tcPr>
            <w:tcW w:w="2268" w:type="dxa"/>
            <w:vAlign w:val="top"/>
          </w:tcPr>
          <w:p w14:paraId="26511E00">
            <w:pPr>
              <w:spacing w:line="339" w:lineRule="auto"/>
              <w:rPr>
                <w:rFonts w:ascii="Arial"/>
                <w:sz w:val="21"/>
              </w:rPr>
            </w:pPr>
          </w:p>
          <w:p w14:paraId="3DF9CA6F">
            <w:pPr>
              <w:spacing w:line="339" w:lineRule="auto"/>
              <w:rPr>
                <w:rFonts w:ascii="Arial"/>
                <w:sz w:val="21"/>
              </w:rPr>
            </w:pPr>
          </w:p>
          <w:p w14:paraId="3F271565">
            <w:pPr>
              <w:pStyle w:val="6"/>
              <w:spacing w:before="52" w:line="219" w:lineRule="auto"/>
              <w:ind w:left="801"/>
            </w:pPr>
            <w:r>
              <w:rPr>
                <w:spacing w:val="1"/>
              </w:rPr>
              <w:t>即时办理</w:t>
            </w:r>
          </w:p>
        </w:tc>
        <w:tc>
          <w:tcPr>
            <w:tcW w:w="4716" w:type="dxa"/>
            <w:vAlign w:val="top"/>
          </w:tcPr>
          <w:p w14:paraId="0FDCC2A4">
            <w:pPr>
              <w:spacing w:line="469" w:lineRule="auto"/>
              <w:rPr>
                <w:rFonts w:ascii="Arial"/>
                <w:sz w:val="21"/>
              </w:rPr>
            </w:pPr>
          </w:p>
          <w:p w14:paraId="44EDA27B">
            <w:pPr>
              <w:pStyle w:val="6"/>
              <w:spacing w:before="52" w:line="238" w:lineRule="auto"/>
              <w:ind w:left="193" w:right="152"/>
              <w:jc w:val="both"/>
            </w:pPr>
            <w:r>
              <w:t>决定人为：属地卫生健康行政部门负责行政审批的部门或负责</w:t>
            </w:r>
            <w:r>
              <w:rPr>
                <w:spacing w:val="9"/>
              </w:rPr>
              <w:t xml:space="preserve"> </w:t>
            </w:r>
            <w:r>
              <w:rPr>
                <w:spacing w:val="-1"/>
              </w:rPr>
              <w:t xml:space="preserve">人。材料完整、形式符合规范，现场核查结论合格的，予以许 </w:t>
            </w:r>
            <w:r>
              <w:rPr>
                <w:spacing w:val="1"/>
              </w:rPr>
              <w:t>可。现场核查结论不合格的，做出《不予行政许可决定书》。</w:t>
            </w:r>
          </w:p>
        </w:tc>
        <w:tc>
          <w:tcPr>
            <w:tcW w:w="3080" w:type="dxa"/>
            <w:vAlign w:val="top"/>
          </w:tcPr>
          <w:p w14:paraId="3A1348CA">
            <w:pPr>
              <w:pStyle w:val="6"/>
              <w:spacing w:before="213" w:line="235" w:lineRule="auto"/>
              <w:ind w:left="246" w:right="82" w:firstLine="10"/>
            </w:pPr>
            <w:r>
              <w:t>1.申请符合法定条件、标准的，依法作</w:t>
            </w:r>
            <w:r>
              <w:rPr>
                <w:spacing w:val="9"/>
              </w:rPr>
              <w:t xml:space="preserve"> </w:t>
            </w:r>
            <w:r>
              <w:t>出准予行政许可的书面决定，需要颁发</w:t>
            </w:r>
            <w:r>
              <w:rPr>
                <w:spacing w:val="15"/>
              </w:rPr>
              <w:t xml:space="preserve"> </w:t>
            </w:r>
            <w:r>
              <w:rPr>
                <w:spacing w:val="-1"/>
              </w:rPr>
              <w:t>行政许可证件的，制作行政许可证件</w:t>
            </w:r>
          </w:p>
          <w:p w14:paraId="367A4B41">
            <w:pPr>
              <w:pStyle w:val="6"/>
              <w:spacing w:before="10" w:line="219" w:lineRule="auto"/>
              <w:ind w:left="287"/>
            </w:pPr>
            <w:r>
              <w:t>(含电子证照);2.申请不符合法定条</w:t>
            </w:r>
          </w:p>
          <w:p w14:paraId="26D0C308">
            <w:pPr>
              <w:pStyle w:val="6"/>
              <w:spacing w:before="30" w:line="230" w:lineRule="auto"/>
              <w:ind w:left="1206" w:right="188" w:hanging="1039"/>
            </w:pPr>
            <w:r>
              <w:rPr>
                <w:spacing w:val="-1"/>
              </w:rPr>
              <w:t>件、标准的，依法作出不予行政许可的</w:t>
            </w:r>
            <w:r>
              <w:rPr>
                <w:spacing w:val="10"/>
              </w:rPr>
              <w:t xml:space="preserve"> </w:t>
            </w:r>
            <w:r>
              <w:rPr>
                <w:spacing w:val="-2"/>
              </w:rPr>
              <w:t>书面决定</w:t>
            </w:r>
          </w:p>
        </w:tc>
      </w:tr>
      <w:tr w14:paraId="45E92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54" w:type="dxa"/>
            <w:vAlign w:val="top"/>
          </w:tcPr>
          <w:p w14:paraId="44291ED3">
            <w:pPr>
              <w:pStyle w:val="6"/>
              <w:spacing w:before="192" w:line="227" w:lineRule="auto"/>
              <w:ind w:left="254"/>
            </w:pPr>
            <w:r>
              <w:rPr>
                <w:spacing w:val="-2"/>
              </w:rPr>
              <w:t>送达</w:t>
            </w:r>
          </w:p>
        </w:tc>
        <w:tc>
          <w:tcPr>
            <w:tcW w:w="10064" w:type="dxa"/>
            <w:gridSpan w:val="3"/>
            <w:vAlign w:val="top"/>
          </w:tcPr>
          <w:p w14:paraId="11996F90">
            <w:pPr>
              <w:pStyle w:val="6"/>
              <w:spacing w:before="186" w:line="219" w:lineRule="auto"/>
              <w:ind w:left="1461"/>
            </w:pPr>
            <w:r>
              <w:t>自作出决定之日起10个工作日内，在属地卫生健康行政部门办证窗口领取或通过邮寄方式送达申请人。</w:t>
            </w:r>
          </w:p>
        </w:tc>
      </w:tr>
    </w:tbl>
    <w:p w14:paraId="6C745C73">
      <w:pPr>
        <w:pStyle w:val="2"/>
        <w:spacing w:line="282" w:lineRule="auto"/>
      </w:pPr>
    </w:p>
    <w:p w14:paraId="6B248BA0">
      <w:pPr>
        <w:pStyle w:val="2"/>
        <w:spacing w:line="282" w:lineRule="auto"/>
      </w:pPr>
    </w:p>
    <w:p w14:paraId="6C7AFB6C">
      <w:pPr>
        <w:spacing w:before="84" w:line="222" w:lineRule="auto"/>
        <w:ind w:left="3"/>
        <w:outlineLvl w:val="0"/>
        <w:rPr>
          <w:rFonts w:ascii="黑体" w:hAnsi="黑体" w:eastAsia="黑体" w:cs="黑体"/>
          <w:sz w:val="26"/>
          <w:szCs w:val="26"/>
        </w:rPr>
      </w:pPr>
      <w:r>
        <w:rPr>
          <w:rFonts w:ascii="黑体" w:hAnsi="黑体" w:eastAsia="黑体" w:cs="黑体"/>
          <w:b/>
          <w:bCs/>
          <w:spacing w:val="-21"/>
          <w:sz w:val="26"/>
          <w:szCs w:val="26"/>
        </w:rPr>
        <w:t>六、</w:t>
      </w:r>
      <w:r>
        <w:rPr>
          <w:rFonts w:ascii="黑体" w:hAnsi="黑体" w:eastAsia="黑体" w:cs="黑体"/>
          <w:spacing w:val="35"/>
          <w:sz w:val="26"/>
          <w:szCs w:val="26"/>
        </w:rPr>
        <w:t xml:space="preserve"> </w:t>
      </w:r>
      <w:r>
        <w:rPr>
          <w:rFonts w:ascii="黑体" w:hAnsi="黑体" w:eastAsia="黑体" w:cs="黑体"/>
          <w:b/>
          <w:bCs/>
          <w:spacing w:val="-21"/>
          <w:sz w:val="26"/>
          <w:szCs w:val="26"/>
        </w:rPr>
        <w:t>审批结果</w:t>
      </w:r>
    </w:p>
    <w:p w14:paraId="5CE984C0">
      <w:pPr>
        <w:spacing w:line="205" w:lineRule="exact"/>
      </w:pPr>
    </w:p>
    <w:tbl>
      <w:tblPr>
        <w:tblStyle w:val="5"/>
        <w:tblW w:w="109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76F88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93" w:type="dxa"/>
            <w:vAlign w:val="top"/>
          </w:tcPr>
          <w:p w14:paraId="23E1C4DD">
            <w:pPr>
              <w:pStyle w:val="6"/>
              <w:spacing w:before="199" w:line="221" w:lineRule="auto"/>
              <w:ind w:left="237"/>
              <w:rPr>
                <w:sz w:val="15"/>
                <w:szCs w:val="15"/>
              </w:rPr>
            </w:pPr>
            <w:r>
              <w:rPr>
                <w:b/>
                <w:bCs/>
                <w:spacing w:val="-3"/>
                <w:sz w:val="15"/>
                <w:szCs w:val="15"/>
              </w:rPr>
              <w:t>序号</w:t>
            </w:r>
          </w:p>
        </w:tc>
        <w:tc>
          <w:tcPr>
            <w:tcW w:w="8717" w:type="dxa"/>
            <w:vAlign w:val="top"/>
          </w:tcPr>
          <w:p w14:paraId="7750E771">
            <w:pPr>
              <w:pStyle w:val="6"/>
              <w:spacing w:before="238" w:line="184" w:lineRule="auto"/>
              <w:ind w:left="214"/>
              <w:rPr>
                <w:sz w:val="15"/>
                <w:szCs w:val="15"/>
              </w:rPr>
            </w:pPr>
            <w:r>
              <w:rPr>
                <w:b/>
                <w:bCs/>
                <w:spacing w:val="-2"/>
                <w:sz w:val="15"/>
                <w:szCs w:val="15"/>
              </w:rPr>
              <w:t>1</w:t>
            </w:r>
          </w:p>
        </w:tc>
      </w:tr>
      <w:tr w14:paraId="18C69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93" w:type="dxa"/>
            <w:vAlign w:val="top"/>
          </w:tcPr>
          <w:p w14:paraId="158710BE">
            <w:pPr>
              <w:pStyle w:val="6"/>
              <w:spacing w:before="198" w:line="220" w:lineRule="auto"/>
              <w:ind w:left="237"/>
              <w:rPr>
                <w:sz w:val="15"/>
                <w:szCs w:val="15"/>
              </w:rPr>
            </w:pPr>
            <w:r>
              <w:rPr>
                <w:b/>
                <w:bCs/>
                <w:spacing w:val="-4"/>
                <w:sz w:val="15"/>
                <w:szCs w:val="15"/>
              </w:rPr>
              <w:t>审批结果名称</w:t>
            </w:r>
          </w:p>
        </w:tc>
        <w:tc>
          <w:tcPr>
            <w:tcW w:w="8717" w:type="dxa"/>
            <w:vAlign w:val="top"/>
          </w:tcPr>
          <w:p w14:paraId="03166552">
            <w:pPr>
              <w:pStyle w:val="6"/>
              <w:spacing w:before="199" w:line="219" w:lineRule="auto"/>
              <w:ind w:left="211"/>
              <w:rPr>
                <w:sz w:val="15"/>
                <w:szCs w:val="15"/>
              </w:rPr>
            </w:pPr>
            <w:r>
              <w:rPr>
                <w:spacing w:val="-1"/>
                <w:sz w:val="15"/>
                <w:szCs w:val="15"/>
              </w:rPr>
              <w:t>供水单位卫生许可证</w:t>
            </w:r>
          </w:p>
        </w:tc>
      </w:tr>
      <w:tr w14:paraId="3F7E4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93" w:type="dxa"/>
            <w:vAlign w:val="top"/>
          </w:tcPr>
          <w:p w14:paraId="0B376C73">
            <w:pPr>
              <w:pStyle w:val="6"/>
              <w:spacing w:before="200" w:line="219" w:lineRule="auto"/>
              <w:ind w:left="237"/>
              <w:rPr>
                <w:sz w:val="15"/>
                <w:szCs w:val="15"/>
              </w:rPr>
            </w:pPr>
            <w:r>
              <w:rPr>
                <w:b/>
                <w:bCs/>
                <w:spacing w:val="-4"/>
                <w:sz w:val="15"/>
                <w:szCs w:val="15"/>
              </w:rPr>
              <w:t>审批结果样本</w:t>
            </w:r>
          </w:p>
        </w:tc>
        <w:tc>
          <w:tcPr>
            <w:tcW w:w="8717" w:type="dxa"/>
            <w:vAlign w:val="top"/>
          </w:tcPr>
          <w:p w14:paraId="6EAA5DC1">
            <w:pPr>
              <w:rPr>
                <w:rFonts w:ascii="Arial"/>
                <w:sz w:val="21"/>
              </w:rPr>
            </w:pPr>
          </w:p>
        </w:tc>
      </w:tr>
    </w:tbl>
    <w:p w14:paraId="411B25E9">
      <w:pPr>
        <w:pStyle w:val="2"/>
        <w:spacing w:line="277" w:lineRule="auto"/>
      </w:pPr>
    </w:p>
    <w:p w14:paraId="42F9DD1E">
      <w:pPr>
        <w:pStyle w:val="2"/>
        <w:spacing w:line="277" w:lineRule="auto"/>
      </w:pPr>
    </w:p>
    <w:p w14:paraId="37E33E37">
      <w:pPr>
        <w:spacing w:before="85" w:line="223" w:lineRule="auto"/>
        <w:ind w:left="3"/>
        <w:outlineLvl w:val="0"/>
        <w:rPr>
          <w:rFonts w:ascii="黑体" w:hAnsi="黑体" w:eastAsia="黑体" w:cs="黑体"/>
          <w:sz w:val="26"/>
          <w:szCs w:val="26"/>
        </w:rPr>
      </w:pPr>
      <w:r>
        <w:rPr>
          <w:rFonts w:ascii="黑体" w:hAnsi="黑体" w:eastAsia="黑体" w:cs="黑体"/>
          <w:b/>
          <w:bCs/>
          <w:spacing w:val="-21"/>
          <w:sz w:val="26"/>
          <w:szCs w:val="26"/>
        </w:rPr>
        <w:t>七、</w:t>
      </w:r>
      <w:r>
        <w:rPr>
          <w:rFonts w:ascii="黑体" w:hAnsi="黑体" w:eastAsia="黑体" w:cs="黑体"/>
          <w:spacing w:val="42"/>
          <w:sz w:val="26"/>
          <w:szCs w:val="26"/>
        </w:rPr>
        <w:t xml:space="preserve"> </w:t>
      </w:r>
      <w:r>
        <w:rPr>
          <w:rFonts w:ascii="黑体" w:hAnsi="黑体" w:eastAsia="黑体" w:cs="黑体"/>
          <w:b/>
          <w:bCs/>
          <w:spacing w:val="-21"/>
          <w:sz w:val="26"/>
          <w:szCs w:val="26"/>
        </w:rPr>
        <w:t>收费信息</w:t>
      </w:r>
    </w:p>
    <w:p w14:paraId="69D3E88F">
      <w:pPr>
        <w:spacing w:before="245" w:line="223" w:lineRule="auto"/>
        <w:rPr>
          <w:rFonts w:ascii="黑体" w:hAnsi="黑体" w:eastAsia="黑体" w:cs="黑体"/>
          <w:sz w:val="17"/>
          <w:szCs w:val="17"/>
        </w:rPr>
      </w:pPr>
      <w:r>
        <w:rPr>
          <w:rFonts w:ascii="黑体" w:hAnsi="黑体" w:eastAsia="黑体" w:cs="黑体"/>
          <w:spacing w:val="-7"/>
          <w:sz w:val="17"/>
          <w:szCs w:val="17"/>
        </w:rPr>
        <w:t>不收费</w:t>
      </w:r>
    </w:p>
    <w:p w14:paraId="3608A961">
      <w:pPr>
        <w:pStyle w:val="2"/>
        <w:spacing w:line="262" w:lineRule="auto"/>
      </w:pPr>
    </w:p>
    <w:p w14:paraId="0708335B">
      <w:pPr>
        <w:pStyle w:val="2"/>
        <w:spacing w:line="262" w:lineRule="auto"/>
      </w:pPr>
    </w:p>
    <w:p w14:paraId="218BEDEA">
      <w:pPr>
        <w:spacing w:before="85" w:line="221" w:lineRule="auto"/>
        <w:ind w:left="3"/>
        <w:outlineLvl w:val="0"/>
        <w:rPr>
          <w:rFonts w:ascii="黑体" w:hAnsi="黑体" w:eastAsia="黑体" w:cs="黑体"/>
          <w:sz w:val="26"/>
          <w:szCs w:val="26"/>
        </w:rPr>
      </w:pPr>
      <w:r>
        <w:rPr>
          <w:rFonts w:ascii="黑体" w:hAnsi="黑体" w:eastAsia="黑体" w:cs="黑体"/>
          <w:b/>
          <w:bCs/>
          <w:spacing w:val="-16"/>
          <w:sz w:val="26"/>
          <w:szCs w:val="26"/>
        </w:rPr>
        <w:t>八、</w:t>
      </w:r>
      <w:r>
        <w:rPr>
          <w:rFonts w:ascii="黑体" w:hAnsi="黑体" w:eastAsia="黑体" w:cs="黑体"/>
          <w:spacing w:val="41"/>
          <w:sz w:val="26"/>
          <w:szCs w:val="26"/>
        </w:rPr>
        <w:t xml:space="preserve"> </w:t>
      </w:r>
      <w:r>
        <w:rPr>
          <w:rFonts w:ascii="黑体" w:hAnsi="黑体" w:eastAsia="黑体" w:cs="黑体"/>
          <w:b/>
          <w:bCs/>
          <w:spacing w:val="-16"/>
          <w:sz w:val="26"/>
          <w:szCs w:val="26"/>
        </w:rPr>
        <w:t>扩展服务</w:t>
      </w:r>
    </w:p>
    <w:p w14:paraId="06C1FBD6">
      <w:pPr>
        <w:spacing w:line="199" w:lineRule="exact"/>
      </w:pPr>
    </w:p>
    <w:tbl>
      <w:tblPr>
        <w:tblStyle w:val="5"/>
        <w:tblW w:w="109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98"/>
        <w:gridCol w:w="1978"/>
        <w:gridCol w:w="1988"/>
        <w:gridCol w:w="2953"/>
      </w:tblGrid>
      <w:tr w14:paraId="0B2C5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993" w:type="dxa"/>
            <w:vAlign w:val="top"/>
          </w:tcPr>
          <w:p w14:paraId="18AFB9B2">
            <w:pPr>
              <w:pStyle w:val="6"/>
              <w:spacing w:before="98" w:line="219" w:lineRule="auto"/>
              <w:ind w:left="667"/>
            </w:pPr>
            <w:r>
              <w:rPr>
                <w:b/>
                <w:bCs/>
                <w:spacing w:val="-1"/>
              </w:rPr>
              <w:t>中介服务</w:t>
            </w:r>
          </w:p>
        </w:tc>
        <w:tc>
          <w:tcPr>
            <w:tcW w:w="1998" w:type="dxa"/>
            <w:vAlign w:val="top"/>
          </w:tcPr>
          <w:p w14:paraId="10125EE0">
            <w:pPr>
              <w:pStyle w:val="6"/>
              <w:spacing w:before="98" w:line="219" w:lineRule="auto"/>
              <w:ind w:left="674"/>
            </w:pPr>
            <w:r>
              <w:rPr>
                <w:b/>
                <w:bCs/>
                <w:spacing w:val="-3"/>
              </w:rPr>
              <w:t>联办机构</w:t>
            </w:r>
          </w:p>
        </w:tc>
        <w:tc>
          <w:tcPr>
            <w:tcW w:w="1978" w:type="dxa"/>
            <w:vAlign w:val="top"/>
          </w:tcPr>
          <w:p w14:paraId="46E269FF">
            <w:pPr>
              <w:pStyle w:val="6"/>
              <w:spacing w:before="99" w:line="220" w:lineRule="auto"/>
              <w:ind w:left="666"/>
            </w:pPr>
            <w:r>
              <w:rPr>
                <w:b/>
                <w:bCs/>
                <w:spacing w:val="-4"/>
              </w:rPr>
              <w:t>前置审批</w:t>
            </w:r>
          </w:p>
        </w:tc>
        <w:tc>
          <w:tcPr>
            <w:tcW w:w="1988" w:type="dxa"/>
            <w:vAlign w:val="top"/>
          </w:tcPr>
          <w:p w14:paraId="1B5B5674">
            <w:pPr>
              <w:pStyle w:val="6"/>
              <w:spacing w:before="99" w:line="219" w:lineRule="auto"/>
              <w:ind w:left="668"/>
            </w:pPr>
            <w:r>
              <w:rPr>
                <w:b/>
                <w:bCs/>
                <w:spacing w:val="-3"/>
              </w:rPr>
              <w:t>年检年审</w:t>
            </w:r>
          </w:p>
        </w:tc>
        <w:tc>
          <w:tcPr>
            <w:tcW w:w="2953" w:type="dxa"/>
            <w:vAlign w:val="top"/>
          </w:tcPr>
          <w:p w14:paraId="39E53170">
            <w:pPr>
              <w:pStyle w:val="6"/>
              <w:spacing w:before="98" w:line="219" w:lineRule="auto"/>
              <w:ind w:left="990"/>
            </w:pPr>
            <w:r>
              <w:rPr>
                <w:b/>
                <w:bCs/>
                <w:spacing w:val="-4"/>
              </w:rPr>
              <w:t>资质资格证书</w:t>
            </w:r>
          </w:p>
        </w:tc>
      </w:tr>
      <w:tr w14:paraId="15723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993" w:type="dxa"/>
            <w:vAlign w:val="top"/>
          </w:tcPr>
          <w:p w14:paraId="4DD20D13">
            <w:pPr>
              <w:pStyle w:val="6"/>
              <w:spacing w:before="188" w:line="220" w:lineRule="auto"/>
              <w:ind w:left="907"/>
            </w:pPr>
            <w:r>
              <w:rPr>
                <w:b/>
                <w:bCs/>
                <w:spacing w:val="-2"/>
              </w:rPr>
              <w:t>无</w:t>
            </w:r>
          </w:p>
        </w:tc>
        <w:tc>
          <w:tcPr>
            <w:tcW w:w="1998" w:type="dxa"/>
            <w:vAlign w:val="top"/>
          </w:tcPr>
          <w:p w14:paraId="1E248053">
            <w:pPr>
              <w:pStyle w:val="6"/>
              <w:spacing w:before="188" w:line="220" w:lineRule="auto"/>
              <w:ind w:left="914"/>
            </w:pPr>
            <w:r>
              <w:rPr>
                <w:b/>
                <w:bCs/>
                <w:spacing w:val="-2"/>
              </w:rPr>
              <w:t>无</w:t>
            </w:r>
          </w:p>
        </w:tc>
        <w:tc>
          <w:tcPr>
            <w:tcW w:w="1978" w:type="dxa"/>
            <w:vAlign w:val="top"/>
          </w:tcPr>
          <w:p w14:paraId="5FAD0A21">
            <w:pPr>
              <w:pStyle w:val="6"/>
              <w:spacing w:before="188" w:line="220" w:lineRule="auto"/>
              <w:ind w:left="906"/>
            </w:pPr>
            <w:r>
              <w:rPr>
                <w:b/>
                <w:bCs/>
                <w:spacing w:val="-2"/>
              </w:rPr>
              <w:t>无</w:t>
            </w:r>
          </w:p>
        </w:tc>
        <w:tc>
          <w:tcPr>
            <w:tcW w:w="1988" w:type="dxa"/>
            <w:vAlign w:val="top"/>
          </w:tcPr>
          <w:p w14:paraId="56B7919F">
            <w:pPr>
              <w:pStyle w:val="6"/>
              <w:spacing w:before="188" w:line="220" w:lineRule="auto"/>
              <w:ind w:left="908"/>
            </w:pPr>
            <w:r>
              <w:rPr>
                <w:b/>
                <w:bCs/>
                <w:spacing w:val="-2"/>
              </w:rPr>
              <w:t>无</w:t>
            </w:r>
          </w:p>
        </w:tc>
        <w:tc>
          <w:tcPr>
            <w:tcW w:w="2953" w:type="dxa"/>
            <w:vAlign w:val="top"/>
          </w:tcPr>
          <w:p w14:paraId="3A499320">
            <w:pPr>
              <w:pStyle w:val="6"/>
              <w:spacing w:before="188" w:line="220" w:lineRule="auto"/>
              <w:ind w:left="1390"/>
            </w:pPr>
            <w:r>
              <w:rPr>
                <w:b/>
                <w:bCs/>
                <w:spacing w:val="-2"/>
              </w:rPr>
              <w:t>无</w:t>
            </w:r>
          </w:p>
        </w:tc>
      </w:tr>
    </w:tbl>
    <w:p w14:paraId="23219D48">
      <w:pPr>
        <w:pStyle w:val="2"/>
        <w:spacing w:line="241" w:lineRule="auto"/>
      </w:pPr>
    </w:p>
    <w:p w14:paraId="0ACDC7FD">
      <w:pPr>
        <w:pStyle w:val="2"/>
        <w:spacing w:line="242" w:lineRule="auto"/>
      </w:pPr>
    </w:p>
    <w:p w14:paraId="1603B3F9">
      <w:pPr>
        <w:pStyle w:val="2"/>
        <w:spacing w:line="242" w:lineRule="auto"/>
      </w:pPr>
    </w:p>
    <w:p w14:paraId="136C5D0F">
      <w:pPr>
        <w:spacing w:before="107" w:line="573" w:lineRule="exact"/>
        <w:ind w:left="2380"/>
        <w:rPr>
          <w:rFonts w:ascii="黑体" w:hAnsi="黑体" w:eastAsia="黑体" w:cs="黑体"/>
          <w:sz w:val="33"/>
          <w:szCs w:val="33"/>
        </w:rPr>
      </w:pPr>
      <w:r>
        <w:rPr>
          <w:rFonts w:ascii="黑体" w:hAnsi="黑体" w:eastAsia="黑体" w:cs="黑体"/>
          <w:spacing w:val="-1"/>
          <w:position w:val="17"/>
          <w:sz w:val="33"/>
          <w:szCs w:val="33"/>
        </w:rPr>
        <w:t>饮用水供水单位(集中式供水、二次供水单位)</w:t>
      </w:r>
    </w:p>
    <w:p w14:paraId="17CE76E8">
      <w:pPr>
        <w:spacing w:line="185" w:lineRule="auto"/>
        <w:ind w:left="3870"/>
        <w:rPr>
          <w:rFonts w:ascii="黑体" w:hAnsi="黑体" w:eastAsia="黑体" w:cs="黑体"/>
          <w:sz w:val="33"/>
          <w:szCs w:val="33"/>
        </w:rPr>
      </w:pPr>
      <w:r>
        <w:rPr>
          <w:rFonts w:ascii="黑体" w:hAnsi="黑体" w:eastAsia="黑体" w:cs="黑体"/>
          <w:spacing w:val="-2"/>
          <w:sz w:val="33"/>
          <w:szCs w:val="33"/>
        </w:rPr>
        <w:t>卫生许可办事流程示意图</w:t>
      </w:r>
    </w:p>
    <w:p w14:paraId="236C6877">
      <w:pPr>
        <w:spacing w:line="185" w:lineRule="auto"/>
        <w:rPr>
          <w:rFonts w:ascii="黑体" w:hAnsi="黑体" w:eastAsia="黑体" w:cs="黑体"/>
          <w:sz w:val="33"/>
          <w:szCs w:val="33"/>
        </w:rPr>
        <w:sectPr>
          <w:pgSz w:w="11910" w:h="16840"/>
          <w:pgMar w:top="502" w:right="506" w:bottom="84" w:left="459" w:header="0" w:footer="0" w:gutter="0"/>
          <w:cols w:space="720" w:num="1"/>
        </w:sectPr>
      </w:pPr>
    </w:p>
    <w:p w14:paraId="272AABA5">
      <w:pPr>
        <w:spacing w:before="21" w:line="175" w:lineRule="auto"/>
        <w:ind w:left="8073"/>
        <w:rPr>
          <w:rFonts w:ascii="隶书" w:hAnsi="隶书" w:eastAsia="隶书" w:cs="隶书"/>
          <w:sz w:val="16"/>
          <w:szCs w:val="16"/>
        </w:rPr>
      </w:pPr>
      <w:r>
        <w:pict>
          <v:shape id="_x0000_s1026" o:spid="_x0000_s1026" o:spt="202" type="#_x0000_t202" style="position:absolute;left:0pt;margin-left:483.1pt;margin-top:328pt;height:44.15pt;width:11.6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14:paraId="3F72E1E5">
                  <w:pPr>
                    <w:spacing w:before="20" w:line="216" w:lineRule="auto"/>
                    <w:ind w:left="20"/>
                    <w:rPr>
                      <w:rFonts w:ascii="宋体" w:hAnsi="宋体" w:eastAsia="宋体" w:cs="宋体"/>
                      <w:sz w:val="16"/>
                      <w:szCs w:val="16"/>
                    </w:rPr>
                  </w:pPr>
                  <w:r>
                    <w:rPr>
                      <w:rFonts w:ascii="宋体" w:hAnsi="宋体" w:eastAsia="宋体" w:cs="宋体"/>
                      <w:spacing w:val="8"/>
                      <w:sz w:val="16"/>
                      <w:szCs w:val="16"/>
                    </w:rPr>
                    <w:t>到期不整次</w:t>
                  </w:r>
                </w:p>
              </w:txbxContent>
            </v:textbox>
          </v:shape>
        </w:pict>
      </w:r>
      <w:r>
        <w:rPr>
          <w:rFonts w:ascii="隶书" w:hAnsi="隶书" w:eastAsia="隶书" w:cs="隶书"/>
          <w:sz w:val="16"/>
          <w:szCs w:val="16"/>
        </w:rPr>
        <w:t>中</w:t>
      </w:r>
    </w:p>
    <w:p w14:paraId="206DD182">
      <w:pPr>
        <w:spacing w:before="272" w:line="222" w:lineRule="auto"/>
        <w:ind w:left="3813"/>
        <w:rPr>
          <w:rFonts w:ascii="黑体" w:hAnsi="黑体" w:eastAsia="黑体" w:cs="黑体"/>
          <w:sz w:val="16"/>
          <w:szCs w:val="16"/>
        </w:rPr>
      </w:pPr>
      <w:r>
        <w:drawing>
          <wp:anchor distT="0" distB="0" distL="0" distR="0" simplePos="0" relativeHeight="251659264" behindDoc="1" locked="0" layoutInCell="1" allowOverlap="1">
            <wp:simplePos x="0" y="0"/>
            <wp:positionH relativeFrom="column">
              <wp:posOffset>357505</wp:posOffset>
            </wp:positionH>
            <wp:positionV relativeFrom="paragraph">
              <wp:posOffset>-14605</wp:posOffset>
            </wp:positionV>
            <wp:extent cx="4953000" cy="49911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4953061" cy="4991144"/>
                    </a:xfrm>
                    <a:prstGeom prst="rect">
                      <a:avLst/>
                    </a:prstGeom>
                  </pic:spPr>
                </pic:pic>
              </a:graphicData>
            </a:graphic>
          </wp:anchor>
        </w:drawing>
      </w:r>
      <w:r>
        <w:rPr>
          <w:rFonts w:ascii="黑体" w:hAnsi="黑体" w:eastAsia="黑体" w:cs="黑体"/>
          <w:spacing w:val="9"/>
          <w:sz w:val="16"/>
          <w:szCs w:val="16"/>
        </w:rPr>
        <w:t>提出申请</w:t>
      </w:r>
    </w:p>
    <w:p w14:paraId="66E1E7B1">
      <w:pPr>
        <w:spacing w:before="57"/>
      </w:pPr>
    </w:p>
    <w:p w14:paraId="6653318F">
      <w:pPr>
        <w:spacing w:before="57"/>
      </w:pPr>
    </w:p>
    <w:p w14:paraId="65E43FCE">
      <w:pPr>
        <w:spacing w:before="56"/>
      </w:pPr>
    </w:p>
    <w:p w14:paraId="505CD69A">
      <w:pPr>
        <w:sectPr>
          <w:pgSz w:w="11910" w:h="16840"/>
          <w:pgMar w:top="1190" w:right="1759" w:bottom="400" w:left="1786" w:header="0" w:footer="0" w:gutter="0"/>
          <w:cols w:equalWidth="0" w:num="1">
            <w:col w:w="8364"/>
          </w:cols>
        </w:sectPr>
      </w:pPr>
    </w:p>
    <w:p w14:paraId="380E0620">
      <w:pPr>
        <w:pStyle w:val="2"/>
        <w:spacing w:line="267" w:lineRule="auto"/>
      </w:pPr>
    </w:p>
    <w:p w14:paraId="04C3C246">
      <w:pPr>
        <w:spacing w:before="53" w:line="219" w:lineRule="auto"/>
        <w:ind w:left="783"/>
        <w:rPr>
          <w:rFonts w:ascii="宋体" w:hAnsi="宋体" w:eastAsia="宋体" w:cs="宋体"/>
          <w:sz w:val="16"/>
          <w:szCs w:val="16"/>
        </w:rPr>
      </w:pPr>
      <w:r>
        <w:rPr>
          <w:rFonts w:ascii="宋体" w:hAnsi="宋体" w:eastAsia="宋体" w:cs="宋体"/>
          <w:spacing w:val="8"/>
          <w:sz w:val="16"/>
          <w:szCs w:val="16"/>
        </w:rPr>
        <w:t>发放《补正材料通知书》</w:t>
      </w:r>
    </w:p>
    <w:p w14:paraId="3FFBA3BF">
      <w:pPr>
        <w:pStyle w:val="2"/>
        <w:spacing w:line="14" w:lineRule="auto"/>
        <w:rPr>
          <w:sz w:val="2"/>
        </w:rPr>
      </w:pPr>
      <w:r>
        <w:rPr>
          <w:sz w:val="2"/>
          <w:szCs w:val="2"/>
        </w:rPr>
        <w:br w:type="column"/>
      </w:r>
    </w:p>
    <w:p w14:paraId="1B9AA8BE">
      <w:pPr>
        <w:spacing w:before="41" w:line="219" w:lineRule="exact"/>
        <w:rPr>
          <w:rFonts w:ascii="宋体" w:hAnsi="宋体" w:eastAsia="宋体" w:cs="宋体"/>
          <w:sz w:val="16"/>
          <w:szCs w:val="16"/>
        </w:rPr>
      </w:pPr>
      <w:r>
        <w:rPr>
          <w:rFonts w:ascii="宋体" w:hAnsi="宋体" w:eastAsia="宋体" w:cs="宋体"/>
          <w:spacing w:val="-14"/>
          <w:position w:val="4"/>
          <w:sz w:val="16"/>
          <w:szCs w:val="16"/>
        </w:rPr>
        <w:t>需要补</w:t>
      </w:r>
    </w:p>
    <w:p w14:paraId="18D160FF">
      <w:pPr>
        <w:spacing w:line="218" w:lineRule="auto"/>
        <w:rPr>
          <w:rFonts w:ascii="宋体" w:hAnsi="宋体" w:eastAsia="宋体" w:cs="宋体"/>
          <w:sz w:val="16"/>
          <w:szCs w:val="16"/>
        </w:rPr>
      </w:pPr>
      <w:r>
        <w:rPr>
          <w:rFonts w:ascii="宋体" w:hAnsi="宋体" w:eastAsia="宋体" w:cs="宋体"/>
          <w:spacing w:val="-12"/>
          <w:w w:val="98"/>
          <w:sz w:val="16"/>
          <w:szCs w:val="16"/>
        </w:rPr>
        <w:t>正材权</w:t>
      </w:r>
    </w:p>
    <w:p w14:paraId="21EDCA0B">
      <w:pPr>
        <w:pStyle w:val="2"/>
        <w:spacing w:line="14" w:lineRule="auto"/>
        <w:rPr>
          <w:sz w:val="2"/>
        </w:rPr>
      </w:pPr>
      <w:r>
        <w:rPr>
          <w:sz w:val="2"/>
          <w:szCs w:val="2"/>
        </w:rPr>
        <w:br w:type="column"/>
      </w:r>
    </w:p>
    <w:p w14:paraId="20F1922B">
      <w:pPr>
        <w:spacing w:before="211" w:line="196" w:lineRule="auto"/>
        <w:rPr>
          <w:rFonts w:ascii="黑体" w:hAnsi="黑体" w:eastAsia="黑体" w:cs="黑体"/>
          <w:sz w:val="16"/>
          <w:szCs w:val="16"/>
        </w:rPr>
      </w:pPr>
      <w:r>
        <w:rPr>
          <w:rFonts w:ascii="黑体" w:hAnsi="黑体" w:eastAsia="黑体" w:cs="黑体"/>
          <w:spacing w:val="9"/>
          <w:sz w:val="16"/>
          <w:szCs w:val="16"/>
        </w:rPr>
        <w:t>申请材料</w:t>
      </w:r>
    </w:p>
    <w:p w14:paraId="7A9BC2BC">
      <w:pPr>
        <w:spacing w:line="187" w:lineRule="auto"/>
        <w:rPr>
          <w:rFonts w:ascii="黑体" w:hAnsi="黑体" w:eastAsia="黑体" w:cs="黑体"/>
          <w:sz w:val="16"/>
          <w:szCs w:val="16"/>
        </w:rPr>
      </w:pPr>
      <w:r>
        <w:rPr>
          <w:rFonts w:ascii="黑体" w:hAnsi="黑体" w:eastAsia="黑体" w:cs="黑体"/>
          <w:spacing w:val="-6"/>
          <w:sz w:val="16"/>
          <w:szCs w:val="16"/>
        </w:rPr>
        <w:t>审核结果</w:t>
      </w:r>
    </w:p>
    <w:p w14:paraId="25029B0E">
      <w:pPr>
        <w:pStyle w:val="2"/>
        <w:spacing w:line="14" w:lineRule="auto"/>
        <w:rPr>
          <w:sz w:val="2"/>
        </w:rPr>
      </w:pPr>
      <w:r>
        <w:rPr>
          <w:sz w:val="2"/>
          <w:szCs w:val="2"/>
        </w:rPr>
        <w:br w:type="column"/>
      </w:r>
    </w:p>
    <w:p w14:paraId="2CA1555D">
      <w:pPr>
        <w:spacing w:before="31" w:line="222" w:lineRule="exact"/>
        <w:rPr>
          <w:rFonts w:ascii="宋体" w:hAnsi="宋体" w:eastAsia="宋体" w:cs="宋体"/>
          <w:sz w:val="16"/>
          <w:szCs w:val="16"/>
        </w:rPr>
      </w:pPr>
      <w:r>
        <w:rPr>
          <w:rFonts w:ascii="宋体" w:hAnsi="宋体" w:eastAsia="宋体" w:cs="宋体"/>
          <w:spacing w:val="-14"/>
          <w:position w:val="4"/>
          <w:sz w:val="16"/>
          <w:szCs w:val="16"/>
        </w:rPr>
        <w:t>符合不于</w:t>
      </w:r>
    </w:p>
    <w:p w14:paraId="5C6E3E3D">
      <w:pPr>
        <w:spacing w:line="127" w:lineRule="exact"/>
        <w:rPr>
          <w:rFonts w:ascii="隶书" w:hAnsi="隶书" w:eastAsia="隶书" w:cs="隶书"/>
          <w:sz w:val="16"/>
          <w:szCs w:val="16"/>
        </w:rPr>
      </w:pPr>
      <w:r>
        <w:rPr>
          <w:rFonts w:ascii="隶书" w:hAnsi="隶书" w:eastAsia="隶书" w:cs="隶书"/>
          <w:spacing w:val="-4"/>
          <w:w w:val="93"/>
          <w:position w:val="-1"/>
          <w:sz w:val="16"/>
          <w:szCs w:val="16"/>
        </w:rPr>
        <w:t>受理情形</w:t>
      </w:r>
    </w:p>
    <w:p w14:paraId="4C71FBA0">
      <w:pPr>
        <w:spacing w:before="1" w:line="187" w:lineRule="auto"/>
        <w:ind w:left="940"/>
        <w:rPr>
          <w:rFonts w:ascii="宋体" w:hAnsi="宋体" w:eastAsia="宋体" w:cs="宋体"/>
          <w:sz w:val="16"/>
          <w:szCs w:val="16"/>
        </w:rPr>
      </w:pPr>
      <w:r>
        <w:rPr>
          <w:rFonts w:ascii="宋体" w:hAnsi="宋体" w:eastAsia="宋体" w:cs="宋体"/>
          <w:spacing w:val="-16"/>
          <w:w w:val="95"/>
          <w:sz w:val="16"/>
          <w:szCs w:val="16"/>
        </w:rPr>
        <w:t>不</w:t>
      </w:r>
      <w:r>
        <w:rPr>
          <w:rFonts w:hint="eastAsia" w:ascii="宋体" w:hAnsi="宋体" w:eastAsia="宋体" w:cs="宋体"/>
          <w:spacing w:val="-16"/>
          <w:w w:val="95"/>
          <w:sz w:val="16"/>
          <w:szCs w:val="16"/>
          <w:lang w:eastAsia="zh-CN"/>
        </w:rPr>
        <w:t>予</w:t>
      </w:r>
      <w:bookmarkStart w:id="0" w:name="_GoBack"/>
      <w:bookmarkEnd w:id="0"/>
      <w:r>
        <w:rPr>
          <w:rFonts w:ascii="宋体" w:hAnsi="宋体" w:eastAsia="宋体" w:cs="宋体"/>
          <w:spacing w:val="-16"/>
          <w:w w:val="95"/>
          <w:sz w:val="16"/>
          <w:szCs w:val="16"/>
        </w:rPr>
        <w:t>受理(发放《不于受理通知书》)</w:t>
      </w:r>
    </w:p>
    <w:p w14:paraId="61D10AC6">
      <w:pPr>
        <w:spacing w:line="187" w:lineRule="auto"/>
        <w:rPr>
          <w:rFonts w:ascii="宋体" w:hAnsi="宋体" w:eastAsia="宋体" w:cs="宋体"/>
          <w:sz w:val="16"/>
          <w:szCs w:val="16"/>
        </w:rPr>
        <w:sectPr>
          <w:type w:val="continuous"/>
          <w:pgSz w:w="11910" w:h="16840"/>
          <w:pgMar w:top="1190" w:right="1759" w:bottom="400" w:left="1786" w:header="0" w:footer="0" w:gutter="0"/>
          <w:cols w:equalWidth="0" w:num="4">
            <w:col w:w="2884" w:space="100"/>
            <w:col w:w="731" w:space="100"/>
            <w:col w:w="1051" w:space="100"/>
            <w:col w:w="3401"/>
          </w:cols>
        </w:sectPr>
      </w:pPr>
    </w:p>
    <w:p w14:paraId="12B383C0">
      <w:pPr>
        <w:spacing w:before="34"/>
      </w:pPr>
    </w:p>
    <w:p w14:paraId="72AAE7BE">
      <w:pPr>
        <w:spacing w:before="33"/>
      </w:pPr>
    </w:p>
    <w:p w14:paraId="0AC36FE6">
      <w:pPr>
        <w:spacing w:before="33"/>
      </w:pPr>
    </w:p>
    <w:p w14:paraId="2726A7D5">
      <w:pPr>
        <w:sectPr>
          <w:type w:val="continuous"/>
          <w:pgSz w:w="11910" w:h="16840"/>
          <w:pgMar w:top="1190" w:right="1759" w:bottom="400" w:left="1786" w:header="0" w:footer="0" w:gutter="0"/>
          <w:cols w:equalWidth="0" w:num="1">
            <w:col w:w="8364"/>
          </w:cols>
        </w:sectPr>
      </w:pPr>
    </w:p>
    <w:p w14:paraId="70EC72C2">
      <w:pPr>
        <w:spacing w:before="32" w:line="219" w:lineRule="auto"/>
        <w:ind w:left="1803"/>
        <w:rPr>
          <w:rFonts w:ascii="宋体" w:hAnsi="宋体" w:eastAsia="宋体" w:cs="宋体"/>
          <w:sz w:val="16"/>
          <w:szCs w:val="16"/>
        </w:rPr>
      </w:pPr>
      <w:r>
        <w:rPr>
          <w:rFonts w:ascii="宋体" w:hAnsi="宋体" w:eastAsia="宋体" w:cs="宋体"/>
          <w:spacing w:val="-12"/>
          <w:w w:val="93"/>
          <w:sz w:val="16"/>
          <w:szCs w:val="16"/>
        </w:rPr>
        <w:t>材料补正后符合要求</w:t>
      </w:r>
    </w:p>
    <w:p w14:paraId="4C119595">
      <w:pPr>
        <w:pStyle w:val="2"/>
        <w:spacing w:line="14" w:lineRule="auto"/>
        <w:rPr>
          <w:sz w:val="2"/>
        </w:rPr>
      </w:pPr>
      <w:r>
        <w:rPr>
          <w:sz w:val="2"/>
          <w:szCs w:val="2"/>
        </w:rPr>
        <w:br w:type="column"/>
      </w:r>
    </w:p>
    <w:p w14:paraId="283EC122">
      <w:pPr>
        <w:spacing w:before="180" w:line="187" w:lineRule="auto"/>
        <w:rPr>
          <w:rFonts w:ascii="黑体" w:hAnsi="黑体" w:eastAsia="黑体" w:cs="黑体"/>
          <w:sz w:val="16"/>
          <w:szCs w:val="16"/>
        </w:rPr>
      </w:pPr>
      <w:r>
        <w:rPr>
          <w:rFonts w:ascii="黑体" w:hAnsi="黑体" w:eastAsia="黑体" w:cs="黑体"/>
          <w:spacing w:val="8"/>
          <w:sz w:val="16"/>
          <w:szCs w:val="16"/>
        </w:rPr>
        <w:t>发放《受理通知书》</w:t>
      </w:r>
    </w:p>
    <w:p w14:paraId="07C0315E">
      <w:pPr>
        <w:spacing w:line="187" w:lineRule="auto"/>
        <w:rPr>
          <w:rFonts w:ascii="黑体" w:hAnsi="黑体" w:eastAsia="黑体" w:cs="黑体"/>
          <w:sz w:val="16"/>
          <w:szCs w:val="16"/>
        </w:rPr>
        <w:sectPr>
          <w:type w:val="continuous"/>
          <w:pgSz w:w="11910" w:h="16840"/>
          <w:pgMar w:top="1190" w:right="1759" w:bottom="400" w:left="1786" w:header="0" w:footer="0" w:gutter="0"/>
          <w:cols w:equalWidth="0" w:num="2">
            <w:col w:w="3544" w:space="100"/>
            <w:col w:w="4721"/>
          </w:cols>
        </w:sectPr>
      </w:pPr>
    </w:p>
    <w:p w14:paraId="1FBC1DC6">
      <w:pPr>
        <w:pStyle w:val="2"/>
        <w:spacing w:line="296" w:lineRule="auto"/>
      </w:pPr>
    </w:p>
    <w:p w14:paraId="4DADF720">
      <w:pPr>
        <w:pStyle w:val="2"/>
        <w:spacing w:line="297" w:lineRule="auto"/>
      </w:pPr>
    </w:p>
    <w:p w14:paraId="1D33B210">
      <w:pPr>
        <w:spacing w:before="52" w:line="220" w:lineRule="auto"/>
        <w:ind w:left="3993"/>
        <w:rPr>
          <w:rFonts w:ascii="宋体" w:hAnsi="宋体" w:eastAsia="宋体" w:cs="宋体"/>
          <w:sz w:val="16"/>
          <w:szCs w:val="16"/>
        </w:rPr>
      </w:pPr>
      <w:r>
        <w:rPr>
          <w:rFonts w:ascii="宋体" w:hAnsi="宋体" w:eastAsia="宋体" w:cs="宋体"/>
          <w:spacing w:val="9"/>
          <w:sz w:val="16"/>
          <w:szCs w:val="16"/>
        </w:rPr>
        <w:t>现场审查</w:t>
      </w:r>
    </w:p>
    <w:p w14:paraId="6A974B48">
      <w:pPr>
        <w:spacing w:before="83"/>
      </w:pPr>
    </w:p>
    <w:p w14:paraId="57A0B1B6">
      <w:pPr>
        <w:spacing w:before="82"/>
      </w:pPr>
    </w:p>
    <w:p w14:paraId="7FF288D2">
      <w:pPr>
        <w:sectPr>
          <w:type w:val="continuous"/>
          <w:pgSz w:w="11910" w:h="16840"/>
          <w:pgMar w:top="1190" w:right="1759" w:bottom="400" w:left="1786" w:header="0" w:footer="0" w:gutter="0"/>
          <w:cols w:equalWidth="0" w:num="1">
            <w:col w:w="8364"/>
          </w:cols>
        </w:sectPr>
      </w:pPr>
    </w:p>
    <w:p w14:paraId="78812C98">
      <w:pPr>
        <w:spacing w:before="31" w:line="211" w:lineRule="auto"/>
        <w:ind w:left="3813"/>
        <w:rPr>
          <w:rFonts w:ascii="宋体" w:hAnsi="宋体" w:eastAsia="宋体" w:cs="宋体"/>
          <w:sz w:val="16"/>
          <w:szCs w:val="16"/>
        </w:rPr>
      </w:pPr>
      <w:r>
        <w:rPr>
          <w:rFonts w:ascii="宋体" w:hAnsi="宋体" w:eastAsia="宋体" w:cs="宋体"/>
          <w:spacing w:val="9"/>
          <w:sz w:val="16"/>
          <w:szCs w:val="16"/>
        </w:rPr>
        <w:t>现场审查</w:t>
      </w:r>
    </w:p>
    <w:p w14:paraId="59C53BBF">
      <w:pPr>
        <w:spacing w:before="1" w:line="225" w:lineRule="auto"/>
        <w:ind w:left="4003"/>
        <w:rPr>
          <w:rFonts w:ascii="黑体" w:hAnsi="黑体" w:eastAsia="黑体" w:cs="黑体"/>
          <w:sz w:val="16"/>
          <w:szCs w:val="16"/>
        </w:rPr>
      </w:pPr>
      <w:r>
        <w:rPr>
          <w:rFonts w:ascii="黑体" w:hAnsi="黑体" w:eastAsia="黑体" w:cs="黑体"/>
          <w:spacing w:val="14"/>
          <w:sz w:val="16"/>
          <w:szCs w:val="16"/>
        </w:rPr>
        <w:t>结果</w:t>
      </w:r>
    </w:p>
    <w:p w14:paraId="60698F0B">
      <w:pPr>
        <w:pStyle w:val="2"/>
        <w:spacing w:line="323" w:lineRule="auto"/>
      </w:pPr>
    </w:p>
    <w:p w14:paraId="52946702">
      <w:pPr>
        <w:pStyle w:val="2"/>
        <w:spacing w:line="323" w:lineRule="auto"/>
      </w:pPr>
    </w:p>
    <w:p w14:paraId="54EEF364">
      <w:pPr>
        <w:spacing w:before="52" w:line="224" w:lineRule="auto"/>
        <w:ind w:left="3263"/>
        <w:rPr>
          <w:rFonts w:ascii="黑体" w:hAnsi="黑体" w:eastAsia="黑体" w:cs="黑体"/>
          <w:sz w:val="16"/>
          <w:szCs w:val="16"/>
        </w:rPr>
      </w:pPr>
      <w:r>
        <w:rPr>
          <w:rFonts w:ascii="黑体" w:hAnsi="黑体" w:eastAsia="黑体" w:cs="黑体"/>
          <w:spacing w:val="4"/>
          <w:sz w:val="16"/>
          <w:szCs w:val="16"/>
        </w:rPr>
        <w:t>自受理之日起</w:t>
      </w:r>
    </w:p>
    <w:p w14:paraId="56323E38">
      <w:pPr>
        <w:spacing w:before="24" w:line="222" w:lineRule="auto"/>
        <w:ind w:left="2693"/>
        <w:rPr>
          <w:rFonts w:ascii="黑体" w:hAnsi="黑体" w:eastAsia="黑体" w:cs="黑体"/>
          <w:sz w:val="16"/>
          <w:szCs w:val="16"/>
        </w:rPr>
      </w:pPr>
      <w:r>
        <w:rPr>
          <w:rFonts w:ascii="黑体" w:hAnsi="黑体" w:eastAsia="黑体" w:cs="黑体"/>
          <w:spacing w:val="10"/>
          <w:sz w:val="16"/>
          <w:szCs w:val="16"/>
        </w:rPr>
        <w:t>在8个工作日内作出批准决定</w:t>
      </w:r>
    </w:p>
    <w:p w14:paraId="3BA87740">
      <w:pPr>
        <w:pStyle w:val="2"/>
        <w:spacing w:line="394" w:lineRule="auto"/>
      </w:pPr>
    </w:p>
    <w:p w14:paraId="48009592">
      <w:pPr>
        <w:spacing w:before="53" w:line="242" w:lineRule="auto"/>
        <w:ind w:left="3753" w:right="973" w:hanging="70"/>
        <w:rPr>
          <w:rFonts w:ascii="宋体" w:hAnsi="宋体" w:eastAsia="宋体" w:cs="宋体"/>
          <w:sz w:val="16"/>
          <w:szCs w:val="16"/>
        </w:rPr>
      </w:pPr>
      <w:r>
        <w:rPr>
          <w:rFonts w:ascii="宋体" w:hAnsi="宋体" w:eastAsia="宋体" w:cs="宋体"/>
          <w:spacing w:val="15"/>
          <w:sz w:val="16"/>
          <w:szCs w:val="16"/>
        </w:rPr>
        <w:t>证件获取(在受</w:t>
      </w:r>
      <w:r>
        <w:rPr>
          <w:rFonts w:ascii="宋体" w:hAnsi="宋体" w:eastAsia="宋体" w:cs="宋体"/>
          <w:sz w:val="16"/>
          <w:szCs w:val="16"/>
        </w:rPr>
        <w:t xml:space="preserve"> </w:t>
      </w:r>
      <w:r>
        <w:rPr>
          <w:rFonts w:ascii="宋体" w:hAnsi="宋体" w:eastAsia="宋体" w:cs="宋体"/>
          <w:spacing w:val="10"/>
          <w:sz w:val="16"/>
          <w:szCs w:val="16"/>
        </w:rPr>
        <w:t>理窗口获取)</w:t>
      </w:r>
    </w:p>
    <w:p w14:paraId="01FDFDF9">
      <w:pPr>
        <w:pStyle w:val="2"/>
        <w:spacing w:line="465" w:lineRule="auto"/>
      </w:pPr>
    </w:p>
    <w:p w14:paraId="099AB6BC">
      <w:pPr>
        <w:spacing w:before="52" w:line="184" w:lineRule="auto"/>
        <w:ind w:left="3913"/>
        <w:rPr>
          <w:rFonts w:ascii="宋体" w:hAnsi="宋体" w:eastAsia="宋体" w:cs="宋体"/>
          <w:sz w:val="16"/>
          <w:szCs w:val="16"/>
        </w:rPr>
      </w:pPr>
      <w:r>
        <w:rPr>
          <w:rFonts w:ascii="宋体" w:hAnsi="宋体" w:eastAsia="宋体" w:cs="宋体"/>
          <w:spacing w:val="4"/>
          <w:sz w:val="16"/>
          <w:szCs w:val="16"/>
        </w:rPr>
        <w:t>决定公开</w:t>
      </w:r>
    </w:p>
    <w:p w14:paraId="24E85E12">
      <w:pPr>
        <w:pStyle w:val="2"/>
        <w:spacing w:line="14" w:lineRule="auto"/>
        <w:rPr>
          <w:sz w:val="2"/>
        </w:rPr>
      </w:pPr>
      <w:r>
        <w:rPr>
          <w:sz w:val="2"/>
          <w:szCs w:val="2"/>
        </w:rPr>
        <w:br w:type="column"/>
      </w:r>
    </w:p>
    <w:p w14:paraId="4E9C1BCF">
      <w:pPr>
        <w:spacing w:before="190" w:line="219" w:lineRule="auto"/>
        <w:rPr>
          <w:rFonts w:ascii="宋体" w:hAnsi="宋体" w:eastAsia="宋体" w:cs="宋体"/>
          <w:sz w:val="16"/>
          <w:szCs w:val="16"/>
        </w:rPr>
      </w:pPr>
      <w:r>
        <w:rPr>
          <w:rFonts w:ascii="宋体" w:hAnsi="宋体" w:eastAsia="宋体" w:cs="宋体"/>
          <w:spacing w:val="5"/>
          <w:sz w:val="16"/>
          <w:szCs w:val="16"/>
        </w:rPr>
        <w:t>通知申请人整改</w:t>
      </w:r>
    </w:p>
    <w:p w14:paraId="34FCF4EA">
      <w:pPr>
        <w:pStyle w:val="2"/>
        <w:spacing w:line="357" w:lineRule="auto"/>
      </w:pPr>
    </w:p>
    <w:p w14:paraId="279A1AEC">
      <w:pPr>
        <w:pStyle w:val="2"/>
        <w:spacing w:line="357" w:lineRule="auto"/>
      </w:pPr>
    </w:p>
    <w:p w14:paraId="3DBFA913">
      <w:pPr>
        <w:spacing w:before="52" w:line="220" w:lineRule="auto"/>
        <w:ind w:left="369"/>
        <w:rPr>
          <w:rFonts w:ascii="宋体" w:hAnsi="宋体" w:eastAsia="宋体" w:cs="宋体"/>
          <w:sz w:val="16"/>
          <w:szCs w:val="16"/>
        </w:rPr>
      </w:pPr>
      <w:r>
        <w:rPr>
          <w:rFonts w:ascii="宋体" w:hAnsi="宋体" w:eastAsia="宋体" w:cs="宋体"/>
          <w:spacing w:val="-14"/>
          <w:w w:val="92"/>
          <w:sz w:val="16"/>
          <w:szCs w:val="16"/>
        </w:rPr>
        <w:t>整动结果</w:t>
      </w:r>
    </w:p>
    <w:p w14:paraId="6009E888">
      <w:pPr>
        <w:pStyle w:val="2"/>
        <w:spacing w:line="274" w:lineRule="auto"/>
      </w:pPr>
    </w:p>
    <w:p w14:paraId="69990499">
      <w:pPr>
        <w:pStyle w:val="2"/>
        <w:spacing w:line="274" w:lineRule="auto"/>
      </w:pPr>
    </w:p>
    <w:p w14:paraId="7ED9DCFD">
      <w:pPr>
        <w:pStyle w:val="2"/>
        <w:spacing w:line="274" w:lineRule="auto"/>
      </w:pPr>
    </w:p>
    <w:p w14:paraId="03651C42">
      <w:pPr>
        <w:spacing w:before="52" w:line="218" w:lineRule="auto"/>
        <w:rPr>
          <w:rFonts w:ascii="宋体" w:hAnsi="宋体" w:eastAsia="宋体" w:cs="宋体"/>
          <w:sz w:val="16"/>
          <w:szCs w:val="16"/>
        </w:rPr>
      </w:pPr>
      <w:r>
        <w:rPr>
          <w:rFonts w:ascii="宋体" w:hAnsi="宋体" w:eastAsia="宋体" w:cs="宋体"/>
          <w:spacing w:val="-6"/>
          <w:sz w:val="16"/>
          <w:szCs w:val="16"/>
        </w:rPr>
        <w:t>发</w:t>
      </w:r>
      <w:r>
        <w:rPr>
          <w:rFonts w:ascii="宋体" w:hAnsi="宋体" w:eastAsia="宋体" w:cs="宋体"/>
          <w:spacing w:val="5"/>
          <w:sz w:val="16"/>
          <w:szCs w:val="16"/>
        </w:rPr>
        <w:t xml:space="preserve"> </w:t>
      </w:r>
      <w:r>
        <w:rPr>
          <w:rFonts w:ascii="宋体" w:hAnsi="宋体" w:eastAsia="宋体" w:cs="宋体"/>
          <w:spacing w:val="-6"/>
          <w:sz w:val="16"/>
          <w:szCs w:val="16"/>
        </w:rPr>
        <w:t>不</w:t>
      </w:r>
      <w:r>
        <w:rPr>
          <w:rFonts w:ascii="宋体" w:hAnsi="宋体" w:eastAsia="宋体" w:cs="宋体"/>
          <w:spacing w:val="7"/>
          <w:sz w:val="16"/>
          <w:szCs w:val="16"/>
        </w:rPr>
        <w:t xml:space="preserve"> </w:t>
      </w:r>
      <w:r>
        <w:rPr>
          <w:rFonts w:ascii="宋体" w:hAnsi="宋体" w:eastAsia="宋体" w:cs="宋体"/>
          <w:spacing w:val="-6"/>
          <w:sz w:val="16"/>
          <w:szCs w:val="16"/>
        </w:rPr>
        <w:t>予</w:t>
      </w:r>
      <w:r>
        <w:rPr>
          <w:rFonts w:ascii="宋体" w:hAnsi="宋体" w:eastAsia="宋体" w:cs="宋体"/>
          <w:spacing w:val="5"/>
          <w:sz w:val="16"/>
          <w:szCs w:val="16"/>
        </w:rPr>
        <w:t xml:space="preserve"> </w:t>
      </w:r>
      <w:r>
        <w:rPr>
          <w:rFonts w:ascii="宋体" w:hAnsi="宋体" w:eastAsia="宋体" w:cs="宋体"/>
          <w:spacing w:val="-6"/>
          <w:sz w:val="16"/>
          <w:szCs w:val="16"/>
        </w:rPr>
        <w:t>行 政</w:t>
      </w:r>
    </w:p>
    <w:p w14:paraId="38137B87">
      <w:pPr>
        <w:spacing w:before="1" w:line="218" w:lineRule="auto"/>
        <w:rPr>
          <w:rFonts w:ascii="宋体" w:hAnsi="宋体" w:eastAsia="宋体" w:cs="宋体"/>
          <w:sz w:val="16"/>
          <w:szCs w:val="16"/>
        </w:rPr>
      </w:pPr>
      <w:r>
        <w:rPr>
          <w:rFonts w:ascii="宋体" w:hAnsi="宋体" w:eastAsia="宋体" w:cs="宋体"/>
          <w:spacing w:val="9"/>
          <w:sz w:val="16"/>
          <w:szCs w:val="16"/>
        </w:rPr>
        <w:t>许可决定书》</w:t>
      </w:r>
    </w:p>
    <w:sectPr>
      <w:type w:val="continuous"/>
      <w:pgSz w:w="11910" w:h="16840"/>
      <w:pgMar w:top="1190" w:right="1759" w:bottom="400" w:left="1786" w:header="0" w:footer="0" w:gutter="0"/>
      <w:cols w:equalWidth="0" w:num="2">
        <w:col w:w="5804" w:space="100"/>
        <w:col w:w="246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DD24E">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65C04A2B"/>
    <w:rsid w:val="7FF920D7"/>
    <w:rsid w:val="EFF153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TotalTime>2</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2024-03-22T09:06:00Z</dcterms:created>
  <dc:creator>Administrator</dc:creator>
  <cp:lastModifiedBy>李沁珂</cp:lastModifiedBy>
  <dcterms:modified xsi:type="dcterms:W3CDTF">2025-01-09T11:16:55Z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2024-03-21T17:06:39Z</vt:filetime>
  </property>
  <property fmtid="{D5CDD505-2E9C-101B-9397-08002B2CF9AE}" pid="4" name="UsrData">
    <vt:lpwstr>65fbf89b061220001f65d348wl</vt:lpwstr>
  </property>
  <property fmtid="{D5CDD505-2E9C-101B-9397-08002B2CF9AE}" pid="5" name="KSOProductBuildVer">
    <vt:lpwstr>2052-12.8.2.1114</vt:lpwstr>
  </property>
  <property fmtid="{D5CDD505-2E9C-101B-9397-08002B2CF9AE}" pid="6" name="ICV">
    <vt:lpwstr>26F5B62ADBBA4130AC39864E710B4122_12</vt:lpwstr>
  </property>
</Properties>
</file>