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B1" w:rsidRPr="001D3A0E" w:rsidRDefault="008E79B1" w:rsidP="00122795">
      <w:pPr>
        <w:spacing w:line="600" w:lineRule="exact"/>
        <w:ind w:firstLineChars="100" w:firstLine="440"/>
        <w:jc w:val="center"/>
        <w:rPr>
          <w:rFonts w:ascii="Times New Roman" w:eastAsia="方正小标宋简体" w:hAnsi="Times New Roman"/>
          <w:sz w:val="44"/>
          <w:szCs w:val="44"/>
        </w:rPr>
      </w:pPr>
      <w:bookmarkStart w:id="0" w:name="_GoBack"/>
      <w:bookmarkEnd w:id="0"/>
      <w:r w:rsidRPr="001D3A0E">
        <w:rPr>
          <w:rFonts w:ascii="Times New Roman" w:eastAsia="方正小标宋简体" w:hAnsi="Times New Roman" w:hint="eastAsia"/>
          <w:sz w:val="44"/>
          <w:szCs w:val="44"/>
        </w:rPr>
        <w:t>富民县</w:t>
      </w:r>
      <w:r w:rsidR="00122795">
        <w:rPr>
          <w:rFonts w:ascii="方正小标宋简体" w:eastAsia="方正小标宋简体" w:hAnsi="Times New Roman"/>
          <w:sz w:val="44"/>
          <w:szCs w:val="44"/>
        </w:rPr>
        <w:t>201</w:t>
      </w:r>
      <w:r w:rsidR="00122795">
        <w:rPr>
          <w:rFonts w:ascii="方正小标宋简体" w:eastAsia="方正小标宋简体" w:hAnsi="Times New Roman" w:hint="eastAsia"/>
          <w:sz w:val="44"/>
          <w:szCs w:val="44"/>
        </w:rPr>
        <w:t>9</w:t>
      </w:r>
      <w:r w:rsidRPr="001D3A0E">
        <w:rPr>
          <w:rFonts w:ascii="方正小标宋简体" w:eastAsia="方正小标宋简体" w:hAnsi="Times New Roman" w:hint="eastAsia"/>
          <w:sz w:val="44"/>
          <w:szCs w:val="44"/>
        </w:rPr>
        <w:t>年</w:t>
      </w:r>
      <w:r w:rsidRPr="001D3A0E">
        <w:rPr>
          <w:rFonts w:ascii="Times New Roman" w:eastAsia="方正小标宋简体" w:hAnsi="Times New Roman" w:hint="eastAsia"/>
          <w:sz w:val="44"/>
          <w:szCs w:val="44"/>
        </w:rPr>
        <w:t>度</w:t>
      </w:r>
      <w:r w:rsidRPr="001D3A0E">
        <w:rPr>
          <w:rFonts w:ascii="Times New Roman" w:eastAsia="方正小标宋简体" w:hAnsi="Times New Roman"/>
          <w:sz w:val="44"/>
          <w:szCs w:val="44"/>
        </w:rPr>
        <w:t>“</w:t>
      </w:r>
      <w:r w:rsidRPr="001D3A0E">
        <w:rPr>
          <w:rFonts w:ascii="Times New Roman" w:eastAsia="方正小标宋简体" w:hAnsi="Times New Roman" w:hint="eastAsia"/>
          <w:sz w:val="44"/>
          <w:szCs w:val="44"/>
        </w:rPr>
        <w:t>三公</w:t>
      </w:r>
      <w:r w:rsidRPr="001D3A0E">
        <w:rPr>
          <w:rFonts w:ascii="Times New Roman" w:eastAsia="方正小标宋简体" w:hAnsi="Times New Roman"/>
          <w:sz w:val="44"/>
          <w:szCs w:val="44"/>
        </w:rPr>
        <w:t>”</w:t>
      </w:r>
      <w:r w:rsidRPr="001D3A0E">
        <w:rPr>
          <w:rFonts w:ascii="Times New Roman" w:eastAsia="方正小标宋简体" w:hAnsi="Times New Roman" w:hint="eastAsia"/>
          <w:sz w:val="44"/>
          <w:szCs w:val="44"/>
        </w:rPr>
        <w:t>经费决算</w:t>
      </w:r>
    </w:p>
    <w:p w:rsidR="008E79B1" w:rsidRPr="001D3A0E" w:rsidRDefault="008E79B1" w:rsidP="00122795">
      <w:pPr>
        <w:spacing w:line="600" w:lineRule="exact"/>
        <w:ind w:firstLineChars="100" w:firstLine="440"/>
        <w:jc w:val="center"/>
        <w:rPr>
          <w:rFonts w:ascii="Times New Roman" w:eastAsia="方正小标宋简体" w:hAnsi="Times New Roman"/>
          <w:sz w:val="44"/>
          <w:szCs w:val="44"/>
        </w:rPr>
      </w:pPr>
      <w:r w:rsidRPr="001D3A0E">
        <w:rPr>
          <w:rFonts w:ascii="Times New Roman" w:eastAsia="方正小标宋简体" w:hAnsi="Times New Roman" w:hint="eastAsia"/>
          <w:sz w:val="44"/>
          <w:szCs w:val="44"/>
        </w:rPr>
        <w:t>情况说明</w:t>
      </w:r>
    </w:p>
    <w:p w:rsidR="008E79B1" w:rsidRPr="001D3A0E" w:rsidRDefault="008E79B1" w:rsidP="00122795">
      <w:pPr>
        <w:spacing w:line="600" w:lineRule="exact"/>
        <w:ind w:firstLineChars="100" w:firstLine="180"/>
        <w:jc w:val="center"/>
        <w:rPr>
          <w:rFonts w:ascii="Times New Roman" w:eastAsia="方正小标宋简体" w:hAnsi="Times New Roman"/>
          <w:sz w:val="18"/>
          <w:szCs w:val="18"/>
        </w:rPr>
      </w:pPr>
    </w:p>
    <w:p w:rsidR="008E79B1" w:rsidRPr="001D3A0E" w:rsidRDefault="008E79B1" w:rsidP="00122795">
      <w:pPr>
        <w:ind w:firstLineChars="200" w:firstLine="640"/>
        <w:rPr>
          <w:rFonts w:ascii="Times New Roman" w:eastAsia="仿宋_GB2312" w:hAnsi="Times New Roman"/>
          <w:sz w:val="32"/>
          <w:szCs w:val="32"/>
        </w:rPr>
      </w:pPr>
      <w:r w:rsidRPr="001D3A0E">
        <w:rPr>
          <w:rFonts w:ascii="Times New Roman" w:eastAsia="仿宋_GB2312" w:hAnsi="Times New Roman" w:hint="eastAsia"/>
          <w:sz w:val="32"/>
          <w:szCs w:val="32"/>
        </w:rPr>
        <w:t>为认真贯彻落实《预算法》关于预算公开的有关规定，实施全面规范、公开透明的预算制度，按照国务院和财政部关于</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三公</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经费公开的有关精神，以及《中共云南省委办公厅云南省人民政府办公厅印发〈关于进一步推进预算公开工作的实施意见〉的通知》（云办发〔</w:t>
      </w:r>
      <w:r w:rsidRPr="001D3A0E">
        <w:rPr>
          <w:rFonts w:ascii="Times New Roman" w:eastAsia="仿宋_GB2312" w:hAnsi="Times New Roman"/>
          <w:sz w:val="32"/>
          <w:szCs w:val="32"/>
        </w:rPr>
        <w:t>2016</w:t>
      </w:r>
      <w:r w:rsidRPr="001D3A0E">
        <w:rPr>
          <w:rFonts w:ascii="Times New Roman" w:eastAsia="仿宋_GB2312" w:hAnsi="Times New Roman" w:hint="eastAsia"/>
          <w:sz w:val="32"/>
          <w:szCs w:val="32"/>
        </w:rPr>
        <w:t>〕</w:t>
      </w:r>
      <w:r w:rsidRPr="001D3A0E">
        <w:rPr>
          <w:rFonts w:ascii="Times New Roman" w:eastAsia="仿宋_GB2312" w:hAnsi="Times New Roman"/>
          <w:sz w:val="32"/>
          <w:szCs w:val="32"/>
        </w:rPr>
        <w:t>29</w:t>
      </w:r>
      <w:r w:rsidRPr="001D3A0E">
        <w:rPr>
          <w:rFonts w:ascii="Times New Roman" w:eastAsia="仿宋_GB2312" w:hAnsi="Times New Roman" w:hint="eastAsia"/>
          <w:sz w:val="32"/>
          <w:szCs w:val="32"/>
        </w:rPr>
        <w:t>号）和《云南省财政厅关于印发</w:t>
      </w:r>
      <w:r w:rsidRPr="001D3A0E">
        <w:rPr>
          <w:rFonts w:ascii="Times New Roman" w:eastAsia="仿宋_GB2312" w:hAnsi="Times New Roman"/>
          <w:sz w:val="32"/>
          <w:szCs w:val="32"/>
        </w:rPr>
        <w:t>&lt;</w:t>
      </w:r>
      <w:r w:rsidRPr="001D3A0E">
        <w:rPr>
          <w:rFonts w:ascii="Times New Roman" w:eastAsia="仿宋_GB2312" w:hAnsi="Times New Roman" w:hint="eastAsia"/>
          <w:sz w:val="32"/>
          <w:szCs w:val="32"/>
        </w:rPr>
        <w:t>预决算公开工作补充实施细则</w:t>
      </w:r>
      <w:r w:rsidRPr="001D3A0E">
        <w:rPr>
          <w:rFonts w:ascii="Times New Roman" w:eastAsia="仿宋_GB2312" w:hAnsi="Times New Roman"/>
          <w:sz w:val="32"/>
          <w:szCs w:val="32"/>
        </w:rPr>
        <w:t>&gt;</w:t>
      </w:r>
      <w:r w:rsidRPr="001D3A0E">
        <w:rPr>
          <w:rFonts w:ascii="Times New Roman" w:eastAsia="仿宋_GB2312" w:hAnsi="Times New Roman" w:hint="eastAsia"/>
          <w:sz w:val="32"/>
          <w:szCs w:val="32"/>
        </w:rPr>
        <w:t>的通知》（</w:t>
      </w:r>
      <w:proofErr w:type="gramStart"/>
      <w:r w:rsidRPr="001D3A0E">
        <w:rPr>
          <w:rFonts w:ascii="Times New Roman" w:eastAsia="仿宋_GB2312" w:hAnsi="Times New Roman" w:hint="eastAsia"/>
          <w:sz w:val="32"/>
          <w:szCs w:val="32"/>
        </w:rPr>
        <w:t>云财预</w:t>
      </w:r>
      <w:proofErr w:type="gramEnd"/>
      <w:r w:rsidRPr="001D3A0E">
        <w:rPr>
          <w:rFonts w:ascii="Times New Roman" w:eastAsia="仿宋_GB2312" w:hAnsi="Times New Roman" w:hint="eastAsia"/>
          <w:sz w:val="32"/>
          <w:szCs w:val="32"/>
        </w:rPr>
        <w:t>〔</w:t>
      </w:r>
      <w:r w:rsidRPr="001D3A0E">
        <w:rPr>
          <w:rFonts w:ascii="Times New Roman" w:eastAsia="仿宋_GB2312" w:hAnsi="Times New Roman"/>
          <w:sz w:val="32"/>
          <w:szCs w:val="32"/>
        </w:rPr>
        <w:t>2016</w:t>
      </w:r>
      <w:r w:rsidRPr="001D3A0E">
        <w:rPr>
          <w:rFonts w:ascii="Times New Roman" w:eastAsia="仿宋_GB2312" w:hAnsi="Times New Roman" w:hint="eastAsia"/>
          <w:sz w:val="32"/>
          <w:szCs w:val="32"/>
        </w:rPr>
        <w:t>〕</w:t>
      </w:r>
      <w:r w:rsidRPr="001D3A0E">
        <w:rPr>
          <w:rFonts w:ascii="Times New Roman" w:eastAsia="仿宋_GB2312" w:hAnsi="Times New Roman"/>
          <w:sz w:val="32"/>
          <w:szCs w:val="32"/>
        </w:rPr>
        <w:t>403</w:t>
      </w:r>
      <w:r w:rsidRPr="001D3A0E">
        <w:rPr>
          <w:rFonts w:ascii="Times New Roman" w:eastAsia="仿宋_GB2312" w:hAnsi="Times New Roman" w:hint="eastAsia"/>
          <w:sz w:val="32"/>
          <w:szCs w:val="32"/>
        </w:rPr>
        <w:t>号）的要求，县财政局对全县各部门上报的</w:t>
      </w:r>
      <w:r w:rsidR="00122795">
        <w:rPr>
          <w:rFonts w:ascii="Times New Roman" w:eastAsia="仿宋_GB2312" w:hAnsi="Times New Roman"/>
          <w:sz w:val="32"/>
          <w:szCs w:val="32"/>
        </w:rPr>
        <w:t>201</w:t>
      </w:r>
      <w:r w:rsidR="00122795">
        <w:rPr>
          <w:rFonts w:ascii="Times New Roman" w:eastAsia="仿宋_GB2312" w:hAnsi="Times New Roman" w:hint="eastAsia"/>
          <w:sz w:val="32"/>
          <w:szCs w:val="32"/>
        </w:rPr>
        <w:t>9</w:t>
      </w:r>
      <w:r w:rsidRPr="001D3A0E">
        <w:rPr>
          <w:rFonts w:ascii="Times New Roman" w:eastAsia="仿宋_GB2312" w:hAnsi="Times New Roman" w:hint="eastAsia"/>
          <w:sz w:val="32"/>
          <w:szCs w:val="32"/>
        </w:rPr>
        <w:t>年</w:t>
      </w:r>
      <w:r w:rsidR="001922FC"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三公</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经费决算进行了统计汇总，经县人民政府批准，现将富民县</w:t>
      </w:r>
      <w:r w:rsidR="00122795">
        <w:rPr>
          <w:rFonts w:ascii="Times New Roman" w:eastAsia="仿宋_GB2312" w:hAnsi="Times New Roman"/>
          <w:sz w:val="32"/>
          <w:szCs w:val="32"/>
        </w:rPr>
        <w:t>201</w:t>
      </w:r>
      <w:r w:rsidR="00122795">
        <w:rPr>
          <w:rFonts w:ascii="Times New Roman" w:eastAsia="仿宋_GB2312" w:hAnsi="Times New Roman" w:hint="eastAsia"/>
          <w:sz w:val="32"/>
          <w:szCs w:val="32"/>
        </w:rPr>
        <w:t>9</w:t>
      </w:r>
      <w:r w:rsidRPr="001D3A0E">
        <w:rPr>
          <w:rFonts w:ascii="Times New Roman" w:eastAsia="仿宋_GB2312" w:hAnsi="Times New Roman" w:hint="eastAsia"/>
          <w:sz w:val="32"/>
          <w:szCs w:val="32"/>
        </w:rPr>
        <w:t>年度</w:t>
      </w:r>
      <w:r w:rsidR="001922FC"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三公</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经费决算情况公开如下：</w:t>
      </w:r>
    </w:p>
    <w:p w:rsidR="008E79B1" w:rsidRPr="001D3A0E" w:rsidRDefault="008E79B1" w:rsidP="00122795">
      <w:pPr>
        <w:ind w:firstLineChars="200" w:firstLine="640"/>
        <w:rPr>
          <w:rFonts w:ascii="Times New Roman" w:eastAsia="黑体" w:hAnsi="Times New Roman"/>
          <w:sz w:val="32"/>
          <w:szCs w:val="32"/>
        </w:rPr>
      </w:pPr>
      <w:r w:rsidRPr="001D3A0E">
        <w:rPr>
          <w:rFonts w:ascii="Times New Roman" w:eastAsia="黑体" w:hAnsi="Times New Roman" w:hint="eastAsia"/>
          <w:sz w:val="32"/>
          <w:szCs w:val="32"/>
        </w:rPr>
        <w:t>一、</w:t>
      </w:r>
      <w:r w:rsidRPr="001D3A0E">
        <w:rPr>
          <w:rFonts w:ascii="Times New Roman" w:eastAsia="黑体" w:hAnsi="Times New Roman" w:hint="eastAsia"/>
          <w:bCs/>
          <w:sz w:val="32"/>
          <w:szCs w:val="32"/>
        </w:rPr>
        <w:t>富民县</w:t>
      </w:r>
      <w:r w:rsidR="00D04524">
        <w:rPr>
          <w:rFonts w:ascii="Times New Roman" w:eastAsia="黑体" w:hAnsi="Times New Roman"/>
          <w:bCs/>
          <w:sz w:val="32"/>
          <w:szCs w:val="32"/>
        </w:rPr>
        <w:t>201</w:t>
      </w:r>
      <w:r w:rsidR="00D04524">
        <w:rPr>
          <w:rFonts w:ascii="Times New Roman" w:eastAsia="黑体" w:hAnsi="Times New Roman" w:hint="eastAsia"/>
          <w:bCs/>
          <w:sz w:val="32"/>
          <w:szCs w:val="32"/>
        </w:rPr>
        <w:t>9</w:t>
      </w:r>
      <w:r w:rsidRPr="001D3A0E">
        <w:rPr>
          <w:rFonts w:ascii="Times New Roman" w:eastAsia="黑体" w:hAnsi="Times New Roman" w:hint="eastAsia"/>
          <w:bCs/>
          <w:sz w:val="32"/>
          <w:szCs w:val="32"/>
        </w:rPr>
        <w:t>年度</w:t>
      </w:r>
      <w:r w:rsidRPr="001D3A0E">
        <w:rPr>
          <w:rFonts w:ascii="Times New Roman" w:eastAsia="黑体" w:hAnsi="Times New Roman"/>
          <w:bCs/>
          <w:sz w:val="32"/>
          <w:szCs w:val="32"/>
        </w:rPr>
        <w:t>“</w:t>
      </w:r>
      <w:r w:rsidRPr="001D3A0E">
        <w:rPr>
          <w:rFonts w:ascii="Times New Roman" w:eastAsia="黑体" w:hAnsi="Times New Roman" w:hint="eastAsia"/>
          <w:bCs/>
          <w:sz w:val="32"/>
          <w:szCs w:val="32"/>
        </w:rPr>
        <w:t>三公</w:t>
      </w:r>
      <w:r w:rsidRPr="001D3A0E">
        <w:rPr>
          <w:rFonts w:ascii="Times New Roman" w:eastAsia="黑体" w:hAnsi="Times New Roman"/>
          <w:bCs/>
          <w:sz w:val="32"/>
          <w:szCs w:val="32"/>
        </w:rPr>
        <w:t>”</w:t>
      </w:r>
      <w:r w:rsidRPr="001D3A0E">
        <w:rPr>
          <w:rFonts w:ascii="Times New Roman" w:eastAsia="黑体" w:hAnsi="Times New Roman" w:hint="eastAsia"/>
          <w:bCs/>
          <w:sz w:val="32"/>
          <w:szCs w:val="32"/>
        </w:rPr>
        <w:t>经费决算基本情况</w:t>
      </w:r>
    </w:p>
    <w:p w:rsidR="008E79B1" w:rsidRPr="001D3A0E" w:rsidRDefault="008E79B1" w:rsidP="00122795">
      <w:pPr>
        <w:ind w:firstLineChars="200" w:firstLine="640"/>
        <w:rPr>
          <w:rFonts w:ascii="Times New Roman" w:eastAsia="仿宋_GB2312" w:hAnsi="Times New Roman"/>
          <w:sz w:val="32"/>
          <w:szCs w:val="32"/>
        </w:rPr>
      </w:pPr>
      <w:r w:rsidRPr="001D3A0E">
        <w:rPr>
          <w:rFonts w:ascii="Times New Roman" w:eastAsia="仿宋_GB2312" w:hAnsi="Times New Roman" w:hint="eastAsia"/>
          <w:sz w:val="32"/>
          <w:szCs w:val="32"/>
        </w:rPr>
        <w:t>富民县</w:t>
      </w:r>
      <w:r w:rsidR="00D04524">
        <w:rPr>
          <w:rFonts w:ascii="Times New Roman" w:eastAsia="仿宋_GB2312" w:hAnsi="Times New Roman"/>
          <w:sz w:val="32"/>
          <w:szCs w:val="32"/>
        </w:rPr>
        <w:t>201</w:t>
      </w:r>
      <w:r w:rsidR="00D04524">
        <w:rPr>
          <w:rFonts w:ascii="Times New Roman" w:eastAsia="仿宋_GB2312" w:hAnsi="Times New Roman" w:hint="eastAsia"/>
          <w:sz w:val="32"/>
          <w:szCs w:val="32"/>
        </w:rPr>
        <w:t>9</w:t>
      </w:r>
      <w:r w:rsidRPr="001D3A0E">
        <w:rPr>
          <w:rFonts w:ascii="Times New Roman" w:eastAsia="仿宋_GB2312" w:hAnsi="Times New Roman" w:hint="eastAsia"/>
          <w:sz w:val="32"/>
          <w:szCs w:val="32"/>
        </w:rPr>
        <w:t>年一般公共预算财政拨款</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三公</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经费支出决算汇总数</w:t>
      </w:r>
      <w:r w:rsidR="00D04524">
        <w:rPr>
          <w:rFonts w:ascii="Times New Roman" w:eastAsia="仿宋_GB2312" w:hAnsi="Times New Roman" w:hint="eastAsia"/>
          <w:sz w:val="32"/>
          <w:szCs w:val="32"/>
        </w:rPr>
        <w:t>617.14</w:t>
      </w:r>
      <w:r w:rsidRPr="001D3A0E">
        <w:rPr>
          <w:rFonts w:ascii="Times New Roman" w:eastAsia="仿宋_GB2312" w:hAnsi="Times New Roman" w:hint="eastAsia"/>
          <w:sz w:val="32"/>
          <w:szCs w:val="32"/>
        </w:rPr>
        <w:t>万元，较上年同期</w:t>
      </w:r>
      <w:r w:rsidR="00D04524">
        <w:rPr>
          <w:rFonts w:ascii="Times New Roman" w:eastAsia="仿宋_GB2312" w:hAnsi="Times New Roman" w:hint="eastAsia"/>
          <w:sz w:val="32"/>
          <w:szCs w:val="32"/>
        </w:rPr>
        <w:t>减少</w:t>
      </w:r>
      <w:r w:rsidR="00D04524">
        <w:rPr>
          <w:rFonts w:ascii="Times New Roman" w:eastAsia="仿宋_GB2312" w:hAnsi="Times New Roman" w:hint="eastAsia"/>
          <w:sz w:val="32"/>
          <w:szCs w:val="32"/>
        </w:rPr>
        <w:t>67.84</w:t>
      </w:r>
      <w:r w:rsidRPr="001D3A0E">
        <w:rPr>
          <w:rFonts w:ascii="Times New Roman" w:eastAsia="仿宋_GB2312" w:hAnsi="Times New Roman" w:hint="eastAsia"/>
          <w:sz w:val="32"/>
          <w:szCs w:val="32"/>
        </w:rPr>
        <w:t>万元，</w:t>
      </w:r>
      <w:r w:rsidR="00D04524">
        <w:rPr>
          <w:rFonts w:ascii="Times New Roman" w:eastAsia="仿宋_GB2312" w:hAnsi="Times New Roman" w:hint="eastAsia"/>
          <w:sz w:val="32"/>
          <w:szCs w:val="32"/>
        </w:rPr>
        <w:t>下降</w:t>
      </w:r>
      <w:r w:rsidR="00D04524">
        <w:rPr>
          <w:rFonts w:ascii="Times New Roman" w:eastAsia="仿宋_GB2312" w:hAnsi="Times New Roman" w:hint="eastAsia"/>
          <w:sz w:val="32"/>
          <w:szCs w:val="32"/>
        </w:rPr>
        <w:t>9.9</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。其中：</w:t>
      </w:r>
    </w:p>
    <w:p w:rsidR="008E79B1" w:rsidRPr="001D3A0E" w:rsidRDefault="008E79B1" w:rsidP="00122795">
      <w:pPr>
        <w:ind w:firstLineChars="200" w:firstLine="640"/>
        <w:rPr>
          <w:rFonts w:ascii="Times New Roman" w:eastAsia="仿宋_GB2312" w:hAnsi="Times New Roman"/>
          <w:spacing w:val="6"/>
          <w:kern w:val="0"/>
          <w:sz w:val="32"/>
          <w:szCs w:val="32"/>
        </w:rPr>
      </w:pPr>
      <w:r w:rsidRPr="001D3A0E">
        <w:rPr>
          <w:rFonts w:ascii="Times New Roman" w:eastAsia="仿宋_GB2312" w:hAnsi="Times New Roman" w:hint="eastAsia"/>
          <w:sz w:val="32"/>
          <w:szCs w:val="32"/>
        </w:rPr>
        <w:t>（一）因公出国（境）费</w:t>
      </w:r>
      <w:r w:rsidR="00BE6192">
        <w:rPr>
          <w:rFonts w:ascii="Times New Roman" w:eastAsia="仿宋_GB2312" w:hAnsi="Times New Roman" w:hint="eastAsia"/>
          <w:sz w:val="32"/>
          <w:szCs w:val="32"/>
        </w:rPr>
        <w:t>0.8</w:t>
      </w:r>
      <w:r w:rsidRPr="001D3A0E">
        <w:rPr>
          <w:rFonts w:ascii="Times New Roman" w:eastAsia="仿宋_GB2312" w:hAnsi="Times New Roman" w:hint="eastAsia"/>
          <w:sz w:val="32"/>
          <w:szCs w:val="32"/>
        </w:rPr>
        <w:t>万元，较上年同期</w:t>
      </w:r>
      <w:r w:rsidR="00FE658D">
        <w:rPr>
          <w:rFonts w:ascii="Times New Roman" w:eastAsia="仿宋_GB2312" w:hAnsi="Times New Roman" w:hint="eastAsia"/>
          <w:sz w:val="32"/>
          <w:szCs w:val="32"/>
        </w:rPr>
        <w:t>减少</w:t>
      </w:r>
      <w:r w:rsidR="00FE658D">
        <w:rPr>
          <w:rFonts w:ascii="Times New Roman" w:eastAsia="仿宋_GB2312" w:hAnsi="Times New Roman" w:hint="eastAsia"/>
          <w:sz w:val="32"/>
          <w:szCs w:val="32"/>
        </w:rPr>
        <w:t>3.65</w:t>
      </w:r>
      <w:r w:rsidRPr="001D3A0E">
        <w:rPr>
          <w:rFonts w:ascii="Times New Roman" w:eastAsia="仿宋_GB2312" w:hAnsi="Times New Roman" w:hint="eastAsia"/>
          <w:sz w:val="32"/>
          <w:szCs w:val="32"/>
        </w:rPr>
        <w:t>万元，</w:t>
      </w:r>
      <w:r w:rsidR="00BE6192">
        <w:rPr>
          <w:rFonts w:ascii="Times New Roman" w:eastAsia="仿宋_GB2312" w:hAnsi="Times New Roman" w:hint="eastAsia"/>
          <w:sz w:val="32"/>
          <w:szCs w:val="32"/>
        </w:rPr>
        <w:t>下降</w:t>
      </w:r>
      <w:r w:rsidR="00BE6192">
        <w:rPr>
          <w:rFonts w:ascii="Times New Roman" w:eastAsia="仿宋_GB2312" w:hAnsi="Times New Roman" w:hint="eastAsia"/>
          <w:sz w:val="32"/>
          <w:szCs w:val="32"/>
        </w:rPr>
        <w:t>82.02</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，共计安排因公出国（境）团组</w:t>
      </w:r>
      <w:r w:rsidRPr="001D3A0E">
        <w:rPr>
          <w:rFonts w:ascii="Times New Roman" w:eastAsia="仿宋_GB2312" w:hAnsi="Times New Roman"/>
          <w:sz w:val="32"/>
          <w:szCs w:val="32"/>
        </w:rPr>
        <w:t>0</w:t>
      </w:r>
      <w:r w:rsidRPr="001D3A0E">
        <w:rPr>
          <w:rFonts w:ascii="Times New Roman" w:eastAsia="仿宋_GB2312" w:hAnsi="Times New Roman" w:hint="eastAsia"/>
          <w:sz w:val="32"/>
          <w:szCs w:val="32"/>
        </w:rPr>
        <w:t>个，因公出国（境）</w:t>
      </w:r>
      <w:r w:rsidRPr="001D3A0E">
        <w:rPr>
          <w:rFonts w:ascii="Times New Roman" w:eastAsia="仿宋_GB2312" w:hAnsi="Times New Roman"/>
          <w:sz w:val="32"/>
          <w:szCs w:val="32"/>
        </w:rPr>
        <w:t>1</w:t>
      </w:r>
      <w:r w:rsidRPr="001D3A0E">
        <w:rPr>
          <w:rFonts w:ascii="Times New Roman" w:eastAsia="仿宋_GB2312" w:hAnsi="Times New Roman" w:hint="eastAsia"/>
          <w:sz w:val="32"/>
          <w:szCs w:val="32"/>
        </w:rPr>
        <w:t>人次。因公出国（境）</w:t>
      </w:r>
      <w:proofErr w:type="gramStart"/>
      <w:r w:rsidRPr="001D3A0E">
        <w:rPr>
          <w:rFonts w:ascii="Times New Roman" w:eastAsia="仿宋_GB2312" w:hAnsi="Times New Roman" w:hint="eastAsia"/>
          <w:sz w:val="32"/>
          <w:szCs w:val="32"/>
        </w:rPr>
        <w:t>费</w:t>
      </w:r>
      <w:r w:rsidR="001C0D4C">
        <w:rPr>
          <w:rFonts w:ascii="Times New Roman" w:eastAsia="仿宋_GB2312" w:hAnsi="Times New Roman" w:hint="eastAsia"/>
          <w:sz w:val="32"/>
          <w:szCs w:val="32"/>
        </w:rPr>
        <w:t>产生</w:t>
      </w:r>
      <w:proofErr w:type="gramEnd"/>
      <w:r w:rsidRPr="001D3A0E">
        <w:rPr>
          <w:rFonts w:ascii="Times New Roman" w:eastAsia="仿宋_GB2312" w:hAnsi="Times New Roman" w:hint="eastAsia"/>
          <w:sz w:val="32"/>
          <w:szCs w:val="32"/>
        </w:rPr>
        <w:t>原因：</w:t>
      </w:r>
      <w:r w:rsidR="0076249A">
        <w:rPr>
          <w:rFonts w:ascii="Times New Roman" w:eastAsia="仿宋_GB2312" w:hAnsi="Times New Roman" w:hint="eastAsia"/>
          <w:sz w:val="32"/>
          <w:szCs w:val="32"/>
        </w:rPr>
        <w:t>2019</w:t>
      </w:r>
      <w:r w:rsidR="0076249A">
        <w:rPr>
          <w:rFonts w:ascii="Times New Roman" w:eastAsia="仿宋_GB2312" w:hAnsi="Times New Roman" w:hint="eastAsia"/>
          <w:sz w:val="32"/>
          <w:szCs w:val="32"/>
        </w:rPr>
        <w:t>年</w:t>
      </w:r>
      <w:r w:rsidRPr="001D3A0E">
        <w:rPr>
          <w:rFonts w:ascii="Times New Roman" w:eastAsia="仿宋_GB2312" w:hAnsi="Times New Roman" w:hint="eastAsia"/>
          <w:spacing w:val="6"/>
          <w:kern w:val="0"/>
          <w:sz w:val="32"/>
          <w:szCs w:val="32"/>
        </w:rPr>
        <w:t>我县</w:t>
      </w:r>
      <w:r w:rsidR="002F4CAC">
        <w:rPr>
          <w:rFonts w:ascii="Times New Roman" w:eastAsia="仿宋_GB2312" w:hAnsi="Times New Roman" w:hint="eastAsia"/>
          <w:spacing w:val="6"/>
          <w:kern w:val="0"/>
          <w:sz w:val="32"/>
          <w:szCs w:val="32"/>
        </w:rPr>
        <w:t>永定</w:t>
      </w:r>
      <w:r w:rsidR="006A2610">
        <w:rPr>
          <w:rFonts w:ascii="Times New Roman" w:eastAsia="仿宋_GB2312" w:hAnsi="Times New Roman" w:hint="eastAsia"/>
          <w:spacing w:val="6"/>
          <w:kern w:val="0"/>
          <w:sz w:val="32"/>
          <w:szCs w:val="32"/>
        </w:rPr>
        <w:t>中心小</w:t>
      </w:r>
      <w:r w:rsidR="002F4CAC">
        <w:rPr>
          <w:rFonts w:ascii="Times New Roman" w:eastAsia="仿宋_GB2312" w:hAnsi="Times New Roman" w:hint="eastAsia"/>
          <w:spacing w:val="6"/>
          <w:kern w:val="0"/>
          <w:sz w:val="32"/>
          <w:szCs w:val="32"/>
        </w:rPr>
        <w:t>学一名教师</w:t>
      </w:r>
      <w:r w:rsidRPr="001D3A0E">
        <w:rPr>
          <w:rFonts w:ascii="Times New Roman" w:eastAsia="仿宋_GB2312" w:hAnsi="Times New Roman" w:hint="eastAsia"/>
          <w:spacing w:val="6"/>
          <w:kern w:val="0"/>
          <w:sz w:val="32"/>
          <w:szCs w:val="32"/>
        </w:rPr>
        <w:t>参加了</w:t>
      </w:r>
      <w:r w:rsidR="006F6E7C">
        <w:rPr>
          <w:rFonts w:ascii="Times New Roman" w:eastAsia="仿宋_GB2312" w:hAnsi="Times New Roman" w:hint="eastAsia"/>
          <w:spacing w:val="6"/>
          <w:kern w:val="0"/>
          <w:sz w:val="32"/>
          <w:szCs w:val="32"/>
        </w:rPr>
        <w:t>市教育体育局、市政府外事办公室联合</w:t>
      </w:r>
      <w:r w:rsidRPr="001D3A0E">
        <w:rPr>
          <w:rFonts w:ascii="Times New Roman" w:eastAsia="仿宋_GB2312" w:hAnsi="Times New Roman" w:hint="eastAsia"/>
          <w:spacing w:val="6"/>
          <w:kern w:val="0"/>
          <w:sz w:val="32"/>
          <w:szCs w:val="32"/>
        </w:rPr>
        <w:t>组织的，</w:t>
      </w:r>
      <w:r w:rsidR="006F6E7C">
        <w:rPr>
          <w:rFonts w:ascii="Times New Roman" w:eastAsia="仿宋_GB2312" w:hAnsi="Times New Roman" w:hint="eastAsia"/>
          <w:spacing w:val="6"/>
          <w:kern w:val="0"/>
          <w:sz w:val="32"/>
          <w:szCs w:val="32"/>
        </w:rPr>
        <w:t>中小学英语教师赴</w:t>
      </w:r>
      <w:r w:rsidR="00762D43">
        <w:rPr>
          <w:rFonts w:ascii="Times New Roman" w:eastAsia="仿宋_GB2312" w:hAnsi="Times New Roman" w:hint="eastAsia"/>
          <w:spacing w:val="6"/>
          <w:kern w:val="0"/>
          <w:sz w:val="32"/>
          <w:szCs w:val="32"/>
        </w:rPr>
        <w:t>港</w:t>
      </w:r>
      <w:r w:rsidR="001C0D4C">
        <w:rPr>
          <w:rFonts w:ascii="Times New Roman" w:eastAsia="仿宋_GB2312" w:hAnsi="Times New Roman" w:hint="eastAsia"/>
          <w:spacing w:val="6"/>
          <w:kern w:val="0"/>
          <w:sz w:val="32"/>
          <w:szCs w:val="32"/>
        </w:rPr>
        <w:t>、</w:t>
      </w:r>
      <w:r w:rsidR="006F6E7C">
        <w:rPr>
          <w:rFonts w:ascii="Times New Roman" w:eastAsia="仿宋_GB2312" w:hAnsi="Times New Roman" w:hint="eastAsia"/>
          <w:spacing w:val="6"/>
          <w:kern w:val="0"/>
          <w:sz w:val="32"/>
          <w:szCs w:val="32"/>
        </w:rPr>
        <w:t>澳高级研</w:t>
      </w:r>
      <w:r w:rsidR="006F6E7C">
        <w:rPr>
          <w:rFonts w:ascii="Times New Roman" w:eastAsia="仿宋_GB2312" w:hAnsi="Times New Roman" w:hint="eastAsia"/>
          <w:spacing w:val="6"/>
          <w:kern w:val="0"/>
          <w:sz w:val="32"/>
          <w:szCs w:val="32"/>
        </w:rPr>
        <w:lastRenderedPageBreak/>
        <w:t>修班学习培训。</w:t>
      </w:r>
    </w:p>
    <w:p w:rsidR="008E79B1" w:rsidRPr="001D3A0E" w:rsidRDefault="008E79B1" w:rsidP="0089178E">
      <w:pPr>
        <w:widowControl/>
        <w:ind w:firstLine="624"/>
        <w:rPr>
          <w:rFonts w:ascii="Times New Roman" w:eastAsia="仿宋_GB2312" w:hAnsi="Times New Roman"/>
          <w:spacing w:val="6"/>
          <w:kern w:val="0"/>
          <w:sz w:val="32"/>
          <w:szCs w:val="32"/>
        </w:rPr>
      </w:pPr>
      <w:r w:rsidRPr="001D3A0E">
        <w:rPr>
          <w:rFonts w:ascii="Times New Roman" w:eastAsia="仿宋_GB2312" w:hAnsi="Times New Roman" w:hint="eastAsia"/>
          <w:sz w:val="32"/>
          <w:szCs w:val="32"/>
        </w:rPr>
        <w:t>（二）公务接待费</w:t>
      </w:r>
      <w:r w:rsidR="0076249A">
        <w:rPr>
          <w:rFonts w:ascii="Times New Roman" w:eastAsia="仿宋_GB2312" w:hAnsi="Times New Roman" w:hint="eastAsia"/>
          <w:sz w:val="32"/>
          <w:szCs w:val="32"/>
        </w:rPr>
        <w:t>144.47</w:t>
      </w:r>
      <w:r w:rsidRPr="001D3A0E">
        <w:rPr>
          <w:rFonts w:ascii="Times New Roman" w:eastAsia="仿宋_GB2312" w:hAnsi="Times New Roman" w:hint="eastAsia"/>
          <w:sz w:val="32"/>
          <w:szCs w:val="32"/>
        </w:rPr>
        <w:t>万元，较上年同期减少</w:t>
      </w:r>
      <w:r w:rsidR="0076249A">
        <w:rPr>
          <w:rFonts w:ascii="Times New Roman" w:eastAsia="仿宋_GB2312" w:hAnsi="Times New Roman" w:hint="eastAsia"/>
          <w:sz w:val="32"/>
          <w:szCs w:val="32"/>
        </w:rPr>
        <w:t>53.93</w:t>
      </w:r>
      <w:r w:rsidRPr="001D3A0E">
        <w:rPr>
          <w:rFonts w:ascii="Times New Roman" w:eastAsia="仿宋_GB2312" w:hAnsi="Times New Roman" w:hint="eastAsia"/>
          <w:sz w:val="32"/>
          <w:szCs w:val="32"/>
        </w:rPr>
        <w:t>万元，下降</w:t>
      </w:r>
      <w:r w:rsidR="0076249A">
        <w:rPr>
          <w:rFonts w:ascii="Times New Roman" w:eastAsia="仿宋_GB2312" w:hAnsi="Times New Roman" w:hint="eastAsia"/>
          <w:sz w:val="32"/>
          <w:szCs w:val="32"/>
        </w:rPr>
        <w:t>27.18</w:t>
      </w:r>
      <w:r w:rsidRPr="001D3A0E">
        <w:rPr>
          <w:rFonts w:ascii="Times New Roman" w:eastAsia="仿宋_GB2312" w:hAnsi="Times New Roman"/>
          <w:sz w:val="32"/>
          <w:szCs w:val="32"/>
        </w:rPr>
        <w:t>%</w:t>
      </w:r>
      <w:r w:rsidRPr="001D3A0E">
        <w:rPr>
          <w:rFonts w:ascii="Times New Roman" w:eastAsia="仿宋_GB2312" w:hAnsi="Times New Roman" w:hint="eastAsia"/>
          <w:sz w:val="32"/>
          <w:szCs w:val="32"/>
        </w:rPr>
        <w:t>，国内公务接待批次</w:t>
      </w:r>
      <w:r w:rsidR="00CC0BAB">
        <w:rPr>
          <w:rFonts w:ascii="Times New Roman" w:eastAsia="仿宋_GB2312" w:hAnsi="Times New Roman" w:hint="eastAsia"/>
          <w:sz w:val="32"/>
          <w:szCs w:val="32"/>
        </w:rPr>
        <w:t>3</w:t>
      </w:r>
      <w:r w:rsidR="0076249A">
        <w:rPr>
          <w:rFonts w:ascii="Times New Roman" w:eastAsia="仿宋_GB2312" w:hAnsi="Times New Roman" w:hint="eastAsia"/>
          <w:sz w:val="32"/>
          <w:szCs w:val="32"/>
        </w:rPr>
        <w:t>435</w:t>
      </w:r>
      <w:r w:rsidRPr="001D3A0E">
        <w:rPr>
          <w:rFonts w:ascii="Times New Roman" w:eastAsia="仿宋_GB2312" w:hAnsi="Times New Roman" w:hint="eastAsia"/>
          <w:sz w:val="32"/>
          <w:szCs w:val="32"/>
        </w:rPr>
        <w:t>个，</w:t>
      </w:r>
      <w:r w:rsidRPr="001D3A0E">
        <w:rPr>
          <w:rFonts w:ascii="Times New Roman" w:eastAsia="仿宋_GB2312" w:hAnsi="Times New Roman" w:hint="eastAsia"/>
          <w:spacing w:val="6"/>
          <w:kern w:val="0"/>
          <w:sz w:val="32"/>
          <w:szCs w:val="32"/>
        </w:rPr>
        <w:t>较</w:t>
      </w:r>
      <w:r w:rsidRPr="001D3A0E">
        <w:rPr>
          <w:rFonts w:ascii="Times New Roman" w:eastAsia="仿宋_GB2312" w:hAnsi="Times New Roman"/>
          <w:spacing w:val="6"/>
          <w:kern w:val="0"/>
          <w:sz w:val="32"/>
          <w:szCs w:val="32"/>
        </w:rPr>
        <w:t>201</w:t>
      </w:r>
      <w:r w:rsidR="0076249A">
        <w:rPr>
          <w:rFonts w:ascii="Times New Roman" w:eastAsia="仿宋_GB2312" w:hAnsi="Times New Roman" w:hint="eastAsia"/>
          <w:spacing w:val="6"/>
          <w:kern w:val="0"/>
          <w:sz w:val="32"/>
          <w:szCs w:val="32"/>
        </w:rPr>
        <w:t>8</w:t>
      </w:r>
      <w:r w:rsidRPr="001D3A0E">
        <w:rPr>
          <w:rFonts w:ascii="Times New Roman" w:eastAsia="仿宋_GB2312" w:hAnsi="Times New Roman" w:hint="eastAsia"/>
          <w:spacing w:val="6"/>
          <w:kern w:val="0"/>
          <w:sz w:val="32"/>
          <w:szCs w:val="32"/>
        </w:rPr>
        <w:t>年决算数</w:t>
      </w:r>
      <w:r w:rsidR="0076249A">
        <w:rPr>
          <w:rFonts w:ascii="Times New Roman" w:eastAsia="仿宋_GB2312" w:hAnsi="Times New Roman" w:hint="eastAsia"/>
          <w:spacing w:val="6"/>
          <w:kern w:val="0"/>
          <w:sz w:val="32"/>
          <w:szCs w:val="32"/>
        </w:rPr>
        <w:t>减少</w:t>
      </w:r>
      <w:r w:rsidR="0076249A">
        <w:rPr>
          <w:rFonts w:ascii="Times New Roman" w:eastAsia="仿宋_GB2312" w:hAnsi="Times New Roman" w:hint="eastAsia"/>
          <w:spacing w:val="6"/>
          <w:kern w:val="0"/>
          <w:sz w:val="32"/>
          <w:szCs w:val="32"/>
        </w:rPr>
        <w:t>455</w:t>
      </w:r>
      <w:r w:rsidRPr="001D3A0E">
        <w:rPr>
          <w:rFonts w:ascii="Times New Roman" w:eastAsia="仿宋_GB2312" w:hAnsi="Times New Roman" w:hint="eastAsia"/>
          <w:spacing w:val="6"/>
          <w:kern w:val="0"/>
          <w:sz w:val="32"/>
          <w:szCs w:val="32"/>
        </w:rPr>
        <w:t>个，</w:t>
      </w:r>
      <w:r w:rsidR="0076249A">
        <w:rPr>
          <w:rFonts w:ascii="Times New Roman" w:eastAsia="仿宋_GB2312" w:hAnsi="Times New Roman" w:hint="eastAsia"/>
          <w:spacing w:val="6"/>
          <w:kern w:val="0"/>
          <w:sz w:val="32"/>
          <w:szCs w:val="32"/>
        </w:rPr>
        <w:t>下降</w:t>
      </w:r>
      <w:r w:rsidR="0076249A">
        <w:rPr>
          <w:rFonts w:ascii="Times New Roman" w:eastAsia="仿宋_GB2312" w:hAnsi="Times New Roman" w:hint="eastAsia"/>
          <w:spacing w:val="6"/>
          <w:kern w:val="0"/>
          <w:sz w:val="32"/>
          <w:szCs w:val="32"/>
        </w:rPr>
        <w:t>11.7</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；国内公务接待人次</w:t>
      </w:r>
      <w:r w:rsidR="0076249A">
        <w:rPr>
          <w:rFonts w:ascii="Times New Roman" w:eastAsia="仿宋_GB2312" w:hAnsi="Times New Roman" w:hint="eastAsia"/>
          <w:sz w:val="32"/>
          <w:szCs w:val="32"/>
        </w:rPr>
        <w:t>27810</w:t>
      </w:r>
      <w:r w:rsidRPr="001D3A0E">
        <w:rPr>
          <w:rFonts w:ascii="Times New Roman" w:eastAsia="仿宋_GB2312" w:hAnsi="Times New Roman" w:hint="eastAsia"/>
          <w:spacing w:val="6"/>
          <w:kern w:val="0"/>
          <w:sz w:val="32"/>
          <w:szCs w:val="32"/>
        </w:rPr>
        <w:t>人，较</w:t>
      </w:r>
      <w:r w:rsidR="0076249A">
        <w:rPr>
          <w:rFonts w:ascii="Times New Roman" w:eastAsia="仿宋_GB2312" w:hAnsi="Times New Roman"/>
          <w:spacing w:val="6"/>
          <w:kern w:val="0"/>
          <w:sz w:val="32"/>
          <w:szCs w:val="32"/>
        </w:rPr>
        <w:t>201</w:t>
      </w:r>
      <w:r w:rsidR="0076249A">
        <w:rPr>
          <w:rFonts w:ascii="Times New Roman" w:eastAsia="仿宋_GB2312" w:hAnsi="Times New Roman" w:hint="eastAsia"/>
          <w:spacing w:val="6"/>
          <w:kern w:val="0"/>
          <w:sz w:val="32"/>
          <w:szCs w:val="32"/>
        </w:rPr>
        <w:t>8</w:t>
      </w:r>
      <w:r w:rsidRPr="001D3A0E">
        <w:rPr>
          <w:rFonts w:ascii="Times New Roman" w:eastAsia="仿宋_GB2312" w:hAnsi="Times New Roman" w:hint="eastAsia"/>
          <w:spacing w:val="6"/>
          <w:kern w:val="0"/>
          <w:sz w:val="32"/>
          <w:szCs w:val="32"/>
        </w:rPr>
        <w:t>年决算数减少</w:t>
      </w:r>
      <w:r w:rsidR="002656F8">
        <w:rPr>
          <w:rFonts w:ascii="Times New Roman" w:eastAsia="仿宋_GB2312" w:hAnsi="Times New Roman" w:hint="eastAsia"/>
          <w:spacing w:val="6"/>
          <w:kern w:val="0"/>
          <w:sz w:val="32"/>
          <w:szCs w:val="32"/>
        </w:rPr>
        <w:t>7</w:t>
      </w:r>
      <w:r w:rsidR="0076249A">
        <w:rPr>
          <w:rFonts w:ascii="Times New Roman" w:eastAsia="仿宋_GB2312" w:hAnsi="Times New Roman" w:hint="eastAsia"/>
          <w:spacing w:val="6"/>
          <w:kern w:val="0"/>
          <w:sz w:val="32"/>
          <w:szCs w:val="32"/>
        </w:rPr>
        <w:t>978</w:t>
      </w:r>
      <w:r w:rsidRPr="001D3A0E">
        <w:rPr>
          <w:rFonts w:ascii="Times New Roman" w:eastAsia="仿宋_GB2312" w:hAnsi="Times New Roman" w:hint="eastAsia"/>
          <w:spacing w:val="6"/>
          <w:kern w:val="0"/>
          <w:sz w:val="32"/>
          <w:szCs w:val="32"/>
        </w:rPr>
        <w:t>人，下降</w:t>
      </w:r>
      <w:r w:rsidR="00020055">
        <w:rPr>
          <w:rFonts w:ascii="Times New Roman" w:eastAsia="仿宋_GB2312" w:hAnsi="Times New Roman" w:hint="eastAsia"/>
          <w:spacing w:val="6"/>
          <w:kern w:val="0"/>
          <w:sz w:val="32"/>
          <w:szCs w:val="32"/>
        </w:rPr>
        <w:t>22.29</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w:t>
      </w:r>
      <w:r w:rsidRPr="001D3A0E">
        <w:rPr>
          <w:rFonts w:ascii="Times New Roman" w:eastAsia="仿宋_GB2312" w:hAnsi="Times New Roman" w:hint="eastAsia"/>
          <w:sz w:val="32"/>
          <w:szCs w:val="32"/>
        </w:rPr>
        <w:t>公务接待费下降原因：我县</w:t>
      </w:r>
      <w:r w:rsidRPr="001D3A0E">
        <w:rPr>
          <w:rFonts w:ascii="Times New Roman" w:eastAsia="仿宋_GB2312" w:hAnsi="Times New Roman" w:hint="eastAsia"/>
          <w:spacing w:val="6"/>
          <w:kern w:val="0"/>
          <w:sz w:val="32"/>
          <w:szCs w:val="32"/>
        </w:rPr>
        <w:t>严格执行</w:t>
      </w:r>
      <w:r w:rsidRPr="001D3A0E">
        <w:rPr>
          <w:rFonts w:ascii="Times New Roman" w:eastAsia="仿宋_GB2312" w:hAnsi="Times New Roman" w:hint="eastAsia"/>
          <w:color w:val="000000"/>
          <w:kern w:val="0"/>
          <w:sz w:val="32"/>
          <w:szCs w:val="32"/>
        </w:rPr>
        <w:t>中央八项规定和《党政机关厉行节约反对浪费条例》等有关文件精神和国务院</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约法三章</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的要求，严格控制经费支出，加强</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三公</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spacing w:val="6"/>
          <w:kern w:val="0"/>
          <w:sz w:val="32"/>
          <w:szCs w:val="32"/>
        </w:rPr>
        <w:t>经费的管理，因此</w:t>
      </w:r>
      <w:r w:rsidRPr="001D3A0E">
        <w:rPr>
          <w:rFonts w:ascii="Times New Roman" w:eastAsia="仿宋_GB2312" w:hAnsi="Times New Roman" w:hint="eastAsia"/>
          <w:sz w:val="32"/>
          <w:szCs w:val="32"/>
        </w:rPr>
        <w:t>公务</w:t>
      </w:r>
      <w:proofErr w:type="gramStart"/>
      <w:r w:rsidRPr="001D3A0E">
        <w:rPr>
          <w:rFonts w:ascii="Times New Roman" w:eastAsia="仿宋_GB2312" w:hAnsi="Times New Roman" w:hint="eastAsia"/>
          <w:sz w:val="32"/>
          <w:szCs w:val="32"/>
        </w:rPr>
        <w:t>接待费较上年</w:t>
      </w:r>
      <w:proofErr w:type="gramEnd"/>
      <w:r w:rsidRPr="001D3A0E">
        <w:rPr>
          <w:rFonts w:ascii="Times New Roman" w:eastAsia="仿宋_GB2312" w:hAnsi="Times New Roman" w:hint="eastAsia"/>
          <w:sz w:val="32"/>
          <w:szCs w:val="32"/>
        </w:rPr>
        <w:t>同期有所下降</w:t>
      </w:r>
      <w:r w:rsidRPr="001D3A0E">
        <w:rPr>
          <w:rFonts w:ascii="Times New Roman" w:eastAsia="仿宋_GB2312" w:hAnsi="Times New Roman" w:hint="eastAsia"/>
          <w:spacing w:val="6"/>
          <w:kern w:val="0"/>
          <w:sz w:val="32"/>
          <w:szCs w:val="32"/>
        </w:rPr>
        <w:t>。</w:t>
      </w:r>
    </w:p>
    <w:p w:rsidR="007E55CF" w:rsidRDefault="008E79B1" w:rsidP="00122795">
      <w:pPr>
        <w:ind w:firstLineChars="200" w:firstLine="640"/>
        <w:rPr>
          <w:rFonts w:ascii="Times New Roman" w:eastAsia="仿宋_GB2312" w:hAnsi="Times New Roman"/>
          <w:sz w:val="32"/>
          <w:szCs w:val="32"/>
        </w:rPr>
      </w:pPr>
      <w:r w:rsidRPr="001D3A0E">
        <w:rPr>
          <w:rFonts w:ascii="Times New Roman" w:eastAsia="仿宋_GB2312" w:hAnsi="Times New Roman" w:hint="eastAsia"/>
          <w:sz w:val="32"/>
          <w:szCs w:val="32"/>
        </w:rPr>
        <w:t>（三）公务用车购置及运行维护费</w:t>
      </w:r>
      <w:r w:rsidR="00020055">
        <w:rPr>
          <w:rFonts w:ascii="Times New Roman" w:eastAsia="仿宋_GB2312" w:hAnsi="Times New Roman" w:hint="eastAsia"/>
          <w:sz w:val="32"/>
          <w:szCs w:val="32"/>
        </w:rPr>
        <w:t>471.88</w:t>
      </w:r>
      <w:r w:rsidR="00020055">
        <w:rPr>
          <w:rFonts w:ascii="Times New Roman" w:eastAsia="仿宋_GB2312" w:hAnsi="Times New Roman" w:hint="eastAsia"/>
          <w:sz w:val="32"/>
          <w:szCs w:val="32"/>
        </w:rPr>
        <w:t>万元，较上年同期减少</w:t>
      </w:r>
      <w:r w:rsidR="00020055">
        <w:rPr>
          <w:rFonts w:ascii="Times New Roman" w:eastAsia="仿宋_GB2312" w:hAnsi="Times New Roman" w:hint="eastAsia"/>
          <w:sz w:val="32"/>
          <w:szCs w:val="32"/>
        </w:rPr>
        <w:t>10.25</w:t>
      </w:r>
      <w:r w:rsidRPr="001D3A0E">
        <w:rPr>
          <w:rFonts w:ascii="Times New Roman" w:eastAsia="仿宋_GB2312" w:hAnsi="Times New Roman" w:hint="eastAsia"/>
          <w:sz w:val="32"/>
          <w:szCs w:val="32"/>
        </w:rPr>
        <w:t>万元，</w:t>
      </w:r>
      <w:r w:rsidR="00020055">
        <w:rPr>
          <w:rFonts w:ascii="Times New Roman" w:eastAsia="仿宋_GB2312" w:hAnsi="Times New Roman" w:hint="eastAsia"/>
          <w:sz w:val="32"/>
          <w:szCs w:val="32"/>
        </w:rPr>
        <w:t>下降</w:t>
      </w:r>
      <w:r w:rsidR="00020055">
        <w:rPr>
          <w:rFonts w:ascii="Times New Roman" w:eastAsia="仿宋_GB2312" w:hAnsi="Times New Roman" w:hint="eastAsia"/>
          <w:sz w:val="32"/>
          <w:szCs w:val="32"/>
        </w:rPr>
        <w:t>2.13</w:t>
      </w:r>
      <w:r w:rsidRPr="001D3A0E">
        <w:rPr>
          <w:rFonts w:ascii="Times New Roman" w:eastAsia="仿宋_GB2312" w:hAnsi="Times New Roman"/>
          <w:sz w:val="32"/>
          <w:szCs w:val="32"/>
        </w:rPr>
        <w:t>%</w:t>
      </w:r>
      <w:r w:rsidR="007E55CF">
        <w:rPr>
          <w:rFonts w:ascii="Times New Roman" w:eastAsia="仿宋_GB2312" w:hAnsi="Times New Roman" w:hint="eastAsia"/>
          <w:sz w:val="32"/>
          <w:szCs w:val="32"/>
        </w:rPr>
        <w:t>。</w:t>
      </w:r>
      <w:r w:rsidRPr="001D3A0E">
        <w:rPr>
          <w:rFonts w:ascii="Times New Roman" w:eastAsia="仿宋_GB2312" w:hAnsi="Times New Roman" w:hint="eastAsia"/>
          <w:sz w:val="32"/>
          <w:szCs w:val="32"/>
        </w:rPr>
        <w:t>其中：</w:t>
      </w:r>
    </w:p>
    <w:p w:rsidR="007E55CF" w:rsidRDefault="007E55CF" w:rsidP="0012279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sidR="008E79B1" w:rsidRPr="001D3A0E">
        <w:rPr>
          <w:rFonts w:ascii="Times New Roman" w:eastAsia="仿宋_GB2312" w:hAnsi="Times New Roman" w:hint="eastAsia"/>
          <w:sz w:val="32"/>
          <w:szCs w:val="32"/>
        </w:rPr>
        <w:t>公务用车购置费</w:t>
      </w:r>
      <w:r w:rsidR="00020055">
        <w:rPr>
          <w:rFonts w:ascii="Times New Roman" w:eastAsia="仿宋_GB2312" w:hAnsi="Times New Roman" w:hint="eastAsia"/>
          <w:sz w:val="32"/>
          <w:szCs w:val="32"/>
        </w:rPr>
        <w:t>85.48</w:t>
      </w:r>
      <w:r w:rsidR="008E79B1" w:rsidRPr="001D3A0E">
        <w:rPr>
          <w:rFonts w:ascii="Times New Roman" w:eastAsia="仿宋_GB2312" w:hAnsi="Times New Roman" w:hint="eastAsia"/>
          <w:sz w:val="32"/>
          <w:szCs w:val="32"/>
        </w:rPr>
        <w:t>万元，较上年同期增加</w:t>
      </w:r>
      <w:r w:rsidR="00020055">
        <w:rPr>
          <w:rFonts w:ascii="Times New Roman" w:eastAsia="仿宋_GB2312" w:hAnsi="Times New Roman" w:hint="eastAsia"/>
          <w:sz w:val="32"/>
          <w:szCs w:val="32"/>
        </w:rPr>
        <w:t>70.88</w:t>
      </w:r>
      <w:r w:rsidR="008E79B1" w:rsidRPr="001D3A0E">
        <w:rPr>
          <w:rFonts w:ascii="Times New Roman" w:eastAsia="仿宋_GB2312" w:hAnsi="Times New Roman" w:hint="eastAsia"/>
          <w:sz w:val="32"/>
          <w:szCs w:val="32"/>
        </w:rPr>
        <w:t>万元，增长</w:t>
      </w:r>
      <w:r w:rsidR="00020055">
        <w:rPr>
          <w:rFonts w:ascii="Times New Roman" w:eastAsia="仿宋_GB2312" w:hAnsi="Times New Roman" w:hint="eastAsia"/>
          <w:sz w:val="32"/>
          <w:szCs w:val="32"/>
        </w:rPr>
        <w:t>485.51</w:t>
      </w:r>
      <w:r w:rsidR="008E79B1" w:rsidRPr="001D3A0E">
        <w:rPr>
          <w:rFonts w:ascii="Times New Roman" w:eastAsia="仿宋_GB2312" w:hAnsi="Times New Roman"/>
          <w:sz w:val="32"/>
          <w:szCs w:val="32"/>
        </w:rPr>
        <w:t>%</w:t>
      </w:r>
      <w:r>
        <w:rPr>
          <w:rFonts w:ascii="Times New Roman" w:eastAsia="仿宋_GB2312" w:hAnsi="Times New Roman" w:hint="eastAsia"/>
          <w:sz w:val="32"/>
          <w:szCs w:val="32"/>
        </w:rPr>
        <w:t>。</w:t>
      </w:r>
      <w:r w:rsidRPr="00611250">
        <w:rPr>
          <w:rFonts w:ascii="Times New Roman" w:eastAsia="仿宋_GB2312" w:hAnsi="Times New Roman" w:hint="eastAsia"/>
          <w:sz w:val="32"/>
          <w:szCs w:val="32"/>
        </w:rPr>
        <w:t>本年度共购置公务用车</w:t>
      </w:r>
      <w:r w:rsidRPr="00611250">
        <w:rPr>
          <w:rFonts w:ascii="Times New Roman" w:eastAsia="仿宋_GB2312" w:hAnsi="Times New Roman" w:hint="eastAsia"/>
          <w:sz w:val="32"/>
          <w:szCs w:val="32"/>
        </w:rPr>
        <w:t>3</w:t>
      </w:r>
      <w:r w:rsidRPr="00611250">
        <w:rPr>
          <w:rFonts w:ascii="Times New Roman" w:eastAsia="仿宋_GB2312" w:hAnsi="Times New Roman" w:hint="eastAsia"/>
          <w:sz w:val="32"/>
          <w:szCs w:val="32"/>
        </w:rPr>
        <w:t>辆，年末公务用车保有量为</w:t>
      </w:r>
      <w:r w:rsidRPr="00611250">
        <w:rPr>
          <w:rFonts w:ascii="Times New Roman" w:eastAsia="仿宋_GB2312" w:hAnsi="Times New Roman" w:hint="eastAsia"/>
          <w:sz w:val="32"/>
          <w:szCs w:val="32"/>
        </w:rPr>
        <w:t>310</w:t>
      </w:r>
      <w:r w:rsidRPr="00611250">
        <w:rPr>
          <w:rFonts w:ascii="Times New Roman" w:eastAsia="仿宋_GB2312" w:hAnsi="Times New Roman" w:hint="eastAsia"/>
          <w:sz w:val="32"/>
          <w:szCs w:val="32"/>
        </w:rPr>
        <w:t>辆，较上年同期增加</w:t>
      </w:r>
      <w:r w:rsidRPr="00611250">
        <w:rPr>
          <w:rFonts w:ascii="Times New Roman" w:eastAsia="仿宋_GB2312" w:hAnsi="Times New Roman" w:hint="eastAsia"/>
          <w:sz w:val="32"/>
          <w:szCs w:val="32"/>
        </w:rPr>
        <w:t>23</w:t>
      </w:r>
      <w:r w:rsidRPr="00611250">
        <w:rPr>
          <w:rFonts w:ascii="Times New Roman" w:eastAsia="仿宋_GB2312" w:hAnsi="Times New Roman" w:hint="eastAsia"/>
          <w:sz w:val="32"/>
          <w:szCs w:val="32"/>
        </w:rPr>
        <w:t>辆，增长</w:t>
      </w:r>
      <w:r w:rsidRPr="00611250">
        <w:rPr>
          <w:rFonts w:ascii="Times New Roman" w:eastAsia="仿宋_GB2312" w:hAnsi="Times New Roman" w:hint="eastAsia"/>
          <w:sz w:val="32"/>
          <w:szCs w:val="32"/>
        </w:rPr>
        <w:t>8.01</w:t>
      </w:r>
      <w:r w:rsidRPr="00611250">
        <w:rPr>
          <w:rFonts w:ascii="Times New Roman" w:eastAsia="仿宋_GB2312" w:hAnsi="Times New Roman"/>
          <w:sz w:val="32"/>
          <w:szCs w:val="32"/>
        </w:rPr>
        <w:t>%</w:t>
      </w:r>
      <w:r w:rsidRPr="00611250">
        <w:rPr>
          <w:rFonts w:ascii="Times New Roman" w:eastAsia="仿宋_GB2312" w:hAnsi="Times New Roman" w:hint="eastAsia"/>
          <w:sz w:val="32"/>
          <w:szCs w:val="32"/>
        </w:rPr>
        <w:t>。</w:t>
      </w:r>
      <w:r w:rsidR="00096592">
        <w:rPr>
          <w:rFonts w:ascii="Times New Roman" w:eastAsia="仿宋_GB2312" w:hAnsi="Times New Roman" w:hint="eastAsia"/>
          <w:sz w:val="32"/>
          <w:szCs w:val="32"/>
        </w:rPr>
        <w:t>公务用车保有量增长</w:t>
      </w:r>
      <w:r w:rsidR="00855236" w:rsidRPr="00A103EA">
        <w:rPr>
          <w:rFonts w:ascii="Times New Roman" w:eastAsia="仿宋_GB2312" w:hAnsi="Times New Roman" w:hint="eastAsia"/>
          <w:sz w:val="32"/>
          <w:szCs w:val="32"/>
        </w:rPr>
        <w:t>原因是：根据部门决算报表数据反映，</w:t>
      </w:r>
      <w:r w:rsidR="00855236" w:rsidRPr="00A103EA">
        <w:rPr>
          <w:rFonts w:ascii="仿宋_GB2312" w:eastAsia="仿宋_GB2312" w:hint="eastAsia"/>
          <w:sz w:val="32"/>
          <w:szCs w:val="32"/>
        </w:rPr>
        <w:t>县城市管理局增22辆，县公安局增9辆，教育系统报废6辆，县住建局、县文化旅游局各报废1辆。</w:t>
      </w:r>
      <w:r w:rsidRPr="001D3A0E">
        <w:rPr>
          <w:rFonts w:ascii="Times New Roman" w:eastAsia="仿宋_GB2312" w:hAnsi="Times New Roman" w:hint="eastAsia"/>
          <w:sz w:val="32"/>
          <w:szCs w:val="32"/>
        </w:rPr>
        <w:t>公务用车购置费增长原因</w:t>
      </w:r>
      <w:r>
        <w:rPr>
          <w:rFonts w:ascii="Times New Roman" w:eastAsia="仿宋_GB2312" w:hAnsi="Times New Roman" w:hint="eastAsia"/>
          <w:sz w:val="32"/>
          <w:szCs w:val="32"/>
        </w:rPr>
        <w:t>是</w:t>
      </w:r>
      <w:r w:rsidRPr="001D3A0E">
        <w:rPr>
          <w:rFonts w:ascii="Times New Roman" w:eastAsia="仿宋_GB2312" w:hAnsi="Times New Roman"/>
          <w:sz w:val="32"/>
          <w:szCs w:val="32"/>
        </w:rPr>
        <w:t>:</w:t>
      </w:r>
      <w:r w:rsidRPr="001D3A0E">
        <w:rPr>
          <w:rFonts w:ascii="Times New Roman" w:eastAsia="仿宋_GB2312" w:hAnsi="Times New Roman" w:hint="eastAsia"/>
          <w:spacing w:val="6"/>
          <w:kern w:val="0"/>
          <w:sz w:val="32"/>
          <w:szCs w:val="32"/>
        </w:rPr>
        <w:t>县</w:t>
      </w:r>
      <w:r>
        <w:rPr>
          <w:rFonts w:ascii="Times New Roman" w:eastAsia="仿宋_GB2312" w:hAnsi="Times New Roman" w:hint="eastAsia"/>
          <w:spacing w:val="6"/>
          <w:kern w:val="0"/>
          <w:sz w:val="32"/>
          <w:szCs w:val="32"/>
        </w:rPr>
        <w:t>公安局交通警察大队新购置两辆执勤公务用车；县市场监督管理局由云南省市场监督管理局统一政府采购一辆食品快速检测车。</w:t>
      </w:r>
      <w:r w:rsidRPr="001D3A0E">
        <w:rPr>
          <w:rFonts w:ascii="Times New Roman" w:eastAsia="仿宋_GB2312" w:hAnsi="Times New Roman" w:hint="eastAsia"/>
          <w:spacing w:val="6"/>
          <w:kern w:val="0"/>
          <w:sz w:val="32"/>
          <w:szCs w:val="32"/>
        </w:rPr>
        <w:t>因此，本年度公务用车</w:t>
      </w:r>
      <w:proofErr w:type="gramStart"/>
      <w:r w:rsidRPr="001D3A0E">
        <w:rPr>
          <w:rFonts w:ascii="Times New Roman" w:eastAsia="仿宋_GB2312" w:hAnsi="Times New Roman" w:hint="eastAsia"/>
          <w:spacing w:val="6"/>
          <w:kern w:val="0"/>
          <w:sz w:val="32"/>
          <w:szCs w:val="32"/>
        </w:rPr>
        <w:t>购置费较上年</w:t>
      </w:r>
      <w:proofErr w:type="gramEnd"/>
      <w:r w:rsidRPr="001D3A0E">
        <w:rPr>
          <w:rFonts w:ascii="Times New Roman" w:eastAsia="仿宋_GB2312" w:hAnsi="Times New Roman" w:hint="eastAsia"/>
          <w:spacing w:val="6"/>
          <w:kern w:val="0"/>
          <w:sz w:val="32"/>
          <w:szCs w:val="32"/>
        </w:rPr>
        <w:t>同期增长了</w:t>
      </w:r>
      <w:r>
        <w:rPr>
          <w:rFonts w:ascii="Times New Roman" w:eastAsia="仿宋_GB2312" w:hAnsi="Times New Roman" w:hint="eastAsia"/>
          <w:spacing w:val="6"/>
          <w:kern w:val="0"/>
          <w:sz w:val="32"/>
          <w:szCs w:val="32"/>
        </w:rPr>
        <w:t>485.51</w:t>
      </w:r>
      <w:r w:rsidRPr="001D3A0E">
        <w:rPr>
          <w:rFonts w:ascii="Times New Roman" w:eastAsia="仿宋_GB2312" w:hAnsi="Times New Roman"/>
          <w:spacing w:val="6"/>
          <w:kern w:val="0"/>
          <w:sz w:val="32"/>
          <w:szCs w:val="32"/>
        </w:rPr>
        <w:t>%</w:t>
      </w:r>
      <w:r>
        <w:rPr>
          <w:rFonts w:ascii="Times New Roman" w:eastAsia="仿宋_GB2312" w:hAnsi="Times New Roman" w:hint="eastAsia"/>
          <w:spacing w:val="6"/>
          <w:kern w:val="0"/>
          <w:sz w:val="32"/>
          <w:szCs w:val="32"/>
        </w:rPr>
        <w:t>；</w:t>
      </w:r>
    </w:p>
    <w:p w:rsidR="007E55CF" w:rsidRDefault="007E55CF" w:rsidP="0012279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sidR="008E79B1" w:rsidRPr="001D3A0E">
        <w:rPr>
          <w:rFonts w:ascii="Times New Roman" w:eastAsia="仿宋_GB2312" w:hAnsi="Times New Roman" w:hint="eastAsia"/>
          <w:sz w:val="32"/>
          <w:szCs w:val="32"/>
        </w:rPr>
        <w:t>公务用车运行维护费</w:t>
      </w:r>
      <w:r w:rsidR="00020055">
        <w:rPr>
          <w:rFonts w:ascii="Times New Roman" w:eastAsia="仿宋_GB2312" w:hAnsi="Times New Roman" w:hint="eastAsia"/>
          <w:sz w:val="32"/>
          <w:szCs w:val="32"/>
        </w:rPr>
        <w:t>386.39</w:t>
      </w:r>
      <w:r w:rsidR="00020055">
        <w:rPr>
          <w:rFonts w:ascii="Times New Roman" w:eastAsia="仿宋_GB2312" w:hAnsi="Times New Roman" w:hint="eastAsia"/>
          <w:sz w:val="32"/>
          <w:szCs w:val="32"/>
        </w:rPr>
        <w:t>万元，较上年同期减少</w:t>
      </w:r>
      <w:r w:rsidR="00020055">
        <w:rPr>
          <w:rFonts w:ascii="Times New Roman" w:eastAsia="仿宋_GB2312" w:hAnsi="Times New Roman" w:hint="eastAsia"/>
          <w:sz w:val="32"/>
          <w:szCs w:val="32"/>
        </w:rPr>
        <w:lastRenderedPageBreak/>
        <w:t>81.14</w:t>
      </w:r>
      <w:r w:rsidR="008E79B1" w:rsidRPr="001D3A0E">
        <w:rPr>
          <w:rFonts w:ascii="Times New Roman" w:eastAsia="仿宋_GB2312" w:hAnsi="Times New Roman" w:hint="eastAsia"/>
          <w:sz w:val="32"/>
          <w:szCs w:val="32"/>
        </w:rPr>
        <w:t>万元，</w:t>
      </w:r>
      <w:r w:rsidR="00020055">
        <w:rPr>
          <w:rFonts w:ascii="Times New Roman" w:eastAsia="仿宋_GB2312" w:hAnsi="Times New Roman" w:hint="eastAsia"/>
          <w:sz w:val="32"/>
          <w:szCs w:val="32"/>
        </w:rPr>
        <w:t>下降</w:t>
      </w:r>
      <w:r w:rsidR="00020055">
        <w:rPr>
          <w:rFonts w:ascii="Times New Roman" w:eastAsia="仿宋_GB2312" w:hAnsi="Times New Roman" w:hint="eastAsia"/>
          <w:sz w:val="32"/>
          <w:szCs w:val="32"/>
        </w:rPr>
        <w:t>17.35</w:t>
      </w:r>
      <w:r w:rsidR="008E79B1" w:rsidRPr="001D3A0E">
        <w:rPr>
          <w:rFonts w:ascii="Times New Roman" w:eastAsia="仿宋_GB2312" w:hAnsi="Times New Roman"/>
          <w:sz w:val="32"/>
          <w:szCs w:val="32"/>
        </w:rPr>
        <w:t>%</w:t>
      </w:r>
      <w:r w:rsidR="008E79B1" w:rsidRPr="001D3A0E">
        <w:rPr>
          <w:rFonts w:ascii="Times New Roman" w:eastAsia="仿宋_GB2312" w:hAnsi="Times New Roman" w:hint="eastAsia"/>
          <w:sz w:val="32"/>
          <w:szCs w:val="32"/>
        </w:rPr>
        <w:t>。</w:t>
      </w:r>
      <w:r w:rsidRPr="001D3A0E">
        <w:rPr>
          <w:rFonts w:ascii="Times New Roman" w:eastAsia="仿宋_GB2312" w:hAnsi="Times New Roman" w:hint="eastAsia"/>
          <w:sz w:val="32"/>
          <w:szCs w:val="32"/>
        </w:rPr>
        <w:t>公务用车</w:t>
      </w:r>
      <w:r>
        <w:rPr>
          <w:rFonts w:ascii="Times New Roman" w:eastAsia="仿宋_GB2312" w:hAnsi="Times New Roman" w:hint="eastAsia"/>
          <w:sz w:val="32"/>
          <w:szCs w:val="32"/>
        </w:rPr>
        <w:t>运行维护费减少</w:t>
      </w:r>
      <w:r w:rsidRPr="001D3A0E">
        <w:rPr>
          <w:rFonts w:ascii="Times New Roman" w:eastAsia="仿宋_GB2312" w:hAnsi="Times New Roman" w:hint="eastAsia"/>
          <w:sz w:val="32"/>
          <w:szCs w:val="32"/>
        </w:rPr>
        <w:t>原因</w:t>
      </w:r>
      <w:r>
        <w:rPr>
          <w:rFonts w:ascii="Times New Roman" w:eastAsia="仿宋_GB2312" w:hAnsi="Times New Roman" w:hint="eastAsia"/>
          <w:sz w:val="32"/>
          <w:szCs w:val="32"/>
        </w:rPr>
        <w:t>是：</w:t>
      </w:r>
    </w:p>
    <w:p w:rsidR="008E79B1" w:rsidRPr="001D3A0E" w:rsidRDefault="008E79B1" w:rsidP="007E55CF">
      <w:pPr>
        <w:jc w:val="left"/>
        <w:rPr>
          <w:rFonts w:ascii="Times New Roman" w:eastAsia="仿宋_GB2312" w:hAnsi="Times New Roman"/>
          <w:spacing w:val="6"/>
          <w:kern w:val="0"/>
          <w:sz w:val="32"/>
          <w:szCs w:val="32"/>
        </w:rPr>
      </w:pPr>
      <w:r w:rsidRPr="001D3A0E">
        <w:rPr>
          <w:rFonts w:ascii="Times New Roman" w:eastAsia="仿宋_GB2312" w:hAnsi="Times New Roman" w:hint="eastAsia"/>
          <w:spacing w:val="6"/>
          <w:kern w:val="0"/>
          <w:sz w:val="32"/>
          <w:szCs w:val="32"/>
        </w:rPr>
        <w:t>自</w:t>
      </w:r>
      <w:r w:rsidRPr="001D3A0E">
        <w:rPr>
          <w:rFonts w:ascii="Times New Roman" w:eastAsia="仿宋_GB2312" w:hAnsi="Times New Roman"/>
          <w:spacing w:val="6"/>
          <w:kern w:val="0"/>
          <w:sz w:val="32"/>
          <w:szCs w:val="32"/>
        </w:rPr>
        <w:t>2016</w:t>
      </w:r>
      <w:r w:rsidRPr="001D3A0E">
        <w:rPr>
          <w:rFonts w:ascii="Times New Roman" w:eastAsia="仿宋_GB2312" w:hAnsi="Times New Roman" w:hint="eastAsia"/>
          <w:spacing w:val="6"/>
          <w:kern w:val="0"/>
          <w:sz w:val="32"/>
          <w:szCs w:val="32"/>
        </w:rPr>
        <w:t>年</w:t>
      </w:r>
      <w:r w:rsidRPr="001D3A0E">
        <w:rPr>
          <w:rFonts w:ascii="Times New Roman" w:eastAsia="仿宋_GB2312" w:hAnsi="Times New Roman"/>
          <w:spacing w:val="6"/>
          <w:kern w:val="0"/>
          <w:sz w:val="32"/>
          <w:szCs w:val="32"/>
        </w:rPr>
        <w:t>10</w:t>
      </w:r>
      <w:r w:rsidRPr="001D3A0E">
        <w:rPr>
          <w:rFonts w:ascii="Times New Roman" w:eastAsia="仿宋_GB2312" w:hAnsi="Times New Roman" w:hint="eastAsia"/>
          <w:spacing w:val="6"/>
          <w:kern w:val="0"/>
          <w:sz w:val="32"/>
          <w:szCs w:val="32"/>
        </w:rPr>
        <w:t>月起</w:t>
      </w:r>
      <w:r w:rsidR="00226706">
        <w:rPr>
          <w:rFonts w:ascii="Times New Roman" w:eastAsia="仿宋_GB2312" w:hAnsi="Times New Roman" w:hint="eastAsia"/>
          <w:spacing w:val="6"/>
          <w:kern w:val="0"/>
          <w:sz w:val="32"/>
          <w:szCs w:val="32"/>
        </w:rPr>
        <w:t>，</w:t>
      </w:r>
      <w:r w:rsidRPr="001D3A0E">
        <w:rPr>
          <w:rFonts w:ascii="Times New Roman" w:eastAsia="仿宋_GB2312" w:hAnsi="Times New Roman" w:hint="eastAsia"/>
          <w:spacing w:val="6"/>
          <w:kern w:val="0"/>
          <w:sz w:val="32"/>
          <w:szCs w:val="32"/>
        </w:rPr>
        <w:t>行政单位实行</w:t>
      </w:r>
      <w:r w:rsidRPr="001D3A0E">
        <w:rPr>
          <w:rFonts w:ascii="Times New Roman" w:eastAsia="仿宋_GB2312" w:hAnsi="Times New Roman" w:hint="eastAsia"/>
          <w:sz w:val="32"/>
          <w:szCs w:val="32"/>
        </w:rPr>
        <w:t>公务用车制度改革</w:t>
      </w:r>
      <w:r w:rsidRPr="001D3A0E">
        <w:rPr>
          <w:rFonts w:ascii="Times New Roman" w:eastAsia="仿宋_GB2312" w:hAnsi="Times New Roman" w:hint="eastAsia"/>
          <w:spacing w:val="6"/>
          <w:kern w:val="0"/>
          <w:sz w:val="32"/>
          <w:szCs w:val="32"/>
        </w:rPr>
        <w:t>，县内</w:t>
      </w:r>
      <w:r w:rsidRPr="001D3A0E">
        <w:rPr>
          <w:rFonts w:ascii="Times New Roman" w:eastAsia="仿宋_GB2312" w:hAnsi="Times New Roman" w:hint="eastAsia"/>
          <w:sz w:val="32"/>
          <w:szCs w:val="32"/>
        </w:rPr>
        <w:t>各级党政机关（包括党委、人大、政府、政协、审判、检察机关，各民主党派和工商联，参照公务员法管理的人民团体、群众团体）</w:t>
      </w:r>
      <w:r w:rsidRPr="001D3A0E">
        <w:rPr>
          <w:rFonts w:ascii="Times New Roman" w:eastAsia="仿宋_GB2312" w:hAnsi="Times New Roman" w:hint="eastAsia"/>
          <w:spacing w:val="6"/>
          <w:kern w:val="0"/>
          <w:sz w:val="32"/>
          <w:szCs w:val="32"/>
        </w:rPr>
        <w:t>除</w:t>
      </w:r>
      <w:r w:rsidRPr="001D3A0E">
        <w:rPr>
          <w:rFonts w:ascii="Times New Roman" w:eastAsia="仿宋_GB2312" w:hAnsi="Times New Roman" w:hint="eastAsia"/>
          <w:sz w:val="32"/>
          <w:szCs w:val="32"/>
        </w:rPr>
        <w:t>保留必要的机要通信、应急、特种专业技术用车</w:t>
      </w:r>
      <w:r w:rsidRPr="001D3A0E">
        <w:rPr>
          <w:rFonts w:ascii="Times New Roman" w:eastAsia="仿宋_GB2312" w:hAnsi="Times New Roman" w:hint="eastAsia"/>
          <w:spacing w:val="6"/>
          <w:kern w:val="0"/>
          <w:sz w:val="32"/>
          <w:szCs w:val="32"/>
        </w:rPr>
        <w:t>，其余公务用车均按相关规定已</w:t>
      </w:r>
      <w:r w:rsidRPr="001D3A0E">
        <w:rPr>
          <w:rFonts w:ascii="Times New Roman" w:eastAsia="仿宋_GB2312" w:hAnsi="Times New Roman" w:hint="eastAsia"/>
          <w:sz w:val="32"/>
          <w:szCs w:val="32"/>
        </w:rPr>
        <w:t>处置</w:t>
      </w:r>
      <w:r w:rsidRPr="001D3A0E">
        <w:rPr>
          <w:rFonts w:ascii="Times New Roman" w:eastAsia="仿宋_GB2312" w:hAnsi="Times New Roman" w:hint="eastAsia"/>
          <w:spacing w:val="6"/>
          <w:kern w:val="0"/>
          <w:sz w:val="32"/>
          <w:szCs w:val="32"/>
        </w:rPr>
        <w:t>。</w:t>
      </w:r>
      <w:r w:rsidR="00C64B6E">
        <w:rPr>
          <w:rFonts w:ascii="Times New Roman" w:eastAsia="仿宋_GB2312" w:hAnsi="Times New Roman" w:hint="eastAsia"/>
          <w:spacing w:val="6"/>
          <w:kern w:val="0"/>
          <w:sz w:val="32"/>
          <w:szCs w:val="32"/>
        </w:rPr>
        <w:t>无公务用车的</w:t>
      </w:r>
      <w:r w:rsidR="000243B2">
        <w:rPr>
          <w:rFonts w:ascii="Times New Roman" w:eastAsia="仿宋_GB2312" w:hAnsi="Times New Roman" w:hint="eastAsia"/>
          <w:spacing w:val="6"/>
          <w:kern w:val="0"/>
          <w:sz w:val="32"/>
          <w:szCs w:val="32"/>
        </w:rPr>
        <w:t>预算</w:t>
      </w:r>
      <w:r w:rsidR="00C64B6E">
        <w:rPr>
          <w:rFonts w:ascii="Times New Roman" w:eastAsia="仿宋_GB2312" w:hAnsi="Times New Roman" w:hint="eastAsia"/>
          <w:spacing w:val="6"/>
          <w:kern w:val="0"/>
          <w:sz w:val="32"/>
          <w:szCs w:val="32"/>
        </w:rPr>
        <w:t>单位，日常均采取租车或开私</w:t>
      </w:r>
      <w:r w:rsidR="00936190">
        <w:rPr>
          <w:rFonts w:ascii="Times New Roman" w:eastAsia="仿宋_GB2312" w:hAnsi="Times New Roman" w:hint="eastAsia"/>
          <w:spacing w:val="6"/>
          <w:kern w:val="0"/>
          <w:sz w:val="32"/>
          <w:szCs w:val="32"/>
        </w:rPr>
        <w:t>家</w:t>
      </w:r>
      <w:r w:rsidR="00C64B6E">
        <w:rPr>
          <w:rFonts w:ascii="Times New Roman" w:eastAsia="仿宋_GB2312" w:hAnsi="Times New Roman" w:hint="eastAsia"/>
          <w:spacing w:val="6"/>
          <w:kern w:val="0"/>
          <w:sz w:val="32"/>
          <w:szCs w:val="32"/>
        </w:rPr>
        <w:t>车</w:t>
      </w:r>
      <w:r w:rsidR="00936190">
        <w:rPr>
          <w:rFonts w:ascii="Times New Roman" w:eastAsia="仿宋_GB2312" w:hAnsi="Times New Roman" w:hint="eastAsia"/>
          <w:spacing w:val="6"/>
          <w:kern w:val="0"/>
          <w:sz w:val="32"/>
          <w:szCs w:val="32"/>
        </w:rPr>
        <w:t>辆</w:t>
      </w:r>
      <w:r w:rsidR="00E1784B">
        <w:rPr>
          <w:rFonts w:ascii="Times New Roman" w:eastAsia="仿宋_GB2312" w:hAnsi="Times New Roman" w:hint="eastAsia"/>
          <w:spacing w:val="6"/>
          <w:kern w:val="0"/>
          <w:sz w:val="32"/>
          <w:szCs w:val="32"/>
        </w:rPr>
        <w:t>等方式进行公务出行，因此，大大降</w:t>
      </w:r>
      <w:r w:rsidR="00C64B6E">
        <w:rPr>
          <w:rFonts w:ascii="Times New Roman" w:eastAsia="仿宋_GB2312" w:hAnsi="Times New Roman" w:hint="eastAsia"/>
          <w:spacing w:val="6"/>
          <w:kern w:val="0"/>
          <w:sz w:val="32"/>
          <w:szCs w:val="32"/>
        </w:rPr>
        <w:t>低了</w:t>
      </w:r>
      <w:r w:rsidR="00612BD5">
        <w:rPr>
          <w:rFonts w:ascii="Times New Roman" w:eastAsia="仿宋_GB2312" w:hAnsi="Times New Roman" w:hint="eastAsia"/>
          <w:spacing w:val="6"/>
          <w:kern w:val="0"/>
          <w:sz w:val="32"/>
          <w:szCs w:val="32"/>
        </w:rPr>
        <w:t>公务用车</w:t>
      </w:r>
      <w:r w:rsidR="00C64B6E">
        <w:rPr>
          <w:rFonts w:ascii="Times New Roman" w:eastAsia="仿宋_GB2312" w:hAnsi="Times New Roman" w:hint="eastAsia"/>
          <w:spacing w:val="6"/>
          <w:kern w:val="0"/>
          <w:sz w:val="32"/>
          <w:szCs w:val="32"/>
        </w:rPr>
        <w:t>运行成本。</w:t>
      </w:r>
    </w:p>
    <w:tbl>
      <w:tblPr>
        <w:tblW w:w="8540" w:type="dxa"/>
        <w:tblInd w:w="96" w:type="dxa"/>
        <w:tblLook w:val="0000" w:firstRow="0" w:lastRow="0" w:firstColumn="0" w:lastColumn="0" w:noHBand="0" w:noVBand="0"/>
      </w:tblPr>
      <w:tblGrid>
        <w:gridCol w:w="4293"/>
        <w:gridCol w:w="1084"/>
        <w:gridCol w:w="1084"/>
        <w:gridCol w:w="1039"/>
        <w:gridCol w:w="1040"/>
      </w:tblGrid>
      <w:tr w:rsidR="008E79B1" w:rsidRPr="001D3A0E" w:rsidTr="000F3B00">
        <w:trPr>
          <w:trHeight w:val="639"/>
        </w:trPr>
        <w:tc>
          <w:tcPr>
            <w:tcW w:w="8540" w:type="dxa"/>
            <w:gridSpan w:val="5"/>
            <w:tcBorders>
              <w:top w:val="nil"/>
              <w:left w:val="nil"/>
              <w:bottom w:val="nil"/>
              <w:right w:val="nil"/>
            </w:tcBorders>
            <w:noWrap/>
            <w:vAlign w:val="bottom"/>
          </w:tcPr>
          <w:p w:rsidR="008E79B1" w:rsidRPr="001D3A0E" w:rsidRDefault="008E79B1" w:rsidP="000F3B00">
            <w:pPr>
              <w:widowControl/>
              <w:jc w:val="center"/>
              <w:rPr>
                <w:rFonts w:ascii="Times New Roman" w:hAnsi="Times New Roman"/>
                <w:color w:val="000000"/>
                <w:kern w:val="0"/>
                <w:sz w:val="36"/>
                <w:szCs w:val="36"/>
              </w:rPr>
            </w:pPr>
            <w:r w:rsidRPr="001D3A0E">
              <w:rPr>
                <w:rFonts w:ascii="Times New Roman" w:hAnsi="Times New Roman" w:hint="eastAsia"/>
                <w:color w:val="000000"/>
                <w:kern w:val="0"/>
                <w:sz w:val="36"/>
                <w:szCs w:val="36"/>
              </w:rPr>
              <w:t>富民县</w:t>
            </w:r>
            <w:r w:rsidR="00E45E6A">
              <w:rPr>
                <w:rFonts w:ascii="Times New Roman" w:hAnsi="Times New Roman"/>
                <w:color w:val="000000"/>
                <w:kern w:val="0"/>
                <w:sz w:val="36"/>
                <w:szCs w:val="36"/>
              </w:rPr>
              <w:t>201</w:t>
            </w:r>
            <w:r w:rsidR="00E45E6A">
              <w:rPr>
                <w:rFonts w:ascii="Times New Roman" w:hAnsi="Times New Roman" w:hint="eastAsia"/>
                <w:color w:val="000000"/>
                <w:kern w:val="0"/>
                <w:sz w:val="36"/>
                <w:szCs w:val="36"/>
              </w:rPr>
              <w:t>9</w:t>
            </w:r>
            <w:r w:rsidRPr="001D3A0E">
              <w:rPr>
                <w:rFonts w:ascii="Times New Roman" w:hAnsi="Times New Roman" w:hint="eastAsia"/>
                <w:color w:val="000000"/>
                <w:kern w:val="0"/>
                <w:sz w:val="36"/>
                <w:szCs w:val="36"/>
              </w:rPr>
              <w:t>年度部门决算</w:t>
            </w:r>
            <w:r w:rsidRPr="001D3A0E">
              <w:rPr>
                <w:rFonts w:ascii="Times New Roman" w:hAnsi="Times New Roman"/>
                <w:color w:val="000000"/>
                <w:kern w:val="0"/>
                <w:sz w:val="36"/>
                <w:szCs w:val="36"/>
              </w:rPr>
              <w:t>“</w:t>
            </w:r>
            <w:r w:rsidRPr="001D3A0E">
              <w:rPr>
                <w:rFonts w:ascii="Times New Roman" w:hAnsi="Times New Roman" w:hint="eastAsia"/>
                <w:color w:val="000000"/>
                <w:kern w:val="0"/>
                <w:sz w:val="36"/>
                <w:szCs w:val="36"/>
              </w:rPr>
              <w:t>三公</w:t>
            </w:r>
            <w:r w:rsidRPr="001D3A0E">
              <w:rPr>
                <w:rFonts w:ascii="Times New Roman" w:hAnsi="Times New Roman"/>
                <w:color w:val="000000"/>
                <w:kern w:val="0"/>
                <w:sz w:val="36"/>
                <w:szCs w:val="36"/>
              </w:rPr>
              <w:t>”</w:t>
            </w:r>
            <w:r w:rsidRPr="001D3A0E">
              <w:rPr>
                <w:rFonts w:ascii="Times New Roman" w:hAnsi="Times New Roman" w:hint="eastAsia"/>
                <w:color w:val="000000"/>
                <w:kern w:val="0"/>
                <w:sz w:val="36"/>
                <w:szCs w:val="36"/>
              </w:rPr>
              <w:t>经费公开表</w:t>
            </w:r>
          </w:p>
        </w:tc>
      </w:tr>
      <w:tr w:rsidR="008E79B1" w:rsidRPr="001D3A0E" w:rsidTr="000F3B00">
        <w:trPr>
          <w:trHeight w:val="465"/>
        </w:trPr>
        <w:tc>
          <w:tcPr>
            <w:tcW w:w="4293" w:type="dxa"/>
            <w:tcBorders>
              <w:top w:val="nil"/>
              <w:left w:val="nil"/>
              <w:bottom w:val="nil"/>
              <w:right w:val="nil"/>
            </w:tcBorders>
            <w:noWrap/>
            <w:vAlign w:val="bottom"/>
          </w:tcPr>
          <w:p w:rsidR="008E79B1" w:rsidRPr="001D3A0E" w:rsidRDefault="008E79B1" w:rsidP="000F3B00">
            <w:pPr>
              <w:widowControl/>
              <w:jc w:val="left"/>
              <w:rPr>
                <w:rFonts w:ascii="Times New Roman" w:hAnsi="Times New Roman"/>
                <w:color w:val="000000"/>
                <w:kern w:val="0"/>
                <w:sz w:val="24"/>
              </w:rPr>
            </w:pPr>
            <w:r w:rsidRPr="001D3A0E">
              <w:rPr>
                <w:rFonts w:ascii="Times New Roman" w:hAnsi="Times New Roman" w:hint="eastAsia"/>
                <w:color w:val="000000"/>
                <w:kern w:val="0"/>
                <w:sz w:val="24"/>
              </w:rPr>
              <w:t>编制单位：富民县财政局</w:t>
            </w:r>
          </w:p>
        </w:tc>
        <w:tc>
          <w:tcPr>
            <w:tcW w:w="1084" w:type="dxa"/>
            <w:tcBorders>
              <w:top w:val="nil"/>
              <w:left w:val="nil"/>
              <w:bottom w:val="nil"/>
              <w:right w:val="nil"/>
            </w:tcBorders>
            <w:noWrap/>
            <w:vAlign w:val="bottom"/>
          </w:tcPr>
          <w:p w:rsidR="008E79B1" w:rsidRPr="001D3A0E" w:rsidRDefault="008E79B1" w:rsidP="000F3B00">
            <w:pPr>
              <w:widowControl/>
              <w:jc w:val="center"/>
              <w:rPr>
                <w:rFonts w:ascii="Times New Roman" w:hAnsi="Times New Roman"/>
                <w:color w:val="000000"/>
                <w:kern w:val="0"/>
                <w:sz w:val="24"/>
              </w:rPr>
            </w:pPr>
          </w:p>
        </w:tc>
        <w:tc>
          <w:tcPr>
            <w:tcW w:w="1084" w:type="dxa"/>
            <w:tcBorders>
              <w:top w:val="nil"/>
              <w:left w:val="nil"/>
              <w:bottom w:val="nil"/>
              <w:right w:val="nil"/>
            </w:tcBorders>
            <w:noWrap/>
            <w:vAlign w:val="bottom"/>
          </w:tcPr>
          <w:p w:rsidR="008E79B1" w:rsidRPr="001D3A0E" w:rsidRDefault="008E79B1" w:rsidP="000F3B00">
            <w:pPr>
              <w:widowControl/>
              <w:jc w:val="left"/>
              <w:rPr>
                <w:rFonts w:ascii="Times New Roman" w:hAnsi="Times New Roman"/>
                <w:color w:val="000000"/>
                <w:kern w:val="0"/>
                <w:sz w:val="20"/>
                <w:szCs w:val="20"/>
              </w:rPr>
            </w:pPr>
          </w:p>
        </w:tc>
        <w:tc>
          <w:tcPr>
            <w:tcW w:w="2079" w:type="dxa"/>
            <w:gridSpan w:val="2"/>
            <w:tcBorders>
              <w:top w:val="nil"/>
              <w:left w:val="nil"/>
              <w:bottom w:val="single" w:sz="8" w:space="0" w:color="000000"/>
              <w:right w:val="nil"/>
            </w:tcBorders>
            <w:noWrap/>
            <w:vAlign w:val="bottom"/>
          </w:tcPr>
          <w:p w:rsidR="008E79B1" w:rsidRPr="001D3A0E" w:rsidRDefault="008E79B1" w:rsidP="000F3B00">
            <w:pPr>
              <w:widowControl/>
              <w:jc w:val="center"/>
              <w:rPr>
                <w:rFonts w:ascii="Times New Roman" w:hAnsi="Times New Roman"/>
                <w:color w:val="000000"/>
                <w:kern w:val="0"/>
                <w:sz w:val="24"/>
              </w:rPr>
            </w:pPr>
            <w:r w:rsidRPr="001D3A0E">
              <w:rPr>
                <w:rFonts w:ascii="Times New Roman" w:hAnsi="Times New Roman" w:hint="eastAsia"/>
                <w:color w:val="000000"/>
                <w:kern w:val="0"/>
                <w:sz w:val="24"/>
              </w:rPr>
              <w:t>单位：万元</w:t>
            </w:r>
          </w:p>
        </w:tc>
      </w:tr>
      <w:tr w:rsidR="008E79B1" w:rsidRPr="001D3A0E" w:rsidTr="000F3B00">
        <w:trPr>
          <w:trHeight w:val="660"/>
        </w:trPr>
        <w:tc>
          <w:tcPr>
            <w:tcW w:w="4293" w:type="dxa"/>
            <w:vMerge w:val="restart"/>
            <w:tcBorders>
              <w:top w:val="single" w:sz="8" w:space="0" w:color="000000"/>
              <w:left w:val="single" w:sz="8" w:space="0" w:color="000000"/>
              <w:bottom w:val="single" w:sz="4" w:space="0" w:color="000000"/>
              <w:right w:val="single" w:sz="4" w:space="0" w:color="000000"/>
            </w:tcBorders>
            <w:shd w:val="clear" w:color="FFFFFF" w:fill="FFFFFF"/>
            <w:noWrap/>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hint="eastAsia"/>
                <w:color w:val="000000"/>
                <w:kern w:val="0"/>
                <w:sz w:val="22"/>
                <w:szCs w:val="22"/>
              </w:rPr>
              <w:t>项目</w:t>
            </w:r>
          </w:p>
        </w:tc>
        <w:tc>
          <w:tcPr>
            <w:tcW w:w="108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E79B1" w:rsidRPr="001D3A0E" w:rsidRDefault="00E45E6A" w:rsidP="000F3B00">
            <w:pPr>
              <w:widowControl/>
              <w:jc w:val="center"/>
              <w:rPr>
                <w:rFonts w:ascii="Times New Roman" w:hAnsi="Times New Roman"/>
                <w:color w:val="000000"/>
                <w:kern w:val="0"/>
                <w:sz w:val="22"/>
                <w:szCs w:val="22"/>
              </w:rPr>
            </w:pPr>
            <w:r>
              <w:rPr>
                <w:rFonts w:ascii="Times New Roman" w:hAnsi="Times New Roman"/>
                <w:color w:val="000000"/>
                <w:kern w:val="0"/>
                <w:sz w:val="22"/>
                <w:szCs w:val="22"/>
              </w:rPr>
              <w:t>201</w:t>
            </w:r>
            <w:r>
              <w:rPr>
                <w:rFonts w:ascii="Times New Roman" w:hAnsi="Times New Roman" w:hint="eastAsia"/>
                <w:color w:val="000000"/>
                <w:kern w:val="0"/>
                <w:sz w:val="22"/>
                <w:szCs w:val="22"/>
              </w:rPr>
              <w:t>8</w:t>
            </w:r>
            <w:r w:rsidR="008E79B1" w:rsidRPr="001D3A0E">
              <w:rPr>
                <w:rFonts w:ascii="Times New Roman" w:hAnsi="Times New Roman" w:hint="eastAsia"/>
                <w:color w:val="000000"/>
                <w:kern w:val="0"/>
                <w:sz w:val="22"/>
                <w:szCs w:val="22"/>
              </w:rPr>
              <w:t>年度部门决算</w:t>
            </w:r>
            <w:r w:rsidR="008E79B1" w:rsidRPr="001D3A0E">
              <w:rPr>
                <w:rFonts w:ascii="Times New Roman" w:hAnsi="Times New Roman"/>
                <w:color w:val="000000"/>
                <w:kern w:val="0"/>
                <w:sz w:val="22"/>
                <w:szCs w:val="22"/>
              </w:rPr>
              <w:t>“</w:t>
            </w:r>
            <w:r w:rsidR="008E79B1" w:rsidRPr="001D3A0E">
              <w:rPr>
                <w:rFonts w:ascii="Times New Roman" w:hAnsi="Times New Roman" w:hint="eastAsia"/>
                <w:color w:val="000000"/>
                <w:kern w:val="0"/>
                <w:sz w:val="22"/>
                <w:szCs w:val="22"/>
              </w:rPr>
              <w:t>三公</w:t>
            </w:r>
            <w:r w:rsidR="008E79B1" w:rsidRPr="001D3A0E">
              <w:rPr>
                <w:rFonts w:ascii="Times New Roman" w:hAnsi="Times New Roman"/>
                <w:color w:val="000000"/>
                <w:kern w:val="0"/>
                <w:sz w:val="22"/>
                <w:szCs w:val="22"/>
              </w:rPr>
              <w:t>”</w:t>
            </w:r>
            <w:r w:rsidR="008E79B1" w:rsidRPr="001D3A0E">
              <w:rPr>
                <w:rFonts w:ascii="Times New Roman" w:hAnsi="Times New Roman" w:hint="eastAsia"/>
                <w:color w:val="000000"/>
                <w:kern w:val="0"/>
                <w:sz w:val="22"/>
                <w:szCs w:val="22"/>
              </w:rPr>
              <w:t>经费汇总数</w:t>
            </w:r>
          </w:p>
        </w:tc>
        <w:tc>
          <w:tcPr>
            <w:tcW w:w="108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8E79B1" w:rsidRPr="001D3A0E" w:rsidRDefault="00E45E6A" w:rsidP="000F3B00">
            <w:pPr>
              <w:widowControl/>
              <w:jc w:val="center"/>
              <w:rPr>
                <w:rFonts w:ascii="Times New Roman" w:hAnsi="Times New Roman"/>
                <w:color w:val="000000"/>
                <w:kern w:val="0"/>
                <w:sz w:val="22"/>
                <w:szCs w:val="22"/>
              </w:rPr>
            </w:pPr>
            <w:r>
              <w:rPr>
                <w:rFonts w:ascii="Times New Roman" w:hAnsi="Times New Roman"/>
                <w:color w:val="000000"/>
                <w:kern w:val="0"/>
                <w:sz w:val="22"/>
                <w:szCs w:val="22"/>
              </w:rPr>
              <w:t>201</w:t>
            </w:r>
            <w:r>
              <w:rPr>
                <w:rFonts w:ascii="Times New Roman" w:hAnsi="Times New Roman" w:hint="eastAsia"/>
                <w:color w:val="000000"/>
                <w:kern w:val="0"/>
                <w:sz w:val="22"/>
                <w:szCs w:val="22"/>
              </w:rPr>
              <w:t>9</w:t>
            </w:r>
            <w:r w:rsidR="008E79B1" w:rsidRPr="001D3A0E">
              <w:rPr>
                <w:rFonts w:ascii="Times New Roman" w:hAnsi="Times New Roman" w:hint="eastAsia"/>
                <w:color w:val="000000"/>
                <w:kern w:val="0"/>
                <w:sz w:val="22"/>
                <w:szCs w:val="22"/>
              </w:rPr>
              <w:t>年度部门决算</w:t>
            </w:r>
            <w:r w:rsidR="008E79B1" w:rsidRPr="001D3A0E">
              <w:rPr>
                <w:rFonts w:ascii="Times New Roman" w:hAnsi="Times New Roman"/>
                <w:color w:val="000000"/>
                <w:kern w:val="0"/>
                <w:sz w:val="22"/>
                <w:szCs w:val="22"/>
              </w:rPr>
              <w:t>“</w:t>
            </w:r>
            <w:r w:rsidR="008E79B1" w:rsidRPr="001D3A0E">
              <w:rPr>
                <w:rFonts w:ascii="Times New Roman" w:hAnsi="Times New Roman" w:hint="eastAsia"/>
                <w:color w:val="000000"/>
                <w:kern w:val="0"/>
                <w:sz w:val="22"/>
                <w:szCs w:val="22"/>
              </w:rPr>
              <w:t>三公</w:t>
            </w:r>
            <w:r w:rsidR="008E79B1" w:rsidRPr="001D3A0E">
              <w:rPr>
                <w:rFonts w:ascii="Times New Roman" w:hAnsi="Times New Roman"/>
                <w:color w:val="000000"/>
                <w:kern w:val="0"/>
                <w:sz w:val="22"/>
                <w:szCs w:val="22"/>
              </w:rPr>
              <w:t>”</w:t>
            </w:r>
            <w:r w:rsidR="008E79B1" w:rsidRPr="001D3A0E">
              <w:rPr>
                <w:rFonts w:ascii="Times New Roman" w:hAnsi="Times New Roman" w:hint="eastAsia"/>
                <w:color w:val="000000"/>
                <w:kern w:val="0"/>
                <w:sz w:val="22"/>
                <w:szCs w:val="22"/>
              </w:rPr>
              <w:t>经费汇总数</w:t>
            </w:r>
          </w:p>
        </w:tc>
        <w:tc>
          <w:tcPr>
            <w:tcW w:w="2079" w:type="dxa"/>
            <w:gridSpan w:val="2"/>
            <w:tcBorders>
              <w:top w:val="single" w:sz="8" w:space="0" w:color="000000"/>
              <w:left w:val="nil"/>
              <w:bottom w:val="single" w:sz="4" w:space="0" w:color="000000"/>
              <w:right w:val="single" w:sz="8" w:space="0" w:color="000000"/>
            </w:tcBorders>
            <w:shd w:val="clear" w:color="FFFFFF" w:fill="FFFFFF"/>
            <w:vAlign w:val="center"/>
          </w:tcPr>
          <w:p w:rsidR="008E79B1" w:rsidRPr="001D3A0E" w:rsidRDefault="00E45E6A" w:rsidP="000F3B00">
            <w:pPr>
              <w:widowControl/>
              <w:jc w:val="center"/>
              <w:rPr>
                <w:rFonts w:ascii="Times New Roman" w:hAnsi="Times New Roman"/>
                <w:color w:val="000000"/>
                <w:kern w:val="0"/>
                <w:sz w:val="22"/>
                <w:szCs w:val="22"/>
              </w:rPr>
            </w:pPr>
            <w:r>
              <w:rPr>
                <w:rFonts w:ascii="Times New Roman" w:hAnsi="Times New Roman"/>
                <w:color w:val="000000"/>
                <w:kern w:val="0"/>
                <w:sz w:val="22"/>
                <w:szCs w:val="22"/>
              </w:rPr>
              <w:t>201</w:t>
            </w:r>
            <w:r>
              <w:rPr>
                <w:rFonts w:ascii="Times New Roman" w:hAnsi="Times New Roman" w:hint="eastAsia"/>
                <w:color w:val="000000"/>
                <w:kern w:val="0"/>
                <w:sz w:val="22"/>
                <w:szCs w:val="22"/>
              </w:rPr>
              <w:t>9</w:t>
            </w:r>
            <w:r w:rsidR="008E79B1" w:rsidRPr="001D3A0E">
              <w:rPr>
                <w:rFonts w:ascii="Times New Roman" w:hAnsi="Times New Roman" w:hint="eastAsia"/>
                <w:color w:val="000000"/>
                <w:kern w:val="0"/>
                <w:sz w:val="22"/>
                <w:szCs w:val="22"/>
              </w:rPr>
              <w:t>年较上年增减情况</w:t>
            </w:r>
          </w:p>
        </w:tc>
      </w:tr>
      <w:tr w:rsidR="008E79B1" w:rsidRPr="001D3A0E" w:rsidTr="000F3B00">
        <w:trPr>
          <w:trHeight w:val="939"/>
        </w:trPr>
        <w:tc>
          <w:tcPr>
            <w:tcW w:w="4293" w:type="dxa"/>
            <w:vMerge/>
            <w:tcBorders>
              <w:top w:val="single" w:sz="8" w:space="0" w:color="000000"/>
              <w:left w:val="single" w:sz="8" w:space="0" w:color="000000"/>
              <w:bottom w:val="single" w:sz="4" w:space="0" w:color="000000"/>
              <w:right w:val="single" w:sz="4" w:space="0" w:color="000000"/>
            </w:tcBorders>
            <w:vAlign w:val="center"/>
          </w:tcPr>
          <w:p w:rsidR="008E79B1" w:rsidRPr="001D3A0E" w:rsidRDefault="008E79B1" w:rsidP="000F3B00">
            <w:pPr>
              <w:widowControl/>
              <w:jc w:val="left"/>
              <w:rPr>
                <w:rFonts w:ascii="Times New Roman" w:hAnsi="Times New Roman"/>
                <w:color w:val="000000"/>
                <w:kern w:val="0"/>
                <w:sz w:val="22"/>
                <w:szCs w:val="22"/>
              </w:rPr>
            </w:pPr>
          </w:p>
        </w:tc>
        <w:tc>
          <w:tcPr>
            <w:tcW w:w="1084" w:type="dxa"/>
            <w:vMerge/>
            <w:tcBorders>
              <w:top w:val="single" w:sz="8" w:space="0" w:color="000000"/>
              <w:left w:val="single" w:sz="4" w:space="0" w:color="000000"/>
              <w:bottom w:val="single" w:sz="4" w:space="0" w:color="000000"/>
              <w:right w:val="single" w:sz="4" w:space="0" w:color="000000"/>
            </w:tcBorders>
            <w:vAlign w:val="center"/>
          </w:tcPr>
          <w:p w:rsidR="008E79B1" w:rsidRPr="001D3A0E" w:rsidRDefault="008E79B1" w:rsidP="000F3B00">
            <w:pPr>
              <w:widowControl/>
              <w:jc w:val="left"/>
              <w:rPr>
                <w:rFonts w:ascii="Times New Roman" w:hAnsi="Times New Roman"/>
                <w:color w:val="000000"/>
                <w:kern w:val="0"/>
                <w:sz w:val="22"/>
                <w:szCs w:val="22"/>
              </w:rPr>
            </w:pPr>
          </w:p>
        </w:tc>
        <w:tc>
          <w:tcPr>
            <w:tcW w:w="1084" w:type="dxa"/>
            <w:vMerge/>
            <w:tcBorders>
              <w:top w:val="single" w:sz="8" w:space="0" w:color="000000"/>
              <w:left w:val="single" w:sz="4" w:space="0" w:color="000000"/>
              <w:bottom w:val="single" w:sz="4" w:space="0" w:color="000000"/>
              <w:right w:val="single" w:sz="4" w:space="0" w:color="000000"/>
            </w:tcBorders>
            <w:vAlign w:val="center"/>
          </w:tcPr>
          <w:p w:rsidR="008E79B1" w:rsidRPr="001D3A0E" w:rsidRDefault="008E79B1" w:rsidP="000F3B00">
            <w:pPr>
              <w:widowControl/>
              <w:jc w:val="left"/>
              <w:rPr>
                <w:rFonts w:ascii="Times New Roman" w:hAnsi="Times New Roman"/>
                <w:color w:val="000000"/>
                <w:kern w:val="0"/>
                <w:sz w:val="22"/>
                <w:szCs w:val="22"/>
              </w:rPr>
            </w:pPr>
          </w:p>
        </w:tc>
        <w:tc>
          <w:tcPr>
            <w:tcW w:w="1039" w:type="dxa"/>
            <w:tcBorders>
              <w:top w:val="nil"/>
              <w:left w:val="nil"/>
              <w:bottom w:val="single" w:sz="4" w:space="0" w:color="000000"/>
              <w:right w:val="single" w:sz="4" w:space="0" w:color="000000"/>
            </w:tcBorders>
            <w:shd w:val="clear" w:color="FFFFFF" w:fill="FFFFFF"/>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hint="eastAsia"/>
                <w:color w:val="000000"/>
                <w:kern w:val="0"/>
                <w:sz w:val="22"/>
                <w:szCs w:val="22"/>
              </w:rPr>
              <w:t>增减数量</w:t>
            </w:r>
          </w:p>
        </w:tc>
        <w:tc>
          <w:tcPr>
            <w:tcW w:w="1040" w:type="dxa"/>
            <w:tcBorders>
              <w:top w:val="nil"/>
              <w:left w:val="nil"/>
              <w:bottom w:val="single" w:sz="4" w:space="0" w:color="000000"/>
              <w:right w:val="single" w:sz="8" w:space="0" w:color="000000"/>
            </w:tcBorders>
            <w:vAlign w:val="center"/>
          </w:tcPr>
          <w:p w:rsidR="008E79B1" w:rsidRPr="001D3A0E" w:rsidRDefault="008E79B1" w:rsidP="000F3B00">
            <w:pPr>
              <w:widowControl/>
              <w:jc w:val="center"/>
              <w:rPr>
                <w:rFonts w:ascii="Times New Roman" w:hAnsi="Times New Roman"/>
                <w:color w:val="000000"/>
                <w:kern w:val="0"/>
                <w:sz w:val="22"/>
                <w:szCs w:val="22"/>
              </w:rPr>
            </w:pPr>
            <w:r w:rsidRPr="001D3A0E">
              <w:rPr>
                <w:rFonts w:ascii="Times New Roman" w:hAnsi="Times New Roman" w:hint="eastAsia"/>
                <w:color w:val="000000"/>
                <w:kern w:val="0"/>
                <w:sz w:val="22"/>
                <w:szCs w:val="22"/>
              </w:rPr>
              <w:t>增减幅度</w:t>
            </w:r>
            <w:r w:rsidRPr="001D3A0E">
              <w:rPr>
                <w:rFonts w:ascii="Times New Roman" w:hAnsi="Times New Roman"/>
                <w:color w:val="000000"/>
                <w:kern w:val="0"/>
                <w:sz w:val="22"/>
                <w:szCs w:val="22"/>
              </w:rPr>
              <w:t>(%)</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（一）支出合计</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684.98 </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617.14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-67.84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-9.90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1</w:t>
            </w:r>
            <w:r w:rsidRPr="001D3A0E">
              <w:rPr>
                <w:rFonts w:ascii="Times New Roman" w:hAnsi="Times New Roman" w:hint="eastAsia"/>
                <w:color w:val="000000"/>
                <w:kern w:val="0"/>
                <w:sz w:val="22"/>
                <w:szCs w:val="22"/>
              </w:rPr>
              <w:t>．因公出国（境）费</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4.45 </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0.80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-3.65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-82.02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2</w:t>
            </w:r>
            <w:r w:rsidRPr="001D3A0E">
              <w:rPr>
                <w:rFonts w:ascii="Times New Roman" w:hAnsi="Times New Roman" w:hint="eastAsia"/>
                <w:color w:val="000000"/>
                <w:kern w:val="0"/>
                <w:sz w:val="22"/>
                <w:szCs w:val="22"/>
              </w:rPr>
              <w:t>．公务用车购置及运行维护费</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482.13 </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471.88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-10.25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-2.13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w:t>
            </w:r>
            <w:r w:rsidRPr="001D3A0E">
              <w:rPr>
                <w:rFonts w:ascii="Times New Roman" w:hAnsi="Times New Roman"/>
                <w:color w:val="000000"/>
                <w:kern w:val="0"/>
                <w:sz w:val="22"/>
                <w:szCs w:val="22"/>
              </w:rPr>
              <w:t>1</w:t>
            </w:r>
            <w:r w:rsidRPr="001D3A0E">
              <w:rPr>
                <w:rFonts w:ascii="Times New Roman" w:hAnsi="Times New Roman" w:hint="eastAsia"/>
                <w:color w:val="000000"/>
                <w:kern w:val="0"/>
                <w:sz w:val="22"/>
                <w:szCs w:val="22"/>
              </w:rPr>
              <w:t>）公务用车购置费</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14.60 </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85.48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70.88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485.51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w:t>
            </w:r>
            <w:r w:rsidRPr="001D3A0E">
              <w:rPr>
                <w:rFonts w:ascii="Times New Roman" w:hAnsi="Times New Roman"/>
                <w:color w:val="000000"/>
                <w:kern w:val="0"/>
                <w:sz w:val="22"/>
                <w:szCs w:val="22"/>
              </w:rPr>
              <w:t>2</w:t>
            </w:r>
            <w:r w:rsidRPr="001D3A0E">
              <w:rPr>
                <w:rFonts w:ascii="Times New Roman" w:hAnsi="Times New Roman" w:hint="eastAsia"/>
                <w:color w:val="000000"/>
                <w:kern w:val="0"/>
                <w:sz w:val="22"/>
                <w:szCs w:val="22"/>
              </w:rPr>
              <w:t>）公务用车运行维护费</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467.53 </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386.39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-81.14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-17.35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3</w:t>
            </w:r>
            <w:r w:rsidRPr="001D3A0E">
              <w:rPr>
                <w:rFonts w:ascii="Times New Roman" w:hAnsi="Times New Roman" w:hint="eastAsia"/>
                <w:color w:val="000000"/>
                <w:kern w:val="0"/>
                <w:sz w:val="22"/>
                <w:szCs w:val="22"/>
              </w:rPr>
              <w:t>．公务接待费</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198.40 </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144.47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-53.93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-27.18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w:t>
            </w:r>
            <w:r w:rsidRPr="001D3A0E">
              <w:rPr>
                <w:rFonts w:ascii="Times New Roman" w:hAnsi="Times New Roman"/>
                <w:color w:val="000000"/>
                <w:kern w:val="0"/>
                <w:sz w:val="22"/>
                <w:szCs w:val="22"/>
              </w:rPr>
              <w:t>1</w:t>
            </w:r>
            <w:r w:rsidRPr="001D3A0E">
              <w:rPr>
                <w:rFonts w:ascii="Times New Roman" w:hAnsi="Times New Roman" w:hint="eastAsia"/>
                <w:color w:val="000000"/>
                <w:kern w:val="0"/>
                <w:sz w:val="22"/>
                <w:szCs w:val="22"/>
              </w:rPr>
              <w:t>）国内接待费</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198.40 </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144.47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-53.93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-27.18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其中：外事接待费</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w:t>
            </w:r>
            <w:r w:rsidRPr="001D3A0E">
              <w:rPr>
                <w:rFonts w:ascii="Times New Roman" w:hAnsi="Times New Roman"/>
                <w:color w:val="000000"/>
                <w:kern w:val="0"/>
                <w:sz w:val="22"/>
                <w:szCs w:val="22"/>
              </w:rPr>
              <w:t>2</w:t>
            </w:r>
            <w:r w:rsidRPr="001D3A0E">
              <w:rPr>
                <w:rFonts w:ascii="Times New Roman" w:hAnsi="Times New Roman" w:hint="eastAsia"/>
                <w:color w:val="000000"/>
                <w:kern w:val="0"/>
                <w:sz w:val="22"/>
                <w:szCs w:val="22"/>
              </w:rPr>
              <w:t>）国（境）外接待费</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（二）相关统计数</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2</w:t>
            </w:r>
            <w:r w:rsidRPr="001D3A0E">
              <w:rPr>
                <w:rFonts w:ascii="Times New Roman" w:hAnsi="Times New Roman" w:hint="eastAsia"/>
                <w:color w:val="000000"/>
                <w:kern w:val="0"/>
                <w:sz w:val="22"/>
                <w:szCs w:val="22"/>
              </w:rPr>
              <w:t>．因公出国（境）人次数（人）</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1</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1</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3</w:t>
            </w:r>
            <w:r w:rsidRPr="001D3A0E">
              <w:rPr>
                <w:rFonts w:ascii="Times New Roman" w:hAnsi="Times New Roman" w:hint="eastAsia"/>
                <w:color w:val="000000"/>
                <w:kern w:val="0"/>
                <w:sz w:val="22"/>
                <w:szCs w:val="22"/>
              </w:rPr>
              <w:t>．公务用车购置数（辆）</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1</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3</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2 </w:t>
            </w:r>
          </w:p>
        </w:tc>
        <w:tc>
          <w:tcPr>
            <w:tcW w:w="1040" w:type="dxa"/>
            <w:tcBorders>
              <w:top w:val="nil"/>
              <w:left w:val="nil"/>
              <w:bottom w:val="single" w:sz="4" w:space="0" w:color="000000"/>
              <w:right w:val="single" w:sz="8" w:space="0" w:color="000000"/>
            </w:tcBorders>
            <w:noWrap/>
            <w:vAlign w:val="center"/>
          </w:tcPr>
          <w:p w:rsidR="00377A39" w:rsidRPr="00AA37AC" w:rsidRDefault="006B4DCE">
            <w:pPr>
              <w:jc w:val="center"/>
              <w:rPr>
                <w:rFonts w:ascii="宋体" w:hAnsi="宋体" w:cs="Arial"/>
                <w:color w:val="000000"/>
                <w:szCs w:val="21"/>
              </w:rPr>
            </w:pPr>
            <w:r w:rsidRPr="00AA37AC">
              <w:rPr>
                <w:rFonts w:ascii="宋体" w:hAnsi="宋体" w:cs="Arial" w:hint="eastAsia"/>
                <w:color w:val="000000"/>
                <w:szCs w:val="21"/>
              </w:rPr>
              <w:t>2</w:t>
            </w:r>
            <w:r w:rsidR="00377A39" w:rsidRPr="00AA37AC">
              <w:rPr>
                <w:rFonts w:ascii="宋体" w:hAnsi="宋体" w:cs="Arial" w:hint="eastAsia"/>
                <w:color w:val="000000"/>
                <w:szCs w:val="21"/>
              </w:rPr>
              <w:t xml:space="preserve">00.00 </w:t>
            </w:r>
          </w:p>
        </w:tc>
      </w:tr>
      <w:tr w:rsidR="00261E30" w:rsidRPr="00261E30"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261E30" w:rsidRDefault="00377A39" w:rsidP="000F3B00">
            <w:pPr>
              <w:widowControl/>
              <w:jc w:val="left"/>
              <w:rPr>
                <w:rFonts w:ascii="Times New Roman" w:hAnsi="Times New Roman"/>
                <w:kern w:val="0"/>
                <w:sz w:val="22"/>
                <w:szCs w:val="22"/>
              </w:rPr>
            </w:pPr>
            <w:r w:rsidRPr="00261E30">
              <w:rPr>
                <w:rFonts w:ascii="Times New Roman" w:hAnsi="Times New Roman"/>
                <w:kern w:val="0"/>
                <w:sz w:val="22"/>
                <w:szCs w:val="22"/>
              </w:rPr>
              <w:lastRenderedPageBreak/>
              <w:t xml:space="preserve">  4</w:t>
            </w:r>
            <w:r w:rsidRPr="00261E30">
              <w:rPr>
                <w:rFonts w:ascii="Times New Roman" w:hAnsi="Times New Roman" w:hint="eastAsia"/>
                <w:kern w:val="0"/>
                <w:sz w:val="22"/>
                <w:szCs w:val="22"/>
              </w:rPr>
              <w:t>．公务用车保有量（辆）</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261E30" w:rsidRDefault="00377A39">
            <w:pPr>
              <w:jc w:val="center"/>
              <w:rPr>
                <w:rFonts w:ascii="宋体" w:hAnsi="宋体" w:cs="Arial"/>
                <w:szCs w:val="21"/>
              </w:rPr>
            </w:pPr>
            <w:r w:rsidRPr="00261E30">
              <w:rPr>
                <w:rFonts w:ascii="宋体" w:hAnsi="宋体" w:cs="Arial" w:hint="eastAsia"/>
                <w:szCs w:val="21"/>
              </w:rPr>
              <w:t>287</w:t>
            </w:r>
          </w:p>
        </w:tc>
        <w:tc>
          <w:tcPr>
            <w:tcW w:w="1084" w:type="dxa"/>
            <w:tcBorders>
              <w:top w:val="nil"/>
              <w:left w:val="nil"/>
              <w:bottom w:val="single" w:sz="4" w:space="0" w:color="000000"/>
              <w:right w:val="single" w:sz="4" w:space="0" w:color="000000"/>
            </w:tcBorders>
            <w:noWrap/>
            <w:vAlign w:val="center"/>
          </w:tcPr>
          <w:p w:rsidR="00377A39" w:rsidRPr="00261E30" w:rsidRDefault="00377A39">
            <w:pPr>
              <w:jc w:val="center"/>
              <w:rPr>
                <w:rFonts w:ascii="宋体" w:hAnsi="宋体" w:cs="Arial"/>
                <w:szCs w:val="21"/>
              </w:rPr>
            </w:pPr>
            <w:r w:rsidRPr="00261E30">
              <w:rPr>
                <w:rFonts w:ascii="宋体" w:hAnsi="宋体" w:cs="Arial" w:hint="eastAsia"/>
                <w:szCs w:val="21"/>
              </w:rPr>
              <w:t>310</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261E30" w:rsidRDefault="00377A39">
            <w:pPr>
              <w:jc w:val="center"/>
              <w:rPr>
                <w:rFonts w:ascii="宋体" w:hAnsi="宋体" w:cs="Arial"/>
                <w:szCs w:val="21"/>
              </w:rPr>
            </w:pPr>
            <w:r w:rsidRPr="00261E30">
              <w:rPr>
                <w:rFonts w:ascii="宋体" w:hAnsi="宋体" w:cs="Arial" w:hint="eastAsia"/>
                <w:szCs w:val="21"/>
              </w:rPr>
              <w:t xml:space="preserve">23 </w:t>
            </w:r>
          </w:p>
        </w:tc>
        <w:tc>
          <w:tcPr>
            <w:tcW w:w="1040" w:type="dxa"/>
            <w:tcBorders>
              <w:top w:val="nil"/>
              <w:left w:val="nil"/>
              <w:bottom w:val="single" w:sz="4" w:space="0" w:color="000000"/>
              <w:right w:val="single" w:sz="8" w:space="0" w:color="000000"/>
            </w:tcBorders>
            <w:noWrap/>
            <w:vAlign w:val="center"/>
          </w:tcPr>
          <w:p w:rsidR="00377A39" w:rsidRPr="00261E30" w:rsidRDefault="00377A39">
            <w:pPr>
              <w:jc w:val="center"/>
              <w:rPr>
                <w:rFonts w:ascii="宋体" w:hAnsi="宋体" w:cs="Arial"/>
                <w:szCs w:val="21"/>
              </w:rPr>
            </w:pPr>
            <w:r w:rsidRPr="00261E30">
              <w:rPr>
                <w:rFonts w:ascii="宋体" w:hAnsi="宋体" w:cs="Arial" w:hint="eastAsia"/>
                <w:szCs w:val="21"/>
              </w:rPr>
              <w:t xml:space="preserve">8.01 </w:t>
            </w:r>
          </w:p>
        </w:tc>
      </w:tr>
      <w:tr w:rsidR="00377A39" w:rsidRPr="001D3A0E" w:rsidTr="00351B5A">
        <w:trPr>
          <w:trHeight w:val="498"/>
        </w:trPr>
        <w:tc>
          <w:tcPr>
            <w:tcW w:w="4293" w:type="dxa"/>
            <w:tcBorders>
              <w:top w:val="single" w:sz="4" w:space="0" w:color="auto"/>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5</w:t>
            </w:r>
            <w:r w:rsidRPr="001D3A0E">
              <w:rPr>
                <w:rFonts w:ascii="Times New Roman" w:hAnsi="Times New Roman" w:hint="eastAsia"/>
                <w:color w:val="000000"/>
                <w:kern w:val="0"/>
                <w:sz w:val="22"/>
                <w:szCs w:val="22"/>
              </w:rPr>
              <w:t>．国内公务接待批次（</w:t>
            </w:r>
            <w:proofErr w:type="gramStart"/>
            <w:r w:rsidRPr="001D3A0E">
              <w:rPr>
                <w:rFonts w:ascii="Times New Roman" w:hAnsi="Times New Roman" w:hint="eastAsia"/>
                <w:color w:val="000000"/>
                <w:kern w:val="0"/>
                <w:sz w:val="22"/>
                <w:szCs w:val="22"/>
              </w:rPr>
              <w:t>个</w:t>
            </w:r>
            <w:proofErr w:type="gramEnd"/>
            <w:r w:rsidRPr="001D3A0E">
              <w:rPr>
                <w:rFonts w:ascii="Times New Roman" w:hAnsi="Times New Roman" w:hint="eastAsia"/>
                <w:color w:val="000000"/>
                <w:kern w:val="0"/>
                <w:sz w:val="22"/>
                <w:szCs w:val="22"/>
              </w:rPr>
              <w:t>）</w:t>
            </w:r>
          </w:p>
        </w:tc>
        <w:tc>
          <w:tcPr>
            <w:tcW w:w="1084" w:type="dxa"/>
            <w:tcBorders>
              <w:top w:val="single" w:sz="4" w:space="0" w:color="auto"/>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3,890</w:t>
            </w:r>
          </w:p>
        </w:tc>
        <w:tc>
          <w:tcPr>
            <w:tcW w:w="1084" w:type="dxa"/>
            <w:tcBorders>
              <w:top w:val="single" w:sz="4" w:space="0" w:color="auto"/>
              <w:left w:val="nil"/>
              <w:bottom w:val="single" w:sz="4" w:space="0" w:color="000000"/>
              <w:right w:val="single" w:sz="4"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3,435</w:t>
            </w:r>
          </w:p>
        </w:tc>
        <w:tc>
          <w:tcPr>
            <w:tcW w:w="1039" w:type="dxa"/>
            <w:tcBorders>
              <w:top w:val="single" w:sz="4" w:space="0" w:color="auto"/>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-455 </w:t>
            </w:r>
          </w:p>
        </w:tc>
        <w:tc>
          <w:tcPr>
            <w:tcW w:w="1040" w:type="dxa"/>
            <w:tcBorders>
              <w:top w:val="single" w:sz="4" w:space="0" w:color="auto"/>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-11.70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其中：外事接待批次（</w:t>
            </w:r>
            <w:proofErr w:type="gramStart"/>
            <w:r w:rsidRPr="001D3A0E">
              <w:rPr>
                <w:rFonts w:ascii="Times New Roman" w:hAnsi="Times New Roman" w:hint="eastAsia"/>
                <w:color w:val="000000"/>
                <w:kern w:val="0"/>
                <w:sz w:val="22"/>
                <w:szCs w:val="22"/>
              </w:rPr>
              <w:t>个</w:t>
            </w:r>
            <w:proofErr w:type="gramEnd"/>
            <w:r w:rsidRPr="001D3A0E">
              <w:rPr>
                <w:rFonts w:ascii="Times New Roman" w:hAnsi="Times New Roman" w:hint="eastAsia"/>
                <w:color w:val="000000"/>
                <w:kern w:val="0"/>
                <w:sz w:val="22"/>
                <w:szCs w:val="22"/>
              </w:rPr>
              <w:t>）</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84" w:type="dxa"/>
            <w:tcBorders>
              <w:top w:val="nil"/>
              <w:left w:val="nil"/>
              <w:bottom w:val="single" w:sz="4" w:space="0" w:color="000000"/>
              <w:right w:val="single" w:sz="4"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r>
      <w:tr w:rsidR="00377A39" w:rsidRPr="001D3A0E" w:rsidTr="000F3B00">
        <w:trPr>
          <w:trHeight w:val="498"/>
        </w:trPr>
        <w:tc>
          <w:tcPr>
            <w:tcW w:w="4293" w:type="dxa"/>
            <w:tcBorders>
              <w:top w:val="nil"/>
              <w:left w:val="single" w:sz="8" w:space="0" w:color="000000"/>
              <w:bottom w:val="single" w:sz="4"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color w:val="000000"/>
                <w:kern w:val="0"/>
                <w:sz w:val="22"/>
                <w:szCs w:val="22"/>
              </w:rPr>
              <w:t xml:space="preserve">  6</w:t>
            </w:r>
            <w:r w:rsidRPr="001D3A0E">
              <w:rPr>
                <w:rFonts w:ascii="Times New Roman" w:hAnsi="Times New Roman" w:hint="eastAsia"/>
                <w:color w:val="000000"/>
                <w:kern w:val="0"/>
                <w:sz w:val="22"/>
                <w:szCs w:val="22"/>
              </w:rPr>
              <w:t>．国内公务接待人次（人）</w:t>
            </w:r>
          </w:p>
        </w:tc>
        <w:tc>
          <w:tcPr>
            <w:tcW w:w="1084" w:type="dxa"/>
            <w:tcBorders>
              <w:top w:val="nil"/>
              <w:left w:val="nil"/>
              <w:bottom w:val="single" w:sz="4" w:space="0" w:color="000000"/>
              <w:right w:val="single" w:sz="4" w:space="0" w:color="000000"/>
            </w:tcBorders>
            <w:shd w:val="clear" w:color="FFFFFF"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35,788</w:t>
            </w:r>
          </w:p>
        </w:tc>
        <w:tc>
          <w:tcPr>
            <w:tcW w:w="1084" w:type="dxa"/>
            <w:tcBorders>
              <w:top w:val="nil"/>
              <w:left w:val="nil"/>
              <w:bottom w:val="single" w:sz="4" w:space="0" w:color="000000"/>
              <w:right w:val="single" w:sz="4"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27,810</w:t>
            </w:r>
          </w:p>
        </w:tc>
        <w:tc>
          <w:tcPr>
            <w:tcW w:w="1039" w:type="dxa"/>
            <w:tcBorders>
              <w:top w:val="nil"/>
              <w:left w:val="nil"/>
              <w:bottom w:val="single" w:sz="4"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-7,978 </w:t>
            </w:r>
          </w:p>
        </w:tc>
        <w:tc>
          <w:tcPr>
            <w:tcW w:w="1040" w:type="dxa"/>
            <w:tcBorders>
              <w:top w:val="nil"/>
              <w:left w:val="nil"/>
              <w:bottom w:val="single" w:sz="4"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-22.29 </w:t>
            </w:r>
          </w:p>
        </w:tc>
      </w:tr>
      <w:tr w:rsidR="00377A39" w:rsidRPr="001D3A0E" w:rsidTr="00F33B82">
        <w:trPr>
          <w:trHeight w:val="396"/>
        </w:trPr>
        <w:tc>
          <w:tcPr>
            <w:tcW w:w="4293" w:type="dxa"/>
            <w:tcBorders>
              <w:top w:val="nil"/>
              <w:left w:val="single" w:sz="8" w:space="0" w:color="000000"/>
              <w:bottom w:val="single" w:sz="8" w:space="0" w:color="000000"/>
              <w:right w:val="single" w:sz="4" w:space="0" w:color="000000"/>
            </w:tcBorders>
            <w:shd w:val="clear" w:color="FFFFFF" w:fill="FFFFFF"/>
            <w:noWrap/>
            <w:vAlign w:val="center"/>
          </w:tcPr>
          <w:p w:rsidR="00377A39" w:rsidRPr="001D3A0E" w:rsidRDefault="00377A39" w:rsidP="000F3B00">
            <w:pPr>
              <w:widowControl/>
              <w:jc w:val="left"/>
              <w:rPr>
                <w:rFonts w:ascii="Times New Roman" w:hAnsi="Times New Roman"/>
                <w:color w:val="000000"/>
                <w:kern w:val="0"/>
                <w:sz w:val="22"/>
                <w:szCs w:val="22"/>
              </w:rPr>
            </w:pPr>
            <w:r w:rsidRPr="001D3A0E">
              <w:rPr>
                <w:rFonts w:ascii="Times New Roman" w:hAnsi="Times New Roman" w:hint="eastAsia"/>
                <w:color w:val="000000"/>
                <w:kern w:val="0"/>
                <w:sz w:val="22"/>
                <w:szCs w:val="22"/>
              </w:rPr>
              <w:t>其中：外事接待人次（人）</w:t>
            </w:r>
          </w:p>
        </w:tc>
        <w:tc>
          <w:tcPr>
            <w:tcW w:w="1084" w:type="dxa"/>
            <w:tcBorders>
              <w:top w:val="nil"/>
              <w:left w:val="nil"/>
              <w:bottom w:val="single" w:sz="8" w:space="0" w:color="000000"/>
              <w:right w:val="single" w:sz="4" w:space="0" w:color="000000"/>
            </w:tcBorders>
            <w:shd w:val="clear" w:color="auto" w:fill="FFFFFF"/>
            <w:noWrap/>
            <w:vAlign w:val="bottom"/>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84" w:type="dxa"/>
            <w:tcBorders>
              <w:top w:val="nil"/>
              <w:left w:val="nil"/>
              <w:bottom w:val="single" w:sz="8" w:space="0" w:color="000000"/>
              <w:right w:val="single" w:sz="4" w:space="0" w:color="000000"/>
            </w:tcBorders>
            <w:noWrap/>
            <w:vAlign w:val="bottom"/>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39" w:type="dxa"/>
            <w:tcBorders>
              <w:top w:val="nil"/>
              <w:left w:val="nil"/>
              <w:bottom w:val="single" w:sz="8" w:space="0" w:color="000000"/>
              <w:right w:val="single" w:sz="4" w:space="0" w:color="000000"/>
            </w:tcBorders>
            <w:shd w:val="clear" w:color="auto" w:fill="FFFFFF"/>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c>
          <w:tcPr>
            <w:tcW w:w="1040" w:type="dxa"/>
            <w:tcBorders>
              <w:top w:val="nil"/>
              <w:left w:val="nil"/>
              <w:bottom w:val="single" w:sz="8" w:space="0" w:color="000000"/>
              <w:right w:val="single" w:sz="8" w:space="0" w:color="000000"/>
            </w:tcBorders>
            <w:noWrap/>
            <w:vAlign w:val="center"/>
          </w:tcPr>
          <w:p w:rsidR="00377A39" w:rsidRPr="00AA37AC" w:rsidRDefault="00377A39">
            <w:pPr>
              <w:jc w:val="center"/>
              <w:rPr>
                <w:rFonts w:ascii="宋体" w:hAnsi="宋体" w:cs="Arial"/>
                <w:color w:val="000000"/>
                <w:szCs w:val="21"/>
              </w:rPr>
            </w:pPr>
            <w:r w:rsidRPr="00AA37AC">
              <w:rPr>
                <w:rFonts w:ascii="宋体" w:hAnsi="宋体" w:cs="Arial" w:hint="eastAsia"/>
                <w:color w:val="000000"/>
                <w:szCs w:val="21"/>
              </w:rPr>
              <w:t xml:space="preserve">　</w:t>
            </w:r>
          </w:p>
        </w:tc>
      </w:tr>
    </w:tbl>
    <w:p w:rsidR="008E79B1" w:rsidRPr="001D3A0E" w:rsidRDefault="008E79B1" w:rsidP="00122795">
      <w:pPr>
        <w:widowControl/>
        <w:ind w:firstLineChars="200" w:firstLine="640"/>
        <w:jc w:val="left"/>
        <w:rPr>
          <w:rFonts w:ascii="Times New Roman" w:eastAsia="黑体" w:hAnsi="Times New Roman"/>
          <w:color w:val="000000"/>
          <w:kern w:val="0"/>
          <w:sz w:val="32"/>
          <w:szCs w:val="32"/>
        </w:rPr>
      </w:pPr>
      <w:r w:rsidRPr="001D3A0E">
        <w:rPr>
          <w:rFonts w:ascii="Times New Roman" w:eastAsia="黑体" w:hAnsi="Times New Roman" w:hint="eastAsia"/>
          <w:color w:val="000000"/>
          <w:kern w:val="0"/>
          <w:sz w:val="32"/>
          <w:szCs w:val="32"/>
        </w:rPr>
        <w:t>二、</w:t>
      </w:r>
      <w:r w:rsidRPr="001D3A0E">
        <w:rPr>
          <w:rFonts w:ascii="Times New Roman" w:eastAsia="黑体" w:hAnsi="Times New Roman"/>
          <w:color w:val="000000"/>
          <w:kern w:val="0"/>
          <w:sz w:val="32"/>
          <w:szCs w:val="32"/>
        </w:rPr>
        <w:t>“</w:t>
      </w:r>
      <w:r w:rsidRPr="001D3A0E">
        <w:rPr>
          <w:rFonts w:ascii="Times New Roman" w:eastAsia="黑体" w:hAnsi="Times New Roman" w:hint="eastAsia"/>
          <w:color w:val="000000"/>
          <w:kern w:val="0"/>
          <w:sz w:val="32"/>
          <w:szCs w:val="32"/>
        </w:rPr>
        <w:t>三公</w:t>
      </w:r>
      <w:r w:rsidRPr="001D3A0E">
        <w:rPr>
          <w:rFonts w:ascii="Times New Roman" w:eastAsia="黑体" w:hAnsi="Times New Roman"/>
          <w:color w:val="000000"/>
          <w:kern w:val="0"/>
          <w:sz w:val="32"/>
          <w:szCs w:val="32"/>
        </w:rPr>
        <w:t>”</w:t>
      </w:r>
      <w:r w:rsidRPr="001D3A0E">
        <w:rPr>
          <w:rFonts w:ascii="Times New Roman" w:eastAsia="黑体" w:hAnsi="Times New Roman" w:hint="eastAsia"/>
          <w:color w:val="000000"/>
          <w:kern w:val="0"/>
          <w:sz w:val="32"/>
          <w:szCs w:val="32"/>
        </w:rPr>
        <w:t>经费口径说明</w:t>
      </w:r>
    </w:p>
    <w:p w:rsidR="008E79B1" w:rsidRPr="001D3A0E" w:rsidRDefault="008E79B1" w:rsidP="00122795">
      <w:pPr>
        <w:widowControl/>
        <w:ind w:firstLineChars="200" w:firstLine="640"/>
        <w:jc w:val="left"/>
        <w:rPr>
          <w:rFonts w:ascii="Times New Roman" w:eastAsia="仿宋_GB2312" w:hAnsi="Times New Roman"/>
          <w:kern w:val="0"/>
          <w:sz w:val="32"/>
          <w:szCs w:val="32"/>
        </w:rPr>
      </w:pPr>
      <w:r w:rsidRPr="001D3A0E">
        <w:rPr>
          <w:rFonts w:ascii="Times New Roman" w:eastAsia="仿宋_GB2312" w:hAnsi="Times New Roman" w:hint="eastAsia"/>
          <w:color w:val="000000"/>
          <w:kern w:val="0"/>
          <w:sz w:val="32"/>
          <w:szCs w:val="32"/>
        </w:rPr>
        <w:t>（一）按照党中央、国务院有关文件及部门预算管理有关规定，纳入富民县财政预决算管理的</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三公</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经费，是指县级部门用财政拨款安排的因公出国（境）费、公务用车购置及运行费和公务接待费。其中：因公出国（境）</w:t>
      </w:r>
      <w:proofErr w:type="gramStart"/>
      <w:r w:rsidRPr="001D3A0E">
        <w:rPr>
          <w:rFonts w:ascii="Times New Roman" w:eastAsia="仿宋_GB2312" w:hAnsi="Times New Roman" w:hint="eastAsia"/>
          <w:color w:val="000000"/>
          <w:kern w:val="0"/>
          <w:sz w:val="32"/>
          <w:szCs w:val="32"/>
        </w:rPr>
        <w:t>费反映</w:t>
      </w:r>
      <w:proofErr w:type="gramEnd"/>
      <w:r w:rsidRPr="001D3A0E">
        <w:rPr>
          <w:rFonts w:ascii="Times New Roman" w:eastAsia="仿宋_GB2312" w:hAnsi="Times New Roman" w:hint="eastAsia"/>
          <w:color w:val="000000"/>
          <w:kern w:val="0"/>
          <w:sz w:val="32"/>
          <w:szCs w:val="32"/>
        </w:rPr>
        <w:t>单位公务出国</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境</w:t>
      </w:r>
      <w:r w:rsidRPr="001D3A0E">
        <w:rPr>
          <w:rFonts w:ascii="Times New Roman" w:eastAsia="仿宋_GB2312" w:hAnsi="Times New Roman"/>
          <w:color w:val="000000"/>
          <w:kern w:val="0"/>
          <w:sz w:val="32"/>
          <w:szCs w:val="32"/>
        </w:rPr>
        <w:t>)</w:t>
      </w:r>
      <w:r w:rsidRPr="001D3A0E">
        <w:rPr>
          <w:rFonts w:ascii="Times New Roman" w:eastAsia="仿宋_GB2312" w:hAnsi="Times New Roman" w:hint="eastAsia"/>
          <w:color w:val="000000"/>
          <w:kern w:val="0"/>
          <w:sz w:val="32"/>
          <w:szCs w:val="32"/>
        </w:rPr>
        <w:t>的国际旅费、国外城市间交通费、住宿费、伙食费、培训费、公杂费等支出；公务用车购置及运行</w:t>
      </w:r>
      <w:proofErr w:type="gramStart"/>
      <w:r w:rsidRPr="001D3A0E">
        <w:rPr>
          <w:rFonts w:ascii="Times New Roman" w:eastAsia="仿宋_GB2312" w:hAnsi="Times New Roman" w:hint="eastAsia"/>
          <w:color w:val="000000"/>
          <w:kern w:val="0"/>
          <w:sz w:val="32"/>
          <w:szCs w:val="32"/>
        </w:rPr>
        <w:t>费反映</w:t>
      </w:r>
      <w:proofErr w:type="gramEnd"/>
      <w:r w:rsidRPr="001D3A0E">
        <w:rPr>
          <w:rFonts w:ascii="Times New Roman" w:eastAsia="仿宋_GB2312" w:hAnsi="Times New Roman" w:hint="eastAsia"/>
          <w:color w:val="000000"/>
          <w:kern w:val="0"/>
          <w:sz w:val="32"/>
          <w:szCs w:val="32"/>
        </w:rPr>
        <w:t>单位公务用车购置费及租用费、燃料费、维修费、过路过桥费、保险费、安全奖励费用等支出</w:t>
      </w:r>
      <w:r>
        <w:rPr>
          <w:rFonts w:ascii="Times New Roman" w:eastAsia="仿宋_GB2312" w:hAnsi="Times New Roman" w:hint="eastAsia"/>
          <w:color w:val="000000"/>
          <w:kern w:val="0"/>
          <w:sz w:val="32"/>
          <w:szCs w:val="32"/>
        </w:rPr>
        <w:t>；</w:t>
      </w:r>
      <w:r w:rsidRPr="001D3A0E">
        <w:rPr>
          <w:rFonts w:ascii="Times New Roman" w:eastAsia="仿宋_GB2312" w:hAnsi="Times New Roman" w:hint="eastAsia"/>
          <w:color w:val="000000"/>
          <w:kern w:val="0"/>
          <w:sz w:val="32"/>
          <w:szCs w:val="32"/>
        </w:rPr>
        <w:t>公务接待</w:t>
      </w:r>
      <w:proofErr w:type="gramStart"/>
      <w:r w:rsidRPr="001D3A0E">
        <w:rPr>
          <w:rFonts w:ascii="Times New Roman" w:eastAsia="仿宋_GB2312" w:hAnsi="Times New Roman" w:hint="eastAsia"/>
          <w:color w:val="000000"/>
          <w:kern w:val="0"/>
          <w:sz w:val="32"/>
          <w:szCs w:val="32"/>
        </w:rPr>
        <w:t>费反映</w:t>
      </w:r>
      <w:proofErr w:type="gramEnd"/>
      <w:r w:rsidRPr="001D3A0E">
        <w:rPr>
          <w:rFonts w:ascii="Times New Roman" w:eastAsia="仿宋_GB2312" w:hAnsi="Times New Roman" w:hint="eastAsia"/>
          <w:color w:val="000000"/>
          <w:kern w:val="0"/>
          <w:sz w:val="32"/>
          <w:szCs w:val="32"/>
        </w:rPr>
        <w:t>单位按规定开支的各类公务接待（含外宾接待）支出。</w:t>
      </w:r>
    </w:p>
    <w:p w:rsidR="008E79B1" w:rsidRPr="001D3A0E" w:rsidRDefault="008E79B1" w:rsidP="00122795">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（二）</w:t>
      </w:r>
      <w:r w:rsidRPr="001D3A0E">
        <w:rPr>
          <w:rFonts w:ascii="Times New Roman" w:eastAsia="仿宋_GB2312" w:hAnsi="Times New Roman"/>
          <w:kern w:val="0"/>
          <w:sz w:val="32"/>
          <w:szCs w:val="32"/>
        </w:rPr>
        <w:t>“</w:t>
      </w:r>
      <w:r w:rsidRPr="001D3A0E">
        <w:rPr>
          <w:rFonts w:ascii="Times New Roman" w:eastAsia="仿宋_GB2312" w:hAnsi="Times New Roman" w:hint="eastAsia"/>
          <w:kern w:val="0"/>
          <w:sz w:val="32"/>
          <w:szCs w:val="32"/>
        </w:rPr>
        <w:t>三公</w:t>
      </w:r>
      <w:r w:rsidRPr="001D3A0E">
        <w:rPr>
          <w:rFonts w:ascii="Times New Roman" w:eastAsia="仿宋_GB2312" w:hAnsi="Times New Roman"/>
          <w:kern w:val="0"/>
          <w:sz w:val="32"/>
          <w:szCs w:val="32"/>
        </w:rPr>
        <w:t>”</w:t>
      </w:r>
      <w:r w:rsidRPr="001D3A0E">
        <w:rPr>
          <w:rFonts w:ascii="Times New Roman" w:eastAsia="仿宋_GB2312" w:hAnsi="Times New Roman" w:hint="eastAsia"/>
          <w:kern w:val="0"/>
          <w:sz w:val="32"/>
          <w:szCs w:val="32"/>
        </w:rPr>
        <w:t>经费决算数：指县级各部门用</w:t>
      </w:r>
      <w:r w:rsidRPr="001D3A0E">
        <w:rPr>
          <w:rFonts w:ascii="Times New Roman" w:eastAsia="仿宋_GB2312" w:hAnsi="Times New Roman" w:hint="eastAsia"/>
          <w:color w:val="000000"/>
          <w:kern w:val="0"/>
          <w:sz w:val="32"/>
          <w:szCs w:val="32"/>
        </w:rPr>
        <w:t>财政拨款（</w:t>
      </w:r>
      <w:r w:rsidRPr="001D3A0E">
        <w:rPr>
          <w:rFonts w:ascii="Times New Roman" w:eastAsia="仿宋_GB2312" w:hAnsi="Times New Roman" w:hint="eastAsia"/>
          <w:kern w:val="0"/>
          <w:sz w:val="32"/>
          <w:szCs w:val="32"/>
        </w:rPr>
        <w:t>含上年结转结余和当年预算）安排的因公出国（境）费、公务用车购置及运行维护费和公务接待费支出数。</w:t>
      </w:r>
    </w:p>
    <w:p w:rsidR="008E79B1" w:rsidRPr="001D3A0E" w:rsidRDefault="008E79B1" w:rsidP="00122795">
      <w:pPr>
        <w:ind w:firstLineChars="200" w:firstLine="664"/>
        <w:rPr>
          <w:rFonts w:ascii="Times New Roman" w:eastAsia="仿宋_GB2312" w:hAnsi="Times New Roman"/>
          <w:sz w:val="32"/>
          <w:szCs w:val="32"/>
        </w:rPr>
      </w:pPr>
      <w:r>
        <w:rPr>
          <w:rFonts w:ascii="Times New Roman" w:eastAsia="仿宋_GB2312" w:hAnsi="Times New Roman" w:hint="eastAsia"/>
          <w:spacing w:val="6"/>
          <w:kern w:val="0"/>
          <w:sz w:val="32"/>
          <w:szCs w:val="32"/>
        </w:rPr>
        <w:t>（三）</w:t>
      </w:r>
      <w:r w:rsidR="00880573">
        <w:rPr>
          <w:rFonts w:ascii="Times New Roman" w:eastAsia="仿宋_GB2312" w:hAnsi="Times New Roman"/>
          <w:spacing w:val="6"/>
          <w:kern w:val="0"/>
          <w:sz w:val="32"/>
          <w:szCs w:val="32"/>
        </w:rPr>
        <w:t>201</w:t>
      </w:r>
      <w:r w:rsidR="00880573">
        <w:rPr>
          <w:rFonts w:ascii="Times New Roman" w:eastAsia="仿宋_GB2312" w:hAnsi="Times New Roman" w:hint="eastAsia"/>
          <w:spacing w:val="6"/>
          <w:kern w:val="0"/>
          <w:sz w:val="32"/>
          <w:szCs w:val="32"/>
        </w:rPr>
        <w:t>9</w:t>
      </w:r>
      <w:r w:rsidRPr="001D3A0E">
        <w:rPr>
          <w:rFonts w:ascii="Times New Roman" w:eastAsia="仿宋_GB2312" w:hAnsi="Times New Roman" w:hint="eastAsia"/>
          <w:spacing w:val="6"/>
          <w:kern w:val="0"/>
          <w:sz w:val="32"/>
          <w:szCs w:val="32"/>
        </w:rPr>
        <w:t>年使用县级财政拨款安排</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三公</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经费的预算部门均纳入统计范围。富民县各部门</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三公</w:t>
      </w:r>
      <w:r w:rsidRPr="001D3A0E">
        <w:rPr>
          <w:rFonts w:ascii="Times New Roman" w:eastAsia="仿宋_GB2312" w:hAnsi="Times New Roman"/>
          <w:spacing w:val="6"/>
          <w:kern w:val="0"/>
          <w:sz w:val="32"/>
          <w:szCs w:val="32"/>
        </w:rPr>
        <w:t>”</w:t>
      </w:r>
      <w:r w:rsidRPr="001D3A0E">
        <w:rPr>
          <w:rFonts w:ascii="Times New Roman" w:eastAsia="仿宋_GB2312" w:hAnsi="Times New Roman" w:hint="eastAsia"/>
          <w:spacing w:val="6"/>
          <w:kern w:val="0"/>
          <w:sz w:val="32"/>
          <w:szCs w:val="32"/>
        </w:rPr>
        <w:t>经费，由各部门在其部门门户网站上与部门决算一同公开。</w:t>
      </w:r>
    </w:p>
    <w:p w:rsidR="008E79B1" w:rsidRPr="001D3A0E" w:rsidRDefault="008E79B1">
      <w:pPr>
        <w:rPr>
          <w:rFonts w:ascii="Times New Roman" w:hAnsi="Times New Roman"/>
        </w:rPr>
      </w:pPr>
    </w:p>
    <w:p w:rsidR="008E79B1" w:rsidRPr="001D3A0E" w:rsidRDefault="008E79B1">
      <w:pPr>
        <w:rPr>
          <w:rFonts w:ascii="Times New Roman" w:hAnsi="Times New Roman"/>
        </w:rPr>
      </w:pPr>
    </w:p>
    <w:sectPr w:rsidR="008E79B1" w:rsidRPr="001D3A0E" w:rsidSect="0089178E">
      <w:footerReference w:type="even" r:id="rId7"/>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10" w:rsidRDefault="00741B10" w:rsidP="0089178E">
      <w:r>
        <w:separator/>
      </w:r>
    </w:p>
  </w:endnote>
  <w:endnote w:type="continuationSeparator" w:id="0">
    <w:p w:rsidR="00741B10" w:rsidRDefault="00741B10" w:rsidP="0089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9B1" w:rsidRPr="0089178E" w:rsidRDefault="008E79B1">
    <w:pPr>
      <w:pStyle w:val="a4"/>
      <w:rPr>
        <w:sz w:val="28"/>
        <w:szCs w:val="28"/>
      </w:rPr>
    </w:pPr>
    <w:r w:rsidRPr="0089178E">
      <w:rPr>
        <w:sz w:val="28"/>
        <w:szCs w:val="28"/>
      </w:rPr>
      <w:t>-</w:t>
    </w:r>
    <w:r w:rsidR="008D6E06" w:rsidRPr="0089178E">
      <w:rPr>
        <w:sz w:val="28"/>
        <w:szCs w:val="28"/>
      </w:rPr>
      <w:fldChar w:fldCharType="begin"/>
    </w:r>
    <w:r w:rsidRPr="0089178E">
      <w:rPr>
        <w:sz w:val="28"/>
        <w:szCs w:val="28"/>
      </w:rPr>
      <w:instrText xml:space="preserve"> PAGE   \* MERGEFORMAT </w:instrText>
    </w:r>
    <w:r w:rsidR="008D6E06" w:rsidRPr="0089178E">
      <w:rPr>
        <w:sz w:val="28"/>
        <w:szCs w:val="28"/>
      </w:rPr>
      <w:fldChar w:fldCharType="separate"/>
    </w:r>
    <w:r w:rsidR="00B918C1" w:rsidRPr="00B918C1">
      <w:rPr>
        <w:noProof/>
        <w:sz w:val="28"/>
        <w:szCs w:val="28"/>
        <w:lang w:val="zh-CN"/>
      </w:rPr>
      <w:t>2</w:t>
    </w:r>
    <w:r w:rsidR="008D6E06" w:rsidRPr="0089178E">
      <w:rPr>
        <w:sz w:val="28"/>
        <w:szCs w:val="28"/>
      </w:rPr>
      <w:fldChar w:fldCharType="end"/>
    </w:r>
    <w:r w:rsidRPr="0089178E">
      <w:rPr>
        <w:sz w:val="28"/>
        <w:szCs w:val="28"/>
      </w:rPr>
      <w:t>-</w:t>
    </w:r>
  </w:p>
  <w:p w:rsidR="008E79B1" w:rsidRDefault="008E79B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9B1" w:rsidRPr="0089178E" w:rsidRDefault="008E79B1">
    <w:pPr>
      <w:pStyle w:val="a4"/>
      <w:jc w:val="right"/>
      <w:rPr>
        <w:sz w:val="28"/>
        <w:szCs w:val="28"/>
      </w:rPr>
    </w:pPr>
    <w:r w:rsidRPr="0089178E">
      <w:rPr>
        <w:sz w:val="28"/>
        <w:szCs w:val="28"/>
      </w:rPr>
      <w:t>-</w:t>
    </w:r>
    <w:r w:rsidR="008D6E06" w:rsidRPr="0089178E">
      <w:rPr>
        <w:sz w:val="28"/>
        <w:szCs w:val="28"/>
      </w:rPr>
      <w:fldChar w:fldCharType="begin"/>
    </w:r>
    <w:r w:rsidRPr="0089178E">
      <w:rPr>
        <w:sz w:val="28"/>
        <w:szCs w:val="28"/>
      </w:rPr>
      <w:instrText xml:space="preserve"> PAGE   \* MERGEFORMAT </w:instrText>
    </w:r>
    <w:r w:rsidR="008D6E06" w:rsidRPr="0089178E">
      <w:rPr>
        <w:sz w:val="28"/>
        <w:szCs w:val="28"/>
      </w:rPr>
      <w:fldChar w:fldCharType="separate"/>
    </w:r>
    <w:r w:rsidR="00B918C1" w:rsidRPr="00B918C1">
      <w:rPr>
        <w:noProof/>
        <w:sz w:val="28"/>
        <w:szCs w:val="28"/>
        <w:lang w:val="zh-CN"/>
      </w:rPr>
      <w:t>1</w:t>
    </w:r>
    <w:r w:rsidR="008D6E06" w:rsidRPr="0089178E">
      <w:rPr>
        <w:sz w:val="28"/>
        <w:szCs w:val="28"/>
      </w:rPr>
      <w:fldChar w:fldCharType="end"/>
    </w:r>
    <w:r w:rsidRPr="0089178E">
      <w:rPr>
        <w:sz w:val="28"/>
        <w:szCs w:val="28"/>
      </w:rPr>
      <w:t>-</w:t>
    </w:r>
  </w:p>
  <w:p w:rsidR="008E79B1" w:rsidRDefault="008E79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10" w:rsidRDefault="00741B10" w:rsidP="0089178E">
      <w:r>
        <w:separator/>
      </w:r>
    </w:p>
  </w:footnote>
  <w:footnote w:type="continuationSeparator" w:id="0">
    <w:p w:rsidR="00741B10" w:rsidRDefault="00741B10" w:rsidP="00891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8E"/>
    <w:rsid w:val="000052D7"/>
    <w:rsid w:val="000121AD"/>
    <w:rsid w:val="00012386"/>
    <w:rsid w:val="00020055"/>
    <w:rsid w:val="00022696"/>
    <w:rsid w:val="000243B2"/>
    <w:rsid w:val="000548E7"/>
    <w:rsid w:val="00062AAF"/>
    <w:rsid w:val="00082F09"/>
    <w:rsid w:val="00096592"/>
    <w:rsid w:val="000B4CF8"/>
    <w:rsid w:val="000C0183"/>
    <w:rsid w:val="000E78D1"/>
    <w:rsid w:val="000F2F85"/>
    <w:rsid w:val="000F3B00"/>
    <w:rsid w:val="00122795"/>
    <w:rsid w:val="00174CA2"/>
    <w:rsid w:val="001922FC"/>
    <w:rsid w:val="00194256"/>
    <w:rsid w:val="001C085F"/>
    <w:rsid w:val="001C0D4C"/>
    <w:rsid w:val="001C5266"/>
    <w:rsid w:val="001D0C6D"/>
    <w:rsid w:val="001D3A0E"/>
    <w:rsid w:val="001E1485"/>
    <w:rsid w:val="00223DC1"/>
    <w:rsid w:val="00226706"/>
    <w:rsid w:val="00257F94"/>
    <w:rsid w:val="00261E30"/>
    <w:rsid w:val="002656F8"/>
    <w:rsid w:val="002749F5"/>
    <w:rsid w:val="00291F82"/>
    <w:rsid w:val="00295C47"/>
    <w:rsid w:val="00297B56"/>
    <w:rsid w:val="00297E36"/>
    <w:rsid w:val="002B18BD"/>
    <w:rsid w:val="002F4CAC"/>
    <w:rsid w:val="0033758F"/>
    <w:rsid w:val="00351B5A"/>
    <w:rsid w:val="003572E7"/>
    <w:rsid w:val="00357EBC"/>
    <w:rsid w:val="003671F3"/>
    <w:rsid w:val="00377547"/>
    <w:rsid w:val="00377A39"/>
    <w:rsid w:val="003D2C72"/>
    <w:rsid w:val="003D7466"/>
    <w:rsid w:val="003E665A"/>
    <w:rsid w:val="003F069A"/>
    <w:rsid w:val="003F776D"/>
    <w:rsid w:val="0040158A"/>
    <w:rsid w:val="004D40C6"/>
    <w:rsid w:val="004E3A3B"/>
    <w:rsid w:val="004E4251"/>
    <w:rsid w:val="004E71B0"/>
    <w:rsid w:val="004F7328"/>
    <w:rsid w:val="00503BD5"/>
    <w:rsid w:val="00504470"/>
    <w:rsid w:val="00517D45"/>
    <w:rsid w:val="0054280E"/>
    <w:rsid w:val="00560420"/>
    <w:rsid w:val="00594151"/>
    <w:rsid w:val="005B0583"/>
    <w:rsid w:val="005B36F5"/>
    <w:rsid w:val="005C5C3C"/>
    <w:rsid w:val="005E51D1"/>
    <w:rsid w:val="00611250"/>
    <w:rsid w:val="00612BD5"/>
    <w:rsid w:val="00614A32"/>
    <w:rsid w:val="00624139"/>
    <w:rsid w:val="00633542"/>
    <w:rsid w:val="00637C8F"/>
    <w:rsid w:val="00655BAF"/>
    <w:rsid w:val="00660A9F"/>
    <w:rsid w:val="00671047"/>
    <w:rsid w:val="00671DDA"/>
    <w:rsid w:val="0067689F"/>
    <w:rsid w:val="006965BF"/>
    <w:rsid w:val="006A2610"/>
    <w:rsid w:val="006B0A9D"/>
    <w:rsid w:val="006B1765"/>
    <w:rsid w:val="006B22F1"/>
    <w:rsid w:val="006B4DCE"/>
    <w:rsid w:val="006C5647"/>
    <w:rsid w:val="006E4A55"/>
    <w:rsid w:val="006F6E7C"/>
    <w:rsid w:val="007251D1"/>
    <w:rsid w:val="00726F79"/>
    <w:rsid w:val="0073139F"/>
    <w:rsid w:val="007403F4"/>
    <w:rsid w:val="00741B10"/>
    <w:rsid w:val="0076249A"/>
    <w:rsid w:val="00762D43"/>
    <w:rsid w:val="00766970"/>
    <w:rsid w:val="0079015A"/>
    <w:rsid w:val="007C4679"/>
    <w:rsid w:val="007C70CF"/>
    <w:rsid w:val="007E55CF"/>
    <w:rsid w:val="007F1E11"/>
    <w:rsid w:val="00855236"/>
    <w:rsid w:val="00856B0E"/>
    <w:rsid w:val="0087040A"/>
    <w:rsid w:val="00880573"/>
    <w:rsid w:val="00881D10"/>
    <w:rsid w:val="0089178E"/>
    <w:rsid w:val="008A48F0"/>
    <w:rsid w:val="008A5A02"/>
    <w:rsid w:val="008C39A9"/>
    <w:rsid w:val="008D6E06"/>
    <w:rsid w:val="008E2121"/>
    <w:rsid w:val="008E79B1"/>
    <w:rsid w:val="008E7E01"/>
    <w:rsid w:val="00900991"/>
    <w:rsid w:val="009119DF"/>
    <w:rsid w:val="00916CDA"/>
    <w:rsid w:val="00920B85"/>
    <w:rsid w:val="00932334"/>
    <w:rsid w:val="00936190"/>
    <w:rsid w:val="009663D4"/>
    <w:rsid w:val="0098703C"/>
    <w:rsid w:val="00987AD2"/>
    <w:rsid w:val="00996DE1"/>
    <w:rsid w:val="009A3864"/>
    <w:rsid w:val="009D7679"/>
    <w:rsid w:val="009F7355"/>
    <w:rsid w:val="00A0384C"/>
    <w:rsid w:val="00A103EA"/>
    <w:rsid w:val="00A2231D"/>
    <w:rsid w:val="00A40B75"/>
    <w:rsid w:val="00A44A10"/>
    <w:rsid w:val="00A56F78"/>
    <w:rsid w:val="00A73511"/>
    <w:rsid w:val="00A87A01"/>
    <w:rsid w:val="00AA37AC"/>
    <w:rsid w:val="00AB6587"/>
    <w:rsid w:val="00AE7D21"/>
    <w:rsid w:val="00B33FC2"/>
    <w:rsid w:val="00B35C61"/>
    <w:rsid w:val="00B4593F"/>
    <w:rsid w:val="00B63186"/>
    <w:rsid w:val="00B8291D"/>
    <w:rsid w:val="00B918C1"/>
    <w:rsid w:val="00BA4510"/>
    <w:rsid w:val="00BD1DC2"/>
    <w:rsid w:val="00BD3237"/>
    <w:rsid w:val="00BE6192"/>
    <w:rsid w:val="00BF5993"/>
    <w:rsid w:val="00BF61FD"/>
    <w:rsid w:val="00C1499A"/>
    <w:rsid w:val="00C15FE3"/>
    <w:rsid w:val="00C235C3"/>
    <w:rsid w:val="00C550DD"/>
    <w:rsid w:val="00C61140"/>
    <w:rsid w:val="00C64B6E"/>
    <w:rsid w:val="00C7341F"/>
    <w:rsid w:val="00C81EBF"/>
    <w:rsid w:val="00C97505"/>
    <w:rsid w:val="00CA34C3"/>
    <w:rsid w:val="00CA52F8"/>
    <w:rsid w:val="00CC0BAB"/>
    <w:rsid w:val="00CC4CDD"/>
    <w:rsid w:val="00CF1123"/>
    <w:rsid w:val="00D02739"/>
    <w:rsid w:val="00D04524"/>
    <w:rsid w:val="00D20C88"/>
    <w:rsid w:val="00D60CB9"/>
    <w:rsid w:val="00D735F0"/>
    <w:rsid w:val="00D74D9D"/>
    <w:rsid w:val="00D91736"/>
    <w:rsid w:val="00D9400B"/>
    <w:rsid w:val="00DA3476"/>
    <w:rsid w:val="00DA68F0"/>
    <w:rsid w:val="00DC0D7D"/>
    <w:rsid w:val="00DC10AB"/>
    <w:rsid w:val="00DF3B90"/>
    <w:rsid w:val="00E1753D"/>
    <w:rsid w:val="00E1784B"/>
    <w:rsid w:val="00E17DFA"/>
    <w:rsid w:val="00E3006A"/>
    <w:rsid w:val="00E45E6A"/>
    <w:rsid w:val="00E50151"/>
    <w:rsid w:val="00E6789B"/>
    <w:rsid w:val="00E729F4"/>
    <w:rsid w:val="00E751F8"/>
    <w:rsid w:val="00EC0974"/>
    <w:rsid w:val="00EF7B2E"/>
    <w:rsid w:val="00F04DD2"/>
    <w:rsid w:val="00F22F91"/>
    <w:rsid w:val="00F46D44"/>
    <w:rsid w:val="00F74FD3"/>
    <w:rsid w:val="00FA7EAD"/>
    <w:rsid w:val="00FB5DDB"/>
    <w:rsid w:val="00FE658D"/>
    <w:rsid w:val="00FF45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7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9178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locked/>
    <w:rsid w:val="0089178E"/>
    <w:rPr>
      <w:rFonts w:ascii="Calibri" w:eastAsia="宋体" w:hAnsi="Calibri"/>
      <w:sz w:val="18"/>
    </w:rPr>
  </w:style>
  <w:style w:type="paragraph" w:styleId="a4">
    <w:name w:val="footer"/>
    <w:basedOn w:val="a"/>
    <w:link w:val="Char0"/>
    <w:uiPriority w:val="99"/>
    <w:rsid w:val="0089178E"/>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89178E"/>
    <w:rPr>
      <w:rFonts w:ascii="Calibri" w:eastAsia="宋体" w:hAnsi="Calibr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7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9178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locked/>
    <w:rsid w:val="0089178E"/>
    <w:rPr>
      <w:rFonts w:ascii="Calibri" w:eastAsia="宋体" w:hAnsi="Calibri"/>
      <w:sz w:val="18"/>
    </w:rPr>
  </w:style>
  <w:style w:type="paragraph" w:styleId="a4">
    <w:name w:val="footer"/>
    <w:basedOn w:val="a"/>
    <w:link w:val="Char0"/>
    <w:uiPriority w:val="99"/>
    <w:rsid w:val="0089178E"/>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89178E"/>
    <w:rPr>
      <w:rFonts w:ascii="Calibri" w:eastAsia="宋体" w:hAnsi="Calibr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黄同高</dc:creator>
  <cp:lastModifiedBy>黄同高</cp:lastModifiedBy>
  <cp:revision>2</cp:revision>
  <dcterms:created xsi:type="dcterms:W3CDTF">2020-11-09T08:03:00Z</dcterms:created>
  <dcterms:modified xsi:type="dcterms:W3CDTF">2020-11-09T08:03:00Z</dcterms:modified>
</cp:coreProperties>
</file>