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B5" w:rsidRDefault="00321EB5" w:rsidP="00321EB5">
      <w:pPr>
        <w:rPr>
          <w:rFonts w:ascii="仿宋_GB2312" w:eastAsia="仿宋_GB2312"/>
          <w:spacing w:val="-4"/>
          <w:sz w:val="32"/>
          <w:szCs w:val="32"/>
        </w:rPr>
      </w:pPr>
    </w:p>
    <w:p w:rsidR="00321EB5" w:rsidRPr="00321EB5" w:rsidRDefault="00441FAB" w:rsidP="00321EB5">
      <w:pPr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noProof/>
          <w:spacing w:val="-4"/>
          <w:sz w:val="32"/>
          <w:szCs w:val="32"/>
        </w:rPr>
        <w:drawing>
          <wp:inline distT="0" distB="0" distL="0" distR="0">
            <wp:extent cx="5605145" cy="1009650"/>
            <wp:effectExtent l="0" t="0" r="0" b="0"/>
            <wp:docPr id="1" name="图片 1" descr="未标题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5" w:rsidRDefault="00321EB5" w:rsidP="00706D5B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321EB5" w:rsidRDefault="00DF1056" w:rsidP="000B3681"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  <w:r w:rsidRPr="00DF1056">
        <w:rPr>
          <w:rFonts w:ascii="仿宋_GB2312" w:eastAsia="仿宋_GB2312"/>
          <w:noProof/>
          <w:sz w:val="32"/>
          <w:szCs w:val="32"/>
        </w:rPr>
        <w:pict>
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75pt" to="44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0+F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y6aLHESjgy8hxZBorPOfuO5QMEosgXMEJqet84EIKYaQcI/SGyFl&#10;FFsq1Jf4KV9MpjHDaSlY8IY4Zw/7Slp0IjAvm00KXywLPI9hVh8Vi2gtJ2x9sz0R8mrD7VIFPKgF&#10;+Nys60D8WKSL9Xw9z0f5ZLYe5Wldjz5uqnw022QfpvVTXVV19jNQy/KiFYxxFdgNw5nlfyf+7Zlc&#10;x+o+nvc+JG/RY8OA7PCPpKOYQb/rJOw1u+zsIDLMYwy+vZ0w8I97sB9f+OoXAAAA//8DAFBLAwQU&#10;AAYACAAAACEAMwZnfN0AAAAGAQAADwAAAGRycy9kb3ducmV2LnhtbEyPQUvDQBCF74L/YRnBi9hN&#10;SpUQsykiCIoitdVDb9vdMRuanQ3ZbZP+e0c86PHNe7z3TbWcfCeOOMQ2kIJ8loFAMsG21Cj42Dxe&#10;FyBi0mR1FwgVnDDCsj4/q3Rpw0jveFynRnAJxVIrcCn1pZTROPQ6zkKPxN5XGLxOLIdG2kGPXO47&#10;Oc+yW+l1S7zgdI8PDs1+ffAKnq72/fj2cnrebM2ne10NJpfbQqnLi+n+DkTCKf2F4Qef0aFmpl04&#10;kI2iU7DgnIJ5fgOC3aJY8CO734OsK/kfv/4GAAD//wMAUEsBAi0AFAAGAAgAAAAhALaDOJL+AAAA&#10;4QEAABMAAAAAAAAAAAAAAAAAAAAAAFtDb250ZW50X1R5cGVzXS54bWxQSwECLQAUAAYACAAAACEA&#10;OP0h/9YAAACUAQAACwAAAAAAAAAAAAAAAAAvAQAAX3JlbHMvLnJlbHNQSwECLQAUAAYACAAAACEA&#10;AJStPhUCAAApBAAADgAAAAAAAAAAAAAAAAAuAgAAZHJzL2Uyb0RvYy54bWxQSwECLQAUAAYACAAA&#10;ACEAMwZnfN0AAAAGAQAADwAAAAAAAAAAAAAAAABvBAAAZHJzL2Rvd25yZXYueG1sUEsFBgAAAAAE&#10;AAQA8wAAAHkFAAAAAA==&#10;" strokecolor="red" strokeweight="2.75pt"/>
        </w:pict>
      </w:r>
    </w:p>
    <w:p w:rsidR="000B3681" w:rsidRPr="000B3681" w:rsidRDefault="000B3681" w:rsidP="000B3681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0B3681" w:rsidRPr="000B3681" w:rsidRDefault="000B3681" w:rsidP="000B3681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C77A56" w:rsidRPr="00706D5B" w:rsidRDefault="00441FAB" w:rsidP="00706D5B">
      <w:pPr>
        <w:pStyle w:val="a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黑体"/>
          <w:color w:val="000000"/>
          <w:sz w:val="44"/>
          <w:szCs w:val="44"/>
          <w:bdr w:val="none" w:sz="0" w:space="0" w:color="auto" w:frame="1"/>
        </w:rPr>
      </w:pPr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富民</w:t>
      </w:r>
      <w:r w:rsidR="00B134D8"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县</w:t>
      </w:r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财政局</w:t>
      </w:r>
      <w:r w:rsidR="00582061"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202</w:t>
      </w:r>
      <w:r w:rsidR="003C2D12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5</w:t>
      </w:r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年度</w:t>
      </w:r>
      <w:r w:rsidR="0065059C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会计</w:t>
      </w:r>
      <w:r w:rsidR="00C77A56"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领域</w:t>
      </w:r>
    </w:p>
    <w:p w:rsidR="00441FAB" w:rsidRDefault="00441FAB" w:rsidP="00706D5B">
      <w:pPr>
        <w:pStyle w:val="a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黑体"/>
          <w:color w:val="000000"/>
          <w:sz w:val="44"/>
          <w:szCs w:val="44"/>
          <w:bdr w:val="none" w:sz="0" w:space="0" w:color="auto" w:frame="1"/>
        </w:rPr>
      </w:pPr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“双随机、</w:t>
      </w:r>
      <w:proofErr w:type="gramStart"/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一</w:t>
      </w:r>
      <w:proofErr w:type="gramEnd"/>
      <w:r w:rsidRPr="00706D5B">
        <w:rPr>
          <w:rFonts w:ascii="方正小标宋_GBK" w:eastAsia="方正小标宋_GBK" w:hAnsi="黑体" w:hint="eastAsia"/>
          <w:color w:val="000000"/>
          <w:sz w:val="44"/>
          <w:szCs w:val="44"/>
          <w:bdr w:val="none" w:sz="0" w:space="0" w:color="auto" w:frame="1"/>
        </w:rPr>
        <w:t>公开”抽查计划</w:t>
      </w:r>
    </w:p>
    <w:p w:rsidR="00706D5B" w:rsidRPr="00706D5B" w:rsidRDefault="00706D5B" w:rsidP="00706D5B">
      <w:pPr>
        <w:pStyle w:val="a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为认真贯彻落实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市、县</w:t>
      </w:r>
      <w:r w:rsidR="003C2D1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2025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年度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“双随机、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抽查工作目标任务</w:t>
      </w:r>
      <w:r w:rsidR="00582061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，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规范事中事后监管，推进行政监管科学化、规范化，</w:t>
      </w:r>
      <w:r w:rsidR="00582061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确保上级检查任务100%落实到位，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结合我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局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实际，制订本计划。</w:t>
      </w:r>
    </w:p>
    <w:p w:rsidR="00DA2995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Style w:val="a7"/>
          <w:rFonts w:ascii="黑体" w:eastAsia="黑体" w:hAnsi="黑体"/>
          <w:color w:val="000000"/>
          <w:sz w:val="32"/>
          <w:szCs w:val="32"/>
          <w:bdr w:val="none" w:sz="0" w:space="0" w:color="auto" w:frame="1"/>
        </w:rPr>
      </w:pPr>
      <w:r w:rsidRPr="00706D5B">
        <w:rPr>
          <w:rStyle w:val="a7"/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一、总体要求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黑体"/>
          <w:b/>
          <w:bCs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全面推行“双随机、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公开”工作机制。克服“任性”检查、实行“阳光”文明执法，转变监管方式、提升执法效能，随机抽取检查对象，随机选派执法检查人员，及时公布检查结果。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Style w:val="a7"/>
          <w:rFonts w:ascii="黑体" w:eastAsia="黑体" w:hAnsi="黑体"/>
          <w:sz w:val="32"/>
          <w:szCs w:val="32"/>
          <w:bdr w:val="none" w:sz="0" w:space="0" w:color="auto" w:frame="1"/>
        </w:rPr>
      </w:pPr>
      <w:r w:rsidRPr="00706D5B">
        <w:rPr>
          <w:rStyle w:val="a7"/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二、工作任务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（一）执行随机抽查事项清单制度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lastRenderedPageBreak/>
        <w:t>认真梳理法律法规规章赋予的监督检查职责，对照我局权力清单和责任清单，明确抽查事项名称、内容、抽查依据、抽查主体、抽查覆盖率等。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color w:val="000000"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（二）健全随机抽查方式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706D5B">
        <w:rPr>
          <w:rStyle w:val="a7"/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1.随机抽取检查对象方式：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结合实际采取定向与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不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定向相结合的方式组织实施。定向抽查是指按照检查对象类型、行业、性质、经营规模、地理区域等特定条件，通过抽签等方式，随机抽取确定待查对象名单。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不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定向抽查是指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不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设定条件，通过抽签等方式，随机抽取确定待查对象名单。定向抽查与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不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定向抽查要结合应用，兼施并举，确保监督执法效能。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706D5B">
        <w:rPr>
          <w:rStyle w:val="a7"/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2.随机选派执法人员方式：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采取科学编组、随机匹配的方式，检查人员随机从《富民县财政局执法检查人员名录库》中随机选派。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被抽取的行政检查人员与被抽取的检查对象有利害关系的，应当回避，并重新抽取行政检查人员。每次行政检查抽取的检查人员不得少于2人。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color w:val="000000"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（三）合理确定随机抽查比例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按照既要保证必要的抽查覆盖面和工作力度，</w:t>
      </w:r>
      <w:r w:rsidR="00582061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又要防止检查过多和执法扰民的要求，以不影响公正与效率为前提，合理确定随机抽查的比例和频次，但随机抽取检查对象的比例不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低于省市财政部门规定的抽查比例要求;采取区域定向与行业定向相结合方式抽取检查对象的，可以结合实际适当提高比例。对社会关注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lastRenderedPageBreak/>
        <w:t>度高、投诉举报多、风险等级高、有严重违法违规记录等情况的，要加大随机抽查力度，提高抽查比例和频次。对于法律法规规章有规定的，按规定实施；合理安排抽查时间，抽查对象较多的同一抽查事项可分几个时间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段开展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抽查。</w:t>
      </w:r>
    </w:p>
    <w:p w:rsidR="00441FAB" w:rsidRPr="00706D5B" w:rsidRDefault="00075E8C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2025</w:t>
      </w:r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年度</w:t>
      </w:r>
      <w:r w:rsidR="0065059C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会计领域</w:t>
      </w:r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部门</w:t>
      </w:r>
      <w:bookmarkStart w:id="0" w:name="_GoBack"/>
      <w:bookmarkEnd w:id="0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“双随机、</w:t>
      </w:r>
      <w:proofErr w:type="gramStart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公开”抽查计划按全县行政事业单位总数的5%确定抽查</w:t>
      </w:r>
      <w:r w:rsidR="00B134D8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对象</w:t>
      </w:r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；部门联合“双随机、</w:t>
      </w:r>
      <w:proofErr w:type="gramStart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</w:t>
      </w:r>
      <w:proofErr w:type="gramStart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抽查按</w:t>
      </w:r>
      <w:proofErr w:type="gramEnd"/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代理记账机构总数的20%确定抽查</w:t>
      </w:r>
      <w:r w:rsidR="00B134D8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对象</w:t>
      </w:r>
      <w:r w:rsidR="00441FA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color w:val="000000"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（四）强化随机抽查结果应用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财政局各科室组织实施“双随机、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公开”监管工作，应当按照“谁登记、谁检查、谁录入、谁公开”的原则开展抽查工作，及时做好抽查结果记录，并在检查结束后按要求在富民县门户网站“双随机、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公开”公布检查结果，确保随机抽查过程的公平、公正、公开和规范。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对抽查发现的违法行为，依法依规严格惩处，及时向社会公开检查处罚案件信息，接受社会监督。属于其他部门管辖的，及时移送相关部门查处；涉嫌构成犯罪的，依法及时向司法机关移送。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Style w:val="a7"/>
          <w:rFonts w:ascii="黑体" w:eastAsia="黑体" w:hAnsi="黑体"/>
          <w:sz w:val="32"/>
          <w:szCs w:val="32"/>
          <w:bdr w:val="none" w:sz="0" w:space="0" w:color="auto" w:frame="1"/>
        </w:rPr>
      </w:pPr>
      <w:r w:rsidRPr="00706D5B">
        <w:rPr>
          <w:rStyle w:val="a7"/>
          <w:rFonts w:ascii="黑体" w:eastAsia="黑体" w:hAnsi="黑体" w:hint="eastAsia"/>
          <w:color w:val="000000"/>
          <w:sz w:val="32"/>
          <w:szCs w:val="32"/>
          <w:bdr w:val="none" w:sz="0" w:space="0" w:color="auto" w:frame="1"/>
        </w:rPr>
        <w:t>三、工作要求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（一）加强组织领导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成立局检查工作领导小组，根据实施的检查事项确定领导小组组长。各业务科室务必高度认识此项工作的重要性和必要性，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lastRenderedPageBreak/>
        <w:t>切实加强对随机抽查工作的重视和学习，确保随机抽查工作取得明显实效。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color w:val="000000"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（二）严格落实责任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制定抽查计划表，明确工作进度要求，落实责任分工，强化过程管控，确保此项工作落到实处，抓出成效。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楷体_GB2312" w:eastAsia="楷体_GB2312" w:hAnsi="楷体"/>
          <w:b/>
          <w:color w:val="000000"/>
          <w:sz w:val="32"/>
          <w:szCs w:val="32"/>
        </w:rPr>
      </w:pPr>
      <w:r w:rsidRPr="00706D5B">
        <w:rPr>
          <w:rStyle w:val="a7"/>
          <w:rFonts w:ascii="楷体_GB2312" w:eastAsia="楷体_GB2312" w:hAnsi="楷体" w:hint="eastAsia"/>
          <w:b w:val="0"/>
          <w:color w:val="000000"/>
          <w:sz w:val="32"/>
          <w:szCs w:val="32"/>
          <w:bdr w:val="none" w:sz="0" w:space="0" w:color="auto" w:frame="1"/>
        </w:rPr>
        <w:t>（三）强化公平公正执法意识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随机抽查是行政执法监管方式的探索和创新，在开展“双随机、</w:t>
      </w:r>
      <w:proofErr w:type="gramStart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公开”工作中执法人员要加强规范执法意识，加快转变执法理念，不断提高执法能力。</w:t>
      </w:r>
    </w:p>
    <w:p w:rsidR="00706D5B" w:rsidRDefault="00706D5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</w:p>
    <w:p w:rsidR="008F5AA5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附件：1.</w:t>
      </w:r>
      <w:r w:rsidR="00761422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2025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年富民县财政局</w:t>
      </w:r>
      <w:r w:rsidR="003262A6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会计</w:t>
      </w:r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领域县级部门“双随机、</w:t>
      </w:r>
      <w:proofErr w:type="gramStart"/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一</w:t>
      </w:r>
      <w:proofErr w:type="gramEnd"/>
      <w:r w:rsidR="008F5AA5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公开”抽查计划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 xml:space="preserve">      2.</w:t>
      </w:r>
      <w:r w:rsidR="00761422">
        <w:rPr>
          <w:rFonts w:ascii="仿宋_GB2312" w:eastAsia="仿宋_GB2312" w:hint="eastAsia"/>
          <w:sz w:val="32"/>
          <w:szCs w:val="32"/>
        </w:rPr>
        <w:t>2025</w:t>
      </w:r>
      <w:r w:rsidR="008F5AA5" w:rsidRPr="00706D5B">
        <w:rPr>
          <w:rFonts w:ascii="仿宋_GB2312" w:eastAsia="仿宋_GB2312" w:hint="eastAsia"/>
          <w:sz w:val="32"/>
          <w:szCs w:val="32"/>
        </w:rPr>
        <w:t>年富民县财政局</w:t>
      </w:r>
      <w:r w:rsidR="003262A6">
        <w:rPr>
          <w:rFonts w:ascii="仿宋_GB2312" w:eastAsia="仿宋_GB2312" w:hint="eastAsia"/>
          <w:sz w:val="32"/>
          <w:szCs w:val="32"/>
        </w:rPr>
        <w:t>会计</w:t>
      </w:r>
      <w:r w:rsidR="008F5AA5" w:rsidRPr="00706D5B">
        <w:rPr>
          <w:rFonts w:ascii="仿宋_GB2312" w:eastAsia="仿宋_GB2312" w:hint="eastAsia"/>
          <w:sz w:val="32"/>
          <w:szCs w:val="32"/>
        </w:rPr>
        <w:t>领域县级部门联合“双随机、</w:t>
      </w:r>
      <w:proofErr w:type="gramStart"/>
      <w:r w:rsidR="008F5AA5" w:rsidRPr="00706D5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8F5AA5" w:rsidRPr="00706D5B">
        <w:rPr>
          <w:rFonts w:ascii="仿宋_GB2312" w:eastAsia="仿宋_GB2312" w:hint="eastAsia"/>
          <w:sz w:val="32"/>
          <w:szCs w:val="32"/>
        </w:rPr>
        <w:t>公开”抽查计划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</w:p>
    <w:p w:rsidR="00441FAB" w:rsidRPr="00761422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</w:p>
    <w:p w:rsidR="00441FAB" w:rsidRPr="00706D5B" w:rsidRDefault="00E76B24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富民</w:t>
      </w:r>
      <w:r w:rsid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县</w:t>
      </w: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财政局</w:t>
      </w:r>
    </w:p>
    <w:p w:rsidR="00441FAB" w:rsidRPr="00706D5B" w:rsidRDefault="007F2E32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  <w:r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202</w:t>
      </w:r>
      <w:r w:rsidR="00075E8C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5</w:t>
      </w:r>
      <w:r w:rsidR="00E76B24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年</w:t>
      </w:r>
      <w:r w:rsidR="00706D5B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3</w:t>
      </w:r>
      <w:r w:rsidR="00E76B24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月</w:t>
      </w:r>
      <w:r w:rsidR="00075E8C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24</w:t>
      </w:r>
      <w:r w:rsidR="00E76B24" w:rsidRPr="00706D5B">
        <w:rPr>
          <w:rFonts w:ascii="仿宋_GB2312" w:eastAsia="仿宋_GB2312" w:hAnsi="仿宋" w:hint="eastAsia"/>
          <w:color w:val="000000"/>
          <w:sz w:val="32"/>
          <w:szCs w:val="32"/>
          <w:bdr w:val="none" w:sz="0" w:space="0" w:color="auto" w:frame="1"/>
        </w:rPr>
        <w:t>日</w:t>
      </w:r>
    </w:p>
    <w:p w:rsidR="00441FAB" w:rsidRPr="00706D5B" w:rsidRDefault="00441FAB" w:rsidP="00706D5B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  <w:bdr w:val="none" w:sz="0" w:space="0" w:color="auto" w:frame="1"/>
        </w:rPr>
      </w:pPr>
    </w:p>
    <w:p w:rsidR="00321EB5" w:rsidRDefault="00321EB5" w:rsidP="000B3681"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</w:p>
    <w:p w:rsidR="002C51F0" w:rsidRPr="000B3681" w:rsidRDefault="002C51F0" w:rsidP="000B3681"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</w:p>
    <w:p w:rsidR="00321EB5" w:rsidRPr="00C84DCC" w:rsidRDefault="00DF1056" w:rsidP="00321EB5">
      <w:pPr>
        <w:spacing w:line="576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Line 6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15pt" to="442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L1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LJsuc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0tcP/9kAAAAEAQAADwAAAGRycy9kb3ducmV2LnhtbEzOMU/DMBAF4B2J/2AdEkvVOqSi&#10;itI4FQKysdCCWK/xkUTE5zR228Cv52CB8emd3n3FZnK9OtEYOs8GbhYJKOLa244bAy+7ap6BChHZ&#10;Yu+ZDHxSgE15eVFgbv2Zn+m0jY2SEQ45GmhjHHKtQ92Sw7DwA7F07350GCWOjbYjnmXc9TpNkpV2&#10;2LF8aHGg+5bqj+3RGQjVKx2qr1k9S96Wjaf08PD0iMZcX013a1CRpvh3DD98oUMppr0/sg2qNyDu&#10;aGC1BCVllt2moPa/WZeF/o8vvwEAAP//AwBQSwECLQAUAAYACAAAACEAtoM4kv4AAADhAQAAEwAA&#10;AAAAAAAAAAAAAAAAAAAAW0NvbnRlbnRfVHlwZXNdLnhtbFBLAQItABQABgAIAAAAIQA4/SH/1gAA&#10;AJQBAAALAAAAAAAAAAAAAAAAAC8BAABfcmVscy8ucmVsc1BLAQItABQABgAIAAAAIQCL4uL1EgIA&#10;ACgEAAAOAAAAAAAAAAAAAAAAAC4CAABkcnMvZTJvRG9jLnhtbFBLAQItABQABgAIAAAAIQDS1w//&#10;2QAAAAQBAAAPAAAAAAAAAAAAAAAAAGwEAABkcnMvZG93bnJldi54bWxQSwUGAAAAAAQABADzAAAA&#10;cgUAAAAA&#10;"/>
        </w:pict>
      </w:r>
      <w:r>
        <w:rPr>
          <w:rFonts w:ascii="仿宋_GB2312" w:eastAsia="仿宋_GB2312"/>
          <w:noProof/>
          <w:sz w:val="28"/>
          <w:szCs w:val="28"/>
        </w:rPr>
        <w:pict>
          <v:line id="Line 4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35pt" to="442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T2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dZdNFD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BrNUH82QAAAAcBAAAPAAAAZHJzL2Rvd25yZXYueG1sTI7BTsMwEETvSPyDtUjcqANqipvG&#10;qaASl94IFfS4jU0SEa+j2E2Tv2cRBzjOzujty7eT68Roh9B60nC/SEBYqrxpqdZweHu5UyBCRDLY&#10;ebIaZhtgW1xf5ZgZf6FXO5axFgyhkKGGJsY+kzJUjXUYFr63xN2nHxxGjkMtzYAXhrtOPiTJSjps&#10;iT802NtdY6uv8uyYkn6o5z2qwzx35XG93L3vR3Ja395MTxsQ0U7xbww/+qwOBTud/JlMEB3nlIca&#10;VstHEFwrla5BnH4Pssjlf//iGwAA//8DAFBLAQItABQABgAIAAAAIQC2gziS/gAAAOEBAAATAAAA&#10;AAAAAAAAAAAAAAAAAABbQ29udGVudF9UeXBlc10ueG1sUEsBAi0AFAAGAAgAAAAhADj9If/WAAAA&#10;lAEAAAsAAAAAAAAAAAAAAAAALwEAAF9yZWxzLy5yZWxzUEsBAi0AFAAGAAgAAAAhAHblFPYRAgAA&#10;KQQAAA4AAAAAAAAAAAAAAAAALgIAAGRycy9lMm9Eb2MueG1sUEsBAi0AFAAGAAgAAAAhAGs1QfzZ&#10;AAAABwEAAA8AAAAAAAAAAAAAAAAAawQAAGRycy9kb3ducmV2LnhtbFBLBQYAAAAABAAEAPMAAABx&#10;BQAAAAA=&#10;" strokeweight="1.5pt"/>
        </w:pict>
      </w:r>
      <w:r w:rsidR="000B3681">
        <w:rPr>
          <w:rFonts w:ascii="仿宋_GB2312" w:eastAsia="仿宋_GB2312" w:hint="eastAsia"/>
          <w:sz w:val="28"/>
          <w:szCs w:val="28"/>
        </w:rPr>
        <w:t>富民县财政局</w:t>
      </w:r>
      <w:r w:rsidR="00F50E8A">
        <w:rPr>
          <w:rFonts w:ascii="仿宋_GB2312" w:eastAsia="仿宋_GB2312" w:hint="eastAsia"/>
          <w:sz w:val="28"/>
          <w:szCs w:val="28"/>
        </w:rPr>
        <w:t>办公室                        2025年3月24日</w:t>
      </w:r>
      <w:r w:rsidR="00321EB5">
        <w:rPr>
          <w:rFonts w:ascii="仿宋_GB2312" w:eastAsia="仿宋_GB2312" w:hint="eastAsia"/>
          <w:sz w:val="28"/>
          <w:szCs w:val="28"/>
        </w:rPr>
        <w:t>印</w:t>
      </w:r>
    </w:p>
    <w:sectPr w:rsidR="00321EB5" w:rsidRPr="00C84DCC" w:rsidSect="00321EB5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42" w:rsidRDefault="00F01842">
      <w:r>
        <w:separator/>
      </w:r>
    </w:p>
  </w:endnote>
  <w:endnote w:type="continuationSeparator" w:id="1">
    <w:p w:rsidR="00F01842" w:rsidRDefault="00F0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81" w:rsidRDefault="00DF1056" w:rsidP="00F27B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36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681" w:rsidRDefault="000B3681" w:rsidP="000B36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81" w:rsidRPr="000B3681" w:rsidRDefault="000B3681" w:rsidP="00F27BDB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0B3681">
      <w:rPr>
        <w:rStyle w:val="a5"/>
        <w:sz w:val="28"/>
        <w:szCs w:val="28"/>
      </w:rPr>
      <w:t xml:space="preserve">— </w:t>
    </w:r>
    <w:r w:rsidR="00DF1056" w:rsidRPr="000B3681">
      <w:rPr>
        <w:rStyle w:val="a5"/>
        <w:sz w:val="28"/>
        <w:szCs w:val="28"/>
      </w:rPr>
      <w:fldChar w:fldCharType="begin"/>
    </w:r>
    <w:r w:rsidRPr="000B3681">
      <w:rPr>
        <w:rStyle w:val="a5"/>
        <w:sz w:val="28"/>
        <w:szCs w:val="28"/>
      </w:rPr>
      <w:instrText xml:space="preserve">PAGE  </w:instrText>
    </w:r>
    <w:r w:rsidR="00DF1056" w:rsidRPr="000B3681">
      <w:rPr>
        <w:rStyle w:val="a5"/>
        <w:sz w:val="28"/>
        <w:szCs w:val="28"/>
      </w:rPr>
      <w:fldChar w:fldCharType="separate"/>
    </w:r>
    <w:r w:rsidR="00F50E8A">
      <w:rPr>
        <w:rStyle w:val="a5"/>
        <w:noProof/>
        <w:sz w:val="28"/>
        <w:szCs w:val="28"/>
      </w:rPr>
      <w:t>4</w:t>
    </w:r>
    <w:r w:rsidR="00DF1056" w:rsidRPr="000B3681">
      <w:rPr>
        <w:rStyle w:val="a5"/>
        <w:sz w:val="28"/>
        <w:szCs w:val="28"/>
      </w:rPr>
      <w:fldChar w:fldCharType="end"/>
    </w:r>
    <w:r w:rsidRPr="000B3681">
      <w:rPr>
        <w:rStyle w:val="a5"/>
        <w:sz w:val="28"/>
        <w:szCs w:val="28"/>
      </w:rPr>
      <w:t xml:space="preserve"> —</w:t>
    </w:r>
  </w:p>
  <w:p w:rsidR="000B3681" w:rsidRPr="000B3681" w:rsidRDefault="000B3681" w:rsidP="000B3681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42" w:rsidRDefault="00F01842">
      <w:r>
        <w:separator/>
      </w:r>
    </w:p>
  </w:footnote>
  <w:footnote w:type="continuationSeparator" w:id="1">
    <w:p w:rsidR="00F01842" w:rsidRDefault="00F0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81" w:rsidRDefault="000B3681" w:rsidP="000B36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FAB"/>
    <w:rsid w:val="00075E8C"/>
    <w:rsid w:val="000B3681"/>
    <w:rsid w:val="000D2F78"/>
    <w:rsid w:val="0012754C"/>
    <w:rsid w:val="00197313"/>
    <w:rsid w:val="001D4B79"/>
    <w:rsid w:val="0026780B"/>
    <w:rsid w:val="002C51F0"/>
    <w:rsid w:val="00321EB5"/>
    <w:rsid w:val="003262A6"/>
    <w:rsid w:val="00350443"/>
    <w:rsid w:val="003C2D12"/>
    <w:rsid w:val="00410C83"/>
    <w:rsid w:val="00441FAB"/>
    <w:rsid w:val="004568CA"/>
    <w:rsid w:val="004D198A"/>
    <w:rsid w:val="00582061"/>
    <w:rsid w:val="005F7B8B"/>
    <w:rsid w:val="0065059C"/>
    <w:rsid w:val="006A0241"/>
    <w:rsid w:val="006B0C60"/>
    <w:rsid w:val="00706D5B"/>
    <w:rsid w:val="00761422"/>
    <w:rsid w:val="007F2E32"/>
    <w:rsid w:val="008115EB"/>
    <w:rsid w:val="008F5AA5"/>
    <w:rsid w:val="009C77B0"/>
    <w:rsid w:val="009D1003"/>
    <w:rsid w:val="009E57AC"/>
    <w:rsid w:val="00AB6E11"/>
    <w:rsid w:val="00B134D8"/>
    <w:rsid w:val="00C77A56"/>
    <w:rsid w:val="00D7028E"/>
    <w:rsid w:val="00DA2995"/>
    <w:rsid w:val="00DF1056"/>
    <w:rsid w:val="00E76B24"/>
    <w:rsid w:val="00F01842"/>
    <w:rsid w:val="00F27BDB"/>
    <w:rsid w:val="00F5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B3681"/>
  </w:style>
  <w:style w:type="paragraph" w:styleId="a6">
    <w:name w:val="Normal (Web)"/>
    <w:basedOn w:val="a"/>
    <w:uiPriority w:val="99"/>
    <w:unhideWhenUsed/>
    <w:rsid w:val="00441F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441FAB"/>
    <w:rPr>
      <w:b/>
      <w:bCs/>
    </w:rPr>
  </w:style>
  <w:style w:type="paragraph" w:styleId="a8">
    <w:name w:val="Balloon Text"/>
    <w:basedOn w:val="a"/>
    <w:link w:val="Char"/>
    <w:rsid w:val="008F5AA5"/>
    <w:rPr>
      <w:sz w:val="18"/>
      <w:szCs w:val="18"/>
    </w:rPr>
  </w:style>
  <w:style w:type="character" w:customStyle="1" w:styleId="Char">
    <w:name w:val="批注框文本 Char"/>
    <w:basedOn w:val="a0"/>
    <w:link w:val="a8"/>
    <w:rsid w:val="008F5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B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B3681"/>
  </w:style>
  <w:style w:type="paragraph" w:styleId="a6">
    <w:name w:val="Normal (Web)"/>
    <w:basedOn w:val="a"/>
    <w:uiPriority w:val="99"/>
    <w:unhideWhenUsed/>
    <w:rsid w:val="00441F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441FAB"/>
    <w:rPr>
      <w:b/>
      <w:bCs/>
    </w:rPr>
  </w:style>
  <w:style w:type="paragraph" w:styleId="a8">
    <w:name w:val="Balloon Text"/>
    <w:basedOn w:val="a"/>
    <w:link w:val="Char"/>
    <w:rsid w:val="008F5AA5"/>
    <w:rPr>
      <w:sz w:val="18"/>
      <w:szCs w:val="18"/>
    </w:rPr>
  </w:style>
  <w:style w:type="character" w:customStyle="1" w:styleId="Char">
    <w:name w:val="批注框文本 Char"/>
    <w:basedOn w:val="a0"/>
    <w:link w:val="a8"/>
    <w:rsid w:val="008F5A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\Desktop\&#23500;&#36130;%20&#25991;&#20214;&#34900;&#22836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富财 文件衔头模板</Template>
  <TotalTime>149</TotalTime>
  <Pages>4</Pages>
  <Words>1440</Words>
  <Characters>112</Characters>
  <Application>Microsoft Office Word</Application>
  <DocSecurity>0</DocSecurity>
  <Lines>1</Lines>
  <Paragraphs>3</Paragraphs>
  <ScaleCrop>false</ScaleCrop>
  <Company>fmczj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张有武</dc:creator>
  <cp:lastModifiedBy>富民县罗免镇中心卫生院</cp:lastModifiedBy>
  <cp:revision>7</cp:revision>
  <dcterms:created xsi:type="dcterms:W3CDTF">2025-03-14T01:27:00Z</dcterms:created>
  <dcterms:modified xsi:type="dcterms:W3CDTF">2025-04-03T08:51:00Z</dcterms:modified>
</cp:coreProperties>
</file>