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EC8EB">
      <w:pPr>
        <w:spacing w:line="700" w:lineRule="exact"/>
        <w:jc w:val="center"/>
        <w:rPr>
          <w:rFonts w:ascii="方正小标宋简体" w:hAnsi="??" w:eastAsia="方正小标宋简体" w:cs="宋体"/>
          <w:kern w:val="0"/>
          <w:sz w:val="44"/>
          <w:szCs w:val="44"/>
        </w:rPr>
      </w:pPr>
      <w:bookmarkStart w:id="2" w:name="_GoBack"/>
      <w:bookmarkEnd w:id="2"/>
    </w:p>
    <w:p w14:paraId="407190C9">
      <w:pPr>
        <w:spacing w:line="700" w:lineRule="exact"/>
        <w:jc w:val="center"/>
        <w:rPr>
          <w:rFonts w:ascii="方正小标宋简体" w:hAnsi="??" w:eastAsia="方正小标宋简体" w:cs="宋体"/>
          <w:kern w:val="0"/>
          <w:sz w:val="44"/>
          <w:szCs w:val="44"/>
        </w:rPr>
      </w:pPr>
      <w:r>
        <w:rPr>
          <w:rFonts w:hint="eastAsia" w:ascii="方正小标宋简体" w:hAnsi="??" w:eastAsia="方正小标宋简体" w:cs="宋体"/>
          <w:kern w:val="0"/>
          <w:sz w:val="44"/>
          <w:szCs w:val="44"/>
        </w:rPr>
        <w:t>富民县</w:t>
      </w:r>
      <w:r>
        <w:rPr>
          <w:rFonts w:ascii="方正小标宋简体" w:hAnsi="??" w:eastAsia="方正小标宋简体" w:cs="宋体"/>
          <w:kern w:val="0"/>
          <w:sz w:val="44"/>
          <w:szCs w:val="44"/>
        </w:rPr>
        <w:t>2018</w:t>
      </w:r>
      <w:r>
        <w:rPr>
          <w:rFonts w:hint="eastAsia" w:ascii="方正小标宋简体" w:hAnsi="??" w:eastAsia="方正小标宋简体" w:cs="宋体"/>
          <w:kern w:val="0"/>
          <w:sz w:val="44"/>
          <w:szCs w:val="44"/>
        </w:rPr>
        <w:t>年财政预算绩效管理工作总结</w:t>
      </w:r>
    </w:p>
    <w:p w14:paraId="4A80F972">
      <w:pPr>
        <w:spacing w:line="560" w:lineRule="exact"/>
        <w:rPr>
          <w:rFonts w:ascii="方正小标宋_GBK" w:eastAsia="方正小标宋_GBK"/>
          <w:sz w:val="44"/>
          <w:szCs w:val="44"/>
        </w:rPr>
      </w:pPr>
    </w:p>
    <w:p w14:paraId="6D31D4A2">
      <w:pPr>
        <w:spacing w:line="600" w:lineRule="exact"/>
        <w:ind w:firstLine="645"/>
        <w:rPr>
          <w:rFonts w:ascii="仿宋_GB2312" w:eastAsia="仿宋_GB2312"/>
          <w:sz w:val="32"/>
          <w:szCs w:val="32"/>
        </w:rPr>
      </w:pPr>
      <w:r>
        <w:rPr>
          <w:rFonts w:hint="eastAsia" w:ascii="仿宋_GB2312" w:hAnsi="宋体" w:eastAsia="仿宋_GB2312"/>
          <w:sz w:val="32"/>
          <w:szCs w:val="32"/>
        </w:rPr>
        <w:t>富民县</w:t>
      </w:r>
      <w:r>
        <w:rPr>
          <w:rFonts w:ascii="仿宋_GB2312" w:hAnsi="宋体" w:eastAsia="仿宋_GB2312"/>
          <w:sz w:val="32"/>
          <w:szCs w:val="32"/>
        </w:rPr>
        <w:t>2018</w:t>
      </w:r>
      <w:r>
        <w:rPr>
          <w:rFonts w:hint="eastAsia" w:ascii="仿宋_GB2312" w:hAnsi="宋体" w:eastAsia="仿宋_GB2312"/>
          <w:sz w:val="32"/>
          <w:szCs w:val="32"/>
        </w:rPr>
        <w:t>年的预算绩效管理工作，在市财政局的精心指导下，在县委、县政府的高度重视下，通过全县各预算部门的共同努力，圆满完成了预算绩效管理工作的各项任务。在即将过去的一年中，我们认真学</w:t>
      </w:r>
      <w:r>
        <w:rPr>
          <w:rFonts w:hint="eastAsia" w:ascii="仿宋_GB2312" w:eastAsia="仿宋_GB2312"/>
          <w:sz w:val="32"/>
          <w:szCs w:val="32"/>
        </w:rPr>
        <w:t>习了党的路线、方针、政策和党的</w:t>
      </w:r>
      <w:r>
        <w:rPr>
          <w:rFonts w:hint="eastAsia" w:ascii="仿宋_GB2312" w:eastAsia="仿宋_GB2312"/>
          <w:sz w:val="32"/>
          <w:szCs w:val="32"/>
          <w:lang w:eastAsia="zh-CN"/>
        </w:rPr>
        <w:t>十九大精神</w:t>
      </w:r>
      <w:r>
        <w:rPr>
          <w:rFonts w:hint="eastAsia" w:ascii="仿宋_GB2312" w:eastAsia="仿宋_GB2312"/>
          <w:sz w:val="32"/>
          <w:szCs w:val="32"/>
        </w:rPr>
        <w:t>，习近平总书记在十九大报告中提出“加快建立现代财政制度，建立权责清晰，财力协调，区域均衡的中央和地方财政关系。建立全面规范透明、标准科学、约束有力的预算制度，全面实施绩效管理。”绩效二字首次写入党的纲领性文件，这将绩效管理提升到一个前所未有的政治高度，对全面深化财税体制改革意义重大。</w:t>
      </w:r>
      <w:r>
        <w:rPr>
          <w:rFonts w:hint="eastAsia" w:ascii="仿宋_GB2312" w:hAnsi="宋体" w:eastAsia="仿宋_GB2312"/>
          <w:sz w:val="32"/>
          <w:szCs w:val="32"/>
        </w:rPr>
        <w:t>紧紧围绕财政改革和财政管理中心工作，</w:t>
      </w:r>
      <w:r>
        <w:rPr>
          <w:rFonts w:hint="eastAsia" w:eastAsia="仿宋_GB2312"/>
          <w:sz w:val="32"/>
          <w:szCs w:val="32"/>
        </w:rPr>
        <w:t>认真贯彻落实省、市绩效管理工作相关文件精神，</w:t>
      </w:r>
      <w:r>
        <w:rPr>
          <w:rFonts w:hint="eastAsia" w:ascii="仿宋_GB2312" w:eastAsia="仿宋_GB2312" w:cs="仿宋_GB2312"/>
          <w:sz w:val="32"/>
          <w:szCs w:val="32"/>
        </w:rPr>
        <w:t>强化绩效理念，将绩效管理贯穿于预算管理工作的全过程，提升财政资金配置和使用的经济效益、社会效益、生态效益。构建</w:t>
      </w:r>
      <w:r>
        <w:rPr>
          <w:rFonts w:hint="eastAsia" w:ascii="仿宋_GB2312" w:hAnsi="宋体" w:eastAsia="仿宋_GB2312" w:cs="宋体"/>
          <w:bCs/>
          <w:kern w:val="0"/>
          <w:sz w:val="32"/>
          <w:szCs w:val="32"/>
        </w:rPr>
        <w:t>“预算编制有目标、预算执行有监控、预算完成有评价、评价结果有反馈、反馈结果有应用、预算绩效有考核”</w:t>
      </w:r>
      <w:r>
        <w:rPr>
          <w:rFonts w:hint="eastAsia" w:ascii="仿宋_GB2312" w:hAnsi="宋体" w:eastAsia="仿宋_GB2312" w:cs="宋体"/>
          <w:kern w:val="0"/>
          <w:sz w:val="32"/>
          <w:szCs w:val="32"/>
        </w:rPr>
        <w:t>的全过程预算管理新机制</w:t>
      </w:r>
      <w:r>
        <w:rPr>
          <w:rFonts w:hint="eastAsia" w:ascii="仿宋_GB2312" w:eastAsia="仿宋_GB2312" w:cs="仿宋_GB2312"/>
          <w:sz w:val="32"/>
          <w:szCs w:val="32"/>
        </w:rPr>
        <w:t>。</w:t>
      </w:r>
      <w:r>
        <w:rPr>
          <w:rFonts w:hint="eastAsia" w:ascii="仿宋_GB2312" w:eastAsia="仿宋_GB2312"/>
          <w:sz w:val="32"/>
          <w:szCs w:val="32"/>
        </w:rPr>
        <w:t>深入贯彻落实《昆明市人民政府关于全面推进预算绩效管理改革的实施意见》（昆政发〔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12</w:t>
      </w:r>
      <w:r>
        <w:rPr>
          <w:rFonts w:hint="eastAsia" w:ascii="仿宋_GB2312" w:eastAsia="仿宋_GB2312"/>
          <w:sz w:val="32"/>
          <w:szCs w:val="32"/>
        </w:rPr>
        <w:t>号）及《昆明市人民政府办公厅关于分解下达预算绩效管理改革主要任务的通知》（昆政办〔</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61</w:t>
      </w:r>
      <w:r>
        <w:rPr>
          <w:rFonts w:hint="eastAsia" w:ascii="仿宋_GB2312" w:eastAsia="仿宋_GB2312"/>
          <w:sz w:val="32"/>
          <w:szCs w:val="32"/>
        </w:rPr>
        <w:t>号）文件精神，全面推进预算绩效管理改革，不断创新工作思路，积极完善工作机制，狠抓工作落实，现将工作开展情况总结如下</w:t>
      </w:r>
      <w:r>
        <w:rPr>
          <w:rFonts w:ascii="仿宋_GB2312" w:eastAsia="仿宋_GB2312"/>
          <w:sz w:val="32"/>
          <w:szCs w:val="32"/>
        </w:rPr>
        <w:t>:</w:t>
      </w:r>
    </w:p>
    <w:p w14:paraId="25687607">
      <w:pPr>
        <w:spacing w:line="600" w:lineRule="exact"/>
        <w:ind w:firstLine="640" w:firstLineChars="200"/>
        <w:rPr>
          <w:rFonts w:ascii="黑体" w:hAnsi="黑体" w:eastAsia="黑体"/>
          <w:sz w:val="32"/>
          <w:szCs w:val="32"/>
        </w:rPr>
      </w:pPr>
      <w:r>
        <w:rPr>
          <w:rFonts w:hint="eastAsia" w:ascii="黑体" w:hAnsi="黑体" w:eastAsia="黑体" w:cs="仿宋_GB2312"/>
          <w:sz w:val="32"/>
          <w:szCs w:val="32"/>
        </w:rPr>
        <w:t>一、预算绩效管理工作基本情况</w:t>
      </w:r>
    </w:p>
    <w:p w14:paraId="71053757">
      <w:pPr>
        <w:spacing w:line="600" w:lineRule="exact"/>
        <w:ind w:firstLine="640" w:firstLineChars="200"/>
        <w:rPr>
          <w:rFonts w:ascii="仿宋_GB2312" w:eastAsia="仿宋_GB2312"/>
          <w:sz w:val="32"/>
          <w:szCs w:val="32"/>
        </w:rPr>
      </w:pPr>
      <w:r>
        <w:rPr>
          <w:rFonts w:hint="eastAsia" w:ascii="仿宋_GB2312" w:eastAsia="仿宋_GB2312"/>
          <w:sz w:val="32"/>
          <w:szCs w:val="32"/>
        </w:rPr>
        <w:t>习近平总书记在党的十九大报告中提出：“加快建立现代财政制度，建立权责清晰，财力协调，区域均衡的中央和地方财政关系。建立全面规范透明、标准科学、约束有力的预算制度，全面实施绩效管理。”财政预算绩效管理工作首次写入党的纲领性文件，预算绩效管理提升到了一个前所未有的政治高度，对全面深化财税体制改革意义重大。</w:t>
      </w:r>
    </w:p>
    <w:p w14:paraId="5494DBFE">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为建立全面规范、公开透明的政府预算管理制度，推进预算绩效管理改革，强化绩效理念，将绩效管理贯穿于预算管理工作的全过程，提升财政资金配置和使用的经济效益、社会效益、生态效益。构建</w:t>
      </w:r>
      <w:r>
        <w:rPr>
          <w:rFonts w:hint="eastAsia" w:ascii="仿宋_GB2312" w:hAnsi="宋体" w:eastAsia="仿宋_GB2312" w:cs="宋体"/>
          <w:bCs/>
          <w:kern w:val="0"/>
          <w:sz w:val="32"/>
          <w:szCs w:val="32"/>
        </w:rPr>
        <w:t>“预算编制有目标、预算执行有监控、预算完成有评价、评价结果有反馈、反馈结果有应用、预算绩效有考核”</w:t>
      </w:r>
      <w:r>
        <w:rPr>
          <w:rFonts w:hint="eastAsia" w:ascii="仿宋_GB2312" w:hAnsi="宋体" w:eastAsia="仿宋_GB2312" w:cs="宋体"/>
          <w:kern w:val="0"/>
          <w:sz w:val="32"/>
          <w:szCs w:val="32"/>
        </w:rPr>
        <w:t>的全过程预算管理新机制，</w:t>
      </w:r>
      <w:r>
        <w:rPr>
          <w:rFonts w:hint="eastAsia" w:ascii="仿宋_GB2312" w:eastAsia="仿宋_GB2312" w:cs="仿宋_GB2312"/>
          <w:sz w:val="32"/>
          <w:szCs w:val="32"/>
        </w:rPr>
        <w:t>做到“用钱必问效，无效必问责”，确保每一分钱用到实处，发挥最大效益。</w:t>
      </w:r>
      <w:r>
        <w:rPr>
          <w:rFonts w:hint="eastAsia" w:ascii="仿宋_GB2312" w:eastAsia="仿宋_GB2312"/>
          <w:sz w:val="32"/>
          <w:szCs w:val="32"/>
        </w:rPr>
        <w:t>根据《中华人民共和国预算法》、</w:t>
      </w:r>
      <w:r>
        <w:rPr>
          <w:rFonts w:hint="eastAsia" w:ascii="仿宋_GB2312" w:eastAsia="仿宋_GB2312"/>
          <w:bCs/>
          <w:sz w:val="32"/>
          <w:szCs w:val="32"/>
        </w:rPr>
        <w:t>《昆明市人民政府</w:t>
      </w:r>
      <w:r>
        <w:rPr>
          <w:rFonts w:hint="eastAsia" w:eastAsia="仿宋_GB2312"/>
          <w:sz w:val="32"/>
          <w:szCs w:val="32"/>
        </w:rPr>
        <w:t>关于全面推进预算绩效管理改革的实施意见</w:t>
      </w:r>
      <w:r>
        <w:rPr>
          <w:rFonts w:hint="eastAsia" w:ascii="仿宋_GB2312" w:eastAsia="仿宋_GB2312"/>
          <w:bCs/>
          <w:sz w:val="32"/>
          <w:szCs w:val="32"/>
        </w:rPr>
        <w:t>》（昆政发〔</w:t>
      </w:r>
      <w:r>
        <w:rPr>
          <w:rFonts w:ascii="仿宋_GB2312" w:eastAsia="仿宋_GB2312"/>
          <w:bCs/>
          <w:sz w:val="32"/>
          <w:szCs w:val="32"/>
        </w:rPr>
        <w:t>2016</w:t>
      </w:r>
      <w:r>
        <w:rPr>
          <w:rFonts w:hint="eastAsia" w:ascii="仿宋_GB2312" w:eastAsia="仿宋_GB2312"/>
          <w:bCs/>
          <w:sz w:val="32"/>
          <w:szCs w:val="32"/>
        </w:rPr>
        <w:t>〕</w:t>
      </w:r>
      <w:r>
        <w:rPr>
          <w:rFonts w:ascii="仿宋_GB2312" w:eastAsia="仿宋_GB2312"/>
          <w:bCs/>
          <w:sz w:val="32"/>
          <w:szCs w:val="32"/>
        </w:rPr>
        <w:t>12</w:t>
      </w:r>
      <w:r>
        <w:rPr>
          <w:rFonts w:hint="eastAsia" w:ascii="仿宋_GB2312" w:eastAsia="仿宋_GB2312"/>
          <w:bCs/>
          <w:sz w:val="32"/>
          <w:szCs w:val="32"/>
        </w:rPr>
        <w:t>号）和《昆明市预算绩效管理暂行办法》（昆政办〔</w:t>
      </w:r>
      <w:r>
        <w:rPr>
          <w:rFonts w:ascii="仿宋_GB2312" w:eastAsia="仿宋_GB2312"/>
          <w:bCs/>
          <w:sz w:val="32"/>
          <w:szCs w:val="32"/>
        </w:rPr>
        <w:t>2013</w:t>
      </w:r>
      <w:r>
        <w:rPr>
          <w:rFonts w:hint="eastAsia" w:ascii="仿宋_GB2312" w:eastAsia="仿宋_GB2312"/>
          <w:bCs/>
          <w:sz w:val="32"/>
          <w:szCs w:val="32"/>
        </w:rPr>
        <w:t>〕</w:t>
      </w:r>
      <w:r>
        <w:rPr>
          <w:rFonts w:ascii="仿宋_GB2312" w:eastAsia="仿宋_GB2312"/>
          <w:bCs/>
          <w:sz w:val="32"/>
          <w:szCs w:val="32"/>
        </w:rPr>
        <w:t>129</w:t>
      </w:r>
      <w:r>
        <w:rPr>
          <w:rFonts w:hint="eastAsia" w:ascii="仿宋_GB2312" w:eastAsia="仿宋_GB2312"/>
          <w:bCs/>
          <w:sz w:val="32"/>
          <w:szCs w:val="32"/>
        </w:rPr>
        <w:t>号）等有关规定，县人民政府办公室于</w:t>
      </w:r>
      <w:r>
        <w:rPr>
          <w:rFonts w:ascii="仿宋_GB2312" w:eastAsia="仿宋_GB2312"/>
          <w:bCs/>
          <w:sz w:val="32"/>
          <w:szCs w:val="32"/>
        </w:rPr>
        <w:t>2017</w:t>
      </w:r>
      <w:r>
        <w:rPr>
          <w:rFonts w:hint="eastAsia" w:ascii="仿宋_GB2312" w:eastAsia="仿宋_GB2312"/>
          <w:bCs/>
          <w:sz w:val="32"/>
          <w:szCs w:val="32"/>
        </w:rPr>
        <w:t>年年初印发了</w:t>
      </w:r>
      <w:r>
        <w:rPr>
          <w:rFonts w:hint="eastAsia" w:ascii="仿宋_GB2312" w:hAnsi="宋体" w:eastAsia="仿宋_GB2312"/>
          <w:sz w:val="32"/>
          <w:szCs w:val="32"/>
        </w:rPr>
        <w:t>《富民县绩效管理工作方案的通知》，</w:t>
      </w:r>
      <w:r>
        <w:rPr>
          <w:rFonts w:hint="eastAsia" w:ascii="仿宋_GB2312" w:eastAsia="仿宋_GB2312" w:cs="仿宋_GB2312"/>
          <w:sz w:val="32"/>
          <w:szCs w:val="32"/>
        </w:rPr>
        <w:t>按照“政府领导、财政牵头、部门负责、社会参与”的原则，于</w:t>
      </w:r>
      <w:r>
        <w:rPr>
          <w:rFonts w:ascii="仿宋_GB2312" w:eastAsia="仿宋_GB2312" w:cs="仿宋_GB2312"/>
          <w:sz w:val="32"/>
          <w:szCs w:val="32"/>
        </w:rPr>
        <w:t>2017</w:t>
      </w:r>
      <w:r>
        <w:rPr>
          <w:rFonts w:hint="eastAsia" w:ascii="仿宋_GB2312" w:eastAsia="仿宋_GB2312" w:cs="仿宋_GB2312"/>
          <w:sz w:val="32"/>
          <w:szCs w:val="32"/>
        </w:rPr>
        <w:t>年全面实施了财政预算绩效管理工作。</w:t>
      </w:r>
      <w:r>
        <w:rPr>
          <w:rFonts w:ascii="仿宋_GB2312" w:eastAsia="仿宋_GB2312" w:cs="仿宋_GB2312"/>
          <w:sz w:val="32"/>
          <w:szCs w:val="32"/>
        </w:rPr>
        <w:t xml:space="preserve"> </w:t>
      </w:r>
    </w:p>
    <w:p w14:paraId="08972031">
      <w:pPr>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（一）加强组织保障</w:t>
      </w:r>
    </w:p>
    <w:p w14:paraId="7352173D">
      <w:pPr>
        <w:spacing w:line="600" w:lineRule="exact"/>
        <w:ind w:firstLine="640" w:firstLineChars="200"/>
        <w:rPr>
          <w:rFonts w:ascii="仿宋_GB2312" w:hAnsi="楷体" w:eastAsia="仿宋_GB2312" w:cs="楷体"/>
          <w:sz w:val="32"/>
          <w:szCs w:val="32"/>
        </w:rPr>
      </w:pPr>
      <w:r>
        <w:rPr>
          <w:rFonts w:hint="eastAsia" w:ascii="仿宋_GB2312" w:hAnsi="楷体" w:eastAsia="仿宋_GB2312" w:cs="楷体"/>
          <w:sz w:val="32"/>
          <w:szCs w:val="32"/>
        </w:rPr>
        <w:t>为切实推进工作开展，</w:t>
      </w:r>
      <w:r>
        <w:rPr>
          <w:rFonts w:hint="eastAsia" w:ascii="仿宋_GB2312" w:eastAsia="仿宋_GB2312"/>
          <w:sz w:val="32"/>
          <w:szCs w:val="32"/>
        </w:rPr>
        <w:t>富民县机构编制委员会</w:t>
      </w:r>
      <w:r>
        <w:rPr>
          <w:rFonts w:hint="eastAsia" w:ascii="仿宋_GB2312" w:hAnsi="宋体" w:eastAsia="仿宋_GB2312"/>
          <w:sz w:val="32"/>
          <w:szCs w:val="32"/>
        </w:rPr>
        <w:t>下达了《</w:t>
      </w:r>
      <w:r>
        <w:rPr>
          <w:rFonts w:hint="eastAsia" w:ascii="仿宋_GB2312" w:eastAsia="仿宋_GB2312"/>
          <w:sz w:val="32"/>
          <w:szCs w:val="32"/>
        </w:rPr>
        <w:t>关于调整富民县财政局内设机构的批复》</w:t>
      </w:r>
      <w:r>
        <w:rPr>
          <w:rFonts w:ascii="仿宋_GB2312" w:eastAsia="仿宋_GB2312"/>
          <w:sz w:val="32"/>
          <w:szCs w:val="32"/>
        </w:rPr>
        <w:t>(</w:t>
      </w:r>
      <w:r>
        <w:rPr>
          <w:rStyle w:val="7"/>
          <w:rFonts w:hint="eastAsia"/>
          <w:sz w:val="32"/>
          <w:szCs w:val="32"/>
        </w:rPr>
        <w:t>富编〔</w:t>
      </w:r>
      <w:r>
        <w:rPr>
          <w:rStyle w:val="7"/>
          <w:sz w:val="32"/>
          <w:szCs w:val="32"/>
        </w:rPr>
        <w:t>2012</w:t>
      </w:r>
      <w:r>
        <w:rPr>
          <w:rStyle w:val="7"/>
          <w:rFonts w:hint="eastAsia"/>
          <w:sz w:val="32"/>
          <w:szCs w:val="32"/>
        </w:rPr>
        <w:t>〕</w:t>
      </w:r>
      <w:r>
        <w:rPr>
          <w:rStyle w:val="7"/>
          <w:sz w:val="32"/>
          <w:szCs w:val="32"/>
        </w:rPr>
        <w:t>20</w:t>
      </w:r>
      <w:r>
        <w:rPr>
          <w:rStyle w:val="7"/>
          <w:rFonts w:hint="eastAsia"/>
          <w:sz w:val="32"/>
          <w:szCs w:val="32"/>
        </w:rPr>
        <w:t>号</w:t>
      </w:r>
      <w:r>
        <w:rPr>
          <w:rFonts w:ascii="仿宋_GB2312" w:eastAsia="仿宋_GB2312"/>
          <w:sz w:val="32"/>
          <w:szCs w:val="32"/>
        </w:rPr>
        <w:t>)</w:t>
      </w:r>
      <w:r>
        <w:rPr>
          <w:rFonts w:hint="eastAsia" w:ascii="仿宋_GB2312" w:hAnsi="宋体" w:eastAsia="仿宋_GB2312"/>
          <w:sz w:val="32"/>
          <w:szCs w:val="32"/>
        </w:rPr>
        <w:t>，富民县财政局增设预算绩效管理科，负责落实全县各级各部门财政预算绩效管理工作。为使镇（街）绩效管理工作与县级同步进行</w:t>
      </w:r>
      <w:r>
        <w:rPr>
          <w:rFonts w:ascii="仿宋_GB2312" w:hAnsi="宋体" w:eastAsia="仿宋_GB2312"/>
          <w:sz w:val="32"/>
          <w:szCs w:val="32"/>
        </w:rPr>
        <w:t>,</w:t>
      </w:r>
      <w:r>
        <w:rPr>
          <w:rFonts w:hint="eastAsia" w:ascii="仿宋_GB2312" w:hAnsi="宋体" w:eastAsia="仿宋_GB2312"/>
          <w:sz w:val="32"/>
          <w:szCs w:val="32"/>
        </w:rPr>
        <w:t>实现全县绩效管理工作全覆盖，在镇（街道）财政所设置了绩效管理岗位，由资金会计负责本级绩效管理工作。各</w:t>
      </w:r>
      <w:r>
        <w:rPr>
          <w:rFonts w:hint="eastAsia" w:ascii="仿宋_GB2312" w:hAnsi="楷体" w:eastAsia="仿宋_GB2312" w:cs="楷体"/>
          <w:sz w:val="32"/>
          <w:szCs w:val="32"/>
        </w:rPr>
        <w:t>预算单位也</w:t>
      </w:r>
      <w:r>
        <w:rPr>
          <w:rFonts w:hint="eastAsia" w:ascii="仿宋_GB2312" w:hAnsi="宋体" w:eastAsia="仿宋_GB2312"/>
          <w:bCs/>
          <w:sz w:val="32"/>
          <w:szCs w:val="32"/>
        </w:rPr>
        <w:t>成立了由部门主要领导为组长，财务部门、相关业务部门和单位内部纪检监督部门等有关人员组成的本单位预算绩效管理工作领导小组，并报县财政局备案。领导小组确定了一名联络员负责与财政部门联系、协调和落实财政预算绩效管理具体业务工作。预算单位领导小组负责对</w:t>
      </w:r>
      <w:r>
        <w:rPr>
          <w:rFonts w:hint="eastAsia" w:ascii="仿宋_GB2312" w:hAnsi="仿宋_GB2312" w:eastAsia="仿宋_GB2312" w:cs="仿宋_GB2312"/>
          <w:kern w:val="0"/>
          <w:sz w:val="32"/>
          <w:szCs w:val="32"/>
        </w:rPr>
        <w:t>本部门机关及下级机构</w:t>
      </w:r>
      <w:r>
        <w:rPr>
          <w:rFonts w:hint="eastAsia" w:ascii="仿宋_GB2312" w:hAnsi="宋体" w:eastAsia="仿宋_GB2312"/>
          <w:bCs/>
          <w:sz w:val="32"/>
          <w:szCs w:val="32"/>
        </w:rPr>
        <w:t>的财政资金绩效管理工作。</w:t>
      </w:r>
    </w:p>
    <w:p w14:paraId="031D9288">
      <w:pPr>
        <w:spacing w:line="600" w:lineRule="exact"/>
        <w:ind w:firstLine="640" w:firstLineChars="200"/>
        <w:rPr>
          <w:rFonts w:ascii="仿宋_GB2312" w:eastAsia="仿宋_GB2312"/>
          <w:sz w:val="32"/>
          <w:szCs w:val="32"/>
        </w:rPr>
      </w:pPr>
      <w:r>
        <w:rPr>
          <w:rFonts w:hint="eastAsia" w:ascii="仿宋_GB2312" w:hAnsi="宋体" w:eastAsia="仿宋_GB2312"/>
          <w:sz w:val="32"/>
          <w:szCs w:val="32"/>
        </w:rPr>
        <w:t>按照政府主导，财政落实的工作机制，</w:t>
      </w:r>
      <w:r>
        <w:rPr>
          <w:rFonts w:hint="eastAsia" w:ascii="仿宋_GB2312" w:hAnsi="楷体" w:eastAsia="仿宋_GB2312"/>
          <w:sz w:val="32"/>
          <w:szCs w:val="32"/>
        </w:rPr>
        <w:t>县财政局成立了以局长为组长，副局长为副组长，相关业务科科长、财政所长为成员的全县预算绩效管理工作领导小组，切实</w:t>
      </w:r>
      <w:r>
        <w:rPr>
          <w:rFonts w:hint="eastAsia" w:ascii="仿宋_GB2312" w:eastAsia="仿宋_GB2312"/>
          <w:sz w:val="32"/>
          <w:szCs w:val="32"/>
        </w:rPr>
        <w:t>解决预算绩效管理工作中存在的问题，协调、落实、推进全县预算绩效管理工作的有序开展。</w:t>
      </w:r>
    </w:p>
    <w:p w14:paraId="35155C54">
      <w:pPr>
        <w:spacing w:line="600" w:lineRule="exact"/>
        <w:ind w:firstLine="640" w:firstLineChars="200"/>
        <w:rPr>
          <w:rFonts w:ascii="楷体" w:hAnsi="楷体" w:eastAsia="楷体"/>
          <w:sz w:val="32"/>
          <w:szCs w:val="32"/>
        </w:rPr>
      </w:pPr>
      <w:r>
        <w:rPr>
          <w:rFonts w:hint="eastAsia" w:ascii="楷体" w:hAnsi="楷体" w:eastAsia="楷体"/>
          <w:sz w:val="32"/>
          <w:szCs w:val="32"/>
        </w:rPr>
        <w:t>（二）完善制度建设</w:t>
      </w:r>
    </w:p>
    <w:p w14:paraId="414B603E">
      <w:pPr>
        <w:spacing w:line="600" w:lineRule="exact"/>
        <w:ind w:firstLine="640" w:firstLineChars="200"/>
        <w:rPr>
          <w:rFonts w:ascii="仿宋_GB2312" w:hAnsi="楷体" w:eastAsia="仿宋_GB2312"/>
          <w:sz w:val="32"/>
          <w:szCs w:val="32"/>
        </w:rPr>
      </w:pPr>
      <w:r>
        <w:rPr>
          <w:rFonts w:hint="eastAsia" w:ascii="仿宋_GB2312" w:hAnsi="仿宋" w:eastAsia="仿宋_GB2312" w:cs="仿宋"/>
          <w:sz w:val="32"/>
          <w:szCs w:val="32"/>
        </w:rPr>
        <w:t>结合《昆明市人民政府关于全面推进预算绩效管理改革的实施意见》（昆政发〔</w:t>
      </w:r>
      <w:r>
        <w:rPr>
          <w:rFonts w:ascii="仿宋_GB2312" w:hAnsi="仿宋" w:eastAsia="仿宋_GB2312" w:cs="仿宋"/>
          <w:sz w:val="32"/>
          <w:szCs w:val="32"/>
        </w:rPr>
        <w:t>2016</w:t>
      </w:r>
      <w:r>
        <w:rPr>
          <w:rFonts w:hint="eastAsia" w:ascii="仿宋_GB2312" w:hAnsi="仿宋" w:eastAsia="仿宋_GB2312" w:cs="仿宋"/>
          <w:sz w:val="32"/>
          <w:szCs w:val="32"/>
        </w:rPr>
        <w:t>〕</w:t>
      </w:r>
      <w:r>
        <w:rPr>
          <w:rFonts w:ascii="仿宋_GB2312" w:hAnsi="仿宋" w:eastAsia="仿宋_GB2312" w:cs="仿宋"/>
          <w:sz w:val="32"/>
          <w:szCs w:val="32"/>
        </w:rPr>
        <w:t>12</w:t>
      </w:r>
      <w:r>
        <w:rPr>
          <w:rFonts w:hint="eastAsia" w:ascii="仿宋_GB2312" w:hAnsi="仿宋" w:eastAsia="仿宋_GB2312" w:cs="仿宋"/>
          <w:sz w:val="32"/>
          <w:szCs w:val="32"/>
        </w:rPr>
        <w:t>号）、《昆明市财政局</w:t>
      </w:r>
      <w:r>
        <w:rPr>
          <w:rFonts w:ascii="仿宋_GB2312" w:hAnsi="仿宋" w:eastAsia="仿宋_GB2312" w:cs="仿宋"/>
          <w:sz w:val="32"/>
          <w:szCs w:val="32"/>
        </w:rPr>
        <w:t xml:space="preserve"> </w:t>
      </w:r>
      <w:r>
        <w:rPr>
          <w:rFonts w:hint="eastAsia" w:ascii="仿宋_GB2312" w:hAnsi="仿宋" w:eastAsia="仿宋_GB2312" w:cs="仿宋"/>
          <w:sz w:val="32"/>
          <w:szCs w:val="32"/>
        </w:rPr>
        <w:t>市委、市政府目督办关于印发</w:t>
      </w:r>
      <w:r>
        <w:rPr>
          <w:rFonts w:ascii="仿宋_GB2312" w:hAnsi="仿宋" w:eastAsia="仿宋_GB2312" w:cs="仿宋"/>
          <w:sz w:val="32"/>
          <w:szCs w:val="32"/>
        </w:rPr>
        <w:t>&lt;</w:t>
      </w:r>
      <w:r>
        <w:rPr>
          <w:rFonts w:hint="eastAsia" w:ascii="仿宋_GB2312" w:hAnsi="仿宋" w:eastAsia="仿宋_GB2312" w:cs="仿宋"/>
          <w:sz w:val="32"/>
          <w:szCs w:val="32"/>
        </w:rPr>
        <w:t>昆明市预算绩效管理工作考核办法（试行）</w:t>
      </w:r>
      <w:r>
        <w:rPr>
          <w:rFonts w:ascii="仿宋_GB2312" w:hAnsi="仿宋" w:eastAsia="仿宋_GB2312" w:cs="仿宋"/>
          <w:sz w:val="32"/>
          <w:szCs w:val="32"/>
        </w:rPr>
        <w:t>&gt;</w:t>
      </w:r>
      <w:r>
        <w:rPr>
          <w:rFonts w:hint="eastAsia" w:ascii="仿宋_GB2312" w:hAnsi="仿宋" w:eastAsia="仿宋_GB2312" w:cs="仿宋"/>
          <w:sz w:val="32"/>
          <w:szCs w:val="32"/>
        </w:rPr>
        <w:t>的通知》（昆财绩〔</w:t>
      </w:r>
      <w:r>
        <w:rPr>
          <w:rFonts w:ascii="仿宋_GB2312" w:hAnsi="仿宋" w:eastAsia="仿宋_GB2312" w:cs="仿宋"/>
          <w:sz w:val="32"/>
          <w:szCs w:val="32"/>
        </w:rPr>
        <w:t>2016</w:t>
      </w:r>
      <w:r>
        <w:rPr>
          <w:rFonts w:hint="eastAsia" w:ascii="仿宋_GB2312" w:hAnsi="仿宋" w:eastAsia="仿宋_GB2312" w:cs="仿宋"/>
          <w:sz w:val="32"/>
          <w:szCs w:val="32"/>
        </w:rPr>
        <w:t>〕</w:t>
      </w:r>
      <w:r>
        <w:rPr>
          <w:rFonts w:ascii="仿宋_GB2312" w:hAnsi="仿宋" w:eastAsia="仿宋_GB2312" w:cs="仿宋"/>
          <w:sz w:val="32"/>
          <w:szCs w:val="32"/>
        </w:rPr>
        <w:t>83</w:t>
      </w:r>
      <w:r>
        <w:rPr>
          <w:rFonts w:hint="eastAsia" w:ascii="仿宋_GB2312" w:hAnsi="仿宋" w:eastAsia="仿宋_GB2312" w:cs="仿宋"/>
          <w:sz w:val="32"/>
          <w:szCs w:val="32"/>
        </w:rPr>
        <w:t>号）等相关文件要求，富民县先后</w:t>
      </w:r>
      <w:r>
        <w:rPr>
          <w:rFonts w:hint="eastAsia" w:ascii="仿宋" w:hAnsi="仿宋" w:eastAsia="仿宋" w:cs="仿宋"/>
          <w:sz w:val="32"/>
          <w:szCs w:val="32"/>
        </w:rPr>
        <w:t>出台了</w:t>
      </w:r>
      <w:r>
        <w:rPr>
          <w:rFonts w:ascii="仿宋" w:hAnsi="仿宋" w:eastAsia="仿宋" w:cs="仿宋"/>
          <w:sz w:val="32"/>
          <w:szCs w:val="32"/>
        </w:rPr>
        <w:t>8</w:t>
      </w:r>
      <w:r>
        <w:rPr>
          <w:rFonts w:hint="eastAsia" w:ascii="仿宋_GB2312" w:hAnsi="仿宋" w:eastAsia="仿宋_GB2312" w:cs="仿宋"/>
          <w:sz w:val="32"/>
          <w:szCs w:val="32"/>
        </w:rPr>
        <w:t>项制度，分别是：</w:t>
      </w:r>
      <w:r>
        <w:rPr>
          <w:rFonts w:hint="eastAsia" w:ascii="仿宋_GB2312" w:hAnsi="宋体" w:eastAsia="仿宋_GB2312"/>
          <w:sz w:val="32"/>
          <w:szCs w:val="32"/>
        </w:rPr>
        <w:t>《富民县人民政府办公室关于印发绩效管理工作方案的通知》、</w:t>
      </w:r>
      <w:r>
        <w:rPr>
          <w:rStyle w:val="7"/>
          <w:rFonts w:hint="eastAsia"/>
          <w:sz w:val="32"/>
          <w:szCs w:val="32"/>
        </w:rPr>
        <w:t>《富民县人民政府关于印发富民县全面推进预算绩效管理改革的实施意见》、</w:t>
      </w:r>
      <w:r>
        <w:rPr>
          <w:rFonts w:hint="eastAsia" w:ascii="仿宋_GB2312" w:hAnsi="宋体" w:eastAsia="仿宋_GB2312" w:cs="宋体"/>
          <w:sz w:val="32"/>
          <w:szCs w:val="32"/>
        </w:rPr>
        <w:t>《富民县财政支出绩效评价实施办法》、</w:t>
      </w:r>
      <w:r>
        <w:rPr>
          <w:rFonts w:hint="eastAsia" w:ascii="仿宋_GB2312" w:eastAsia="仿宋_GB2312"/>
          <w:sz w:val="32"/>
          <w:szCs w:val="32"/>
        </w:rPr>
        <w:t>《富民县财政预算绩效目标管理暂行办法》、</w:t>
      </w:r>
      <w:r>
        <w:rPr>
          <w:rFonts w:hint="eastAsia" w:ascii="仿宋_GB2312" w:hAnsi="宋体" w:eastAsia="仿宋_GB2312" w:cs="宋体"/>
          <w:sz w:val="32"/>
          <w:szCs w:val="32"/>
        </w:rPr>
        <w:t>《富民县财政局关于印发富民县财政性资金绩效评价操作流程指南》、《富民县财政局关于印发富民县预算绩效管理工作动态目标考核实施细则（试行）》的通知》、《富民县财政局关于成立预算绩效管理工作领导小组的通知》、《富民县财政局关于公开预算绩效管理信息的通知》。以上文件的出台，为富民县财政</w:t>
      </w:r>
      <w:r>
        <w:rPr>
          <w:rFonts w:hint="eastAsia" w:ascii="仿宋_GB2312" w:hAnsi="楷体" w:eastAsia="仿宋_GB2312"/>
          <w:sz w:val="32"/>
          <w:szCs w:val="32"/>
        </w:rPr>
        <w:t>预算绩效管理工作提供了制度保障。</w:t>
      </w:r>
    </w:p>
    <w:p w14:paraId="202911A9">
      <w:pPr>
        <w:spacing w:line="600" w:lineRule="exact"/>
        <w:ind w:firstLine="640" w:firstLineChars="200"/>
        <w:rPr>
          <w:rFonts w:ascii="楷体" w:hAnsi="楷体" w:eastAsia="楷体"/>
          <w:sz w:val="32"/>
          <w:szCs w:val="32"/>
        </w:rPr>
      </w:pPr>
      <w:r>
        <w:rPr>
          <w:rFonts w:hint="eastAsia" w:ascii="楷体" w:hAnsi="楷体" w:eastAsia="楷体"/>
          <w:sz w:val="32"/>
          <w:szCs w:val="32"/>
        </w:rPr>
        <w:t>（三）科学设置评价指标体系</w:t>
      </w:r>
    </w:p>
    <w:p w14:paraId="079ECC96">
      <w:pPr>
        <w:spacing w:line="600" w:lineRule="exact"/>
        <w:ind w:firstLine="640" w:firstLineChars="200"/>
        <w:rPr>
          <w:rFonts w:ascii="仿宋_GB2312" w:hAnsi="仿宋_GB2312" w:eastAsia="仿宋_GB2312"/>
          <w:sz w:val="32"/>
        </w:rPr>
      </w:pPr>
      <w:r>
        <w:rPr>
          <w:rFonts w:hint="eastAsia" w:ascii="仿宋_GB2312" w:hAnsi="宋体" w:eastAsia="仿宋_GB2312" w:cs="仿宋_GB2312"/>
          <w:sz w:val="32"/>
          <w:szCs w:val="32"/>
        </w:rPr>
        <w:t>根据财政预算绩效管理工作要求及业务规范，结合县级</w:t>
      </w:r>
      <w:r>
        <w:rPr>
          <w:rFonts w:hint="eastAsia" w:ascii="仿宋_GB2312" w:hAnsi="宋体" w:eastAsia="仿宋_GB2312"/>
          <w:sz w:val="32"/>
          <w:szCs w:val="32"/>
        </w:rPr>
        <w:t>政府职能部门的行业特点，</w:t>
      </w:r>
      <w:r>
        <w:rPr>
          <w:rFonts w:hint="eastAsia" w:ascii="仿宋_GB2312" w:hAnsi="仿宋_GB2312" w:eastAsia="仿宋_GB2312"/>
          <w:sz w:val="32"/>
        </w:rPr>
        <w:t>制定完善了具有</w:t>
      </w:r>
      <w:r>
        <w:rPr>
          <w:rFonts w:hint="eastAsia" w:ascii="仿宋_GB2312" w:hAnsi="宋体" w:eastAsia="仿宋_GB2312"/>
          <w:sz w:val="32"/>
          <w:szCs w:val="32"/>
        </w:rPr>
        <w:t>针对性、合理性和可操作性的</w:t>
      </w:r>
      <w:r>
        <w:rPr>
          <w:rFonts w:hint="eastAsia" w:ascii="仿宋_GB2312" w:hAnsi="仿宋_GB2312" w:eastAsia="仿宋_GB2312"/>
          <w:sz w:val="32"/>
        </w:rPr>
        <w:t>富民县财政支出绩效评价指标体系。绩效指标体系涵盖</w:t>
      </w:r>
      <w:r>
        <w:rPr>
          <w:rFonts w:ascii="仿宋_GB2312" w:hAnsi="仿宋_GB2312" w:eastAsia="仿宋_GB2312"/>
          <w:sz w:val="32"/>
        </w:rPr>
        <w:t>3</w:t>
      </w:r>
      <w:r>
        <w:rPr>
          <w:rFonts w:hint="eastAsia" w:ascii="仿宋_GB2312" w:hAnsi="仿宋_GB2312" w:eastAsia="仿宋_GB2312"/>
          <w:sz w:val="32"/>
        </w:rPr>
        <w:t>个层级，一级指标</w:t>
      </w:r>
      <w:r>
        <w:rPr>
          <w:rFonts w:ascii="仿宋_GB2312" w:hAnsi="仿宋_GB2312" w:eastAsia="仿宋_GB2312"/>
          <w:sz w:val="32"/>
        </w:rPr>
        <w:t>3</w:t>
      </w:r>
      <w:r>
        <w:rPr>
          <w:rFonts w:hint="eastAsia" w:ascii="仿宋_GB2312" w:hAnsi="仿宋_GB2312" w:eastAsia="仿宋_GB2312"/>
          <w:sz w:val="32"/>
        </w:rPr>
        <w:t>个，二级指标</w:t>
      </w:r>
      <w:r>
        <w:rPr>
          <w:rFonts w:ascii="仿宋_GB2312" w:hAnsi="仿宋_GB2312" w:eastAsia="仿宋_GB2312"/>
          <w:sz w:val="32"/>
        </w:rPr>
        <w:t>10</w:t>
      </w:r>
      <w:r>
        <w:rPr>
          <w:rFonts w:hint="eastAsia" w:ascii="仿宋_GB2312" w:hAnsi="仿宋_GB2312" w:eastAsia="仿宋_GB2312"/>
          <w:sz w:val="32"/>
        </w:rPr>
        <w:t>个，三级指标若干。为方便各部门（预算单位）科学、准确的把握三级指标，分行业、分项目、分类别，设置了</w:t>
      </w:r>
      <w:r>
        <w:rPr>
          <w:rFonts w:ascii="仿宋_GB2312" w:hAnsi="仿宋_GB2312" w:eastAsia="仿宋_GB2312"/>
          <w:sz w:val="32"/>
        </w:rPr>
        <w:t>87</w:t>
      </w:r>
      <w:r>
        <w:rPr>
          <w:rFonts w:hint="eastAsia" w:ascii="仿宋_GB2312" w:hAnsi="仿宋_GB2312" w:eastAsia="仿宋_GB2312"/>
          <w:sz w:val="32"/>
        </w:rPr>
        <w:t>个绩效目标申报表参考模板和一个指标库。指标库包涵若干个三级指标，以供各部门（预算单位）在编制绩效目标申报表和进行绩效自评时作参考。</w:t>
      </w:r>
    </w:p>
    <w:p w14:paraId="38A2A6CE">
      <w:pPr>
        <w:spacing w:line="600" w:lineRule="exact"/>
        <w:ind w:firstLine="640" w:firstLineChars="200"/>
        <w:rPr>
          <w:rFonts w:ascii="楷体" w:hAnsi="楷体" w:eastAsia="楷体"/>
          <w:sz w:val="32"/>
          <w:szCs w:val="32"/>
        </w:rPr>
      </w:pPr>
      <w:r>
        <w:rPr>
          <w:rFonts w:hint="eastAsia" w:ascii="楷体" w:hAnsi="楷体" w:eastAsia="楷体"/>
          <w:sz w:val="32"/>
          <w:szCs w:val="32"/>
        </w:rPr>
        <w:t>（四）强化</w:t>
      </w:r>
      <w:r>
        <w:rPr>
          <w:rFonts w:hint="eastAsia" w:ascii="楷体" w:hAnsi="楷体" w:eastAsia="楷体" w:cs="仿宋_GB2312"/>
          <w:bCs/>
          <w:sz w:val="32"/>
          <w:szCs w:val="32"/>
        </w:rPr>
        <w:t>业务培训</w:t>
      </w:r>
    </w:p>
    <w:p w14:paraId="6FE09F15">
      <w:pPr>
        <w:spacing w:line="600" w:lineRule="exact"/>
        <w:ind w:firstLine="640" w:firstLineChars="200"/>
        <w:rPr>
          <w:rFonts w:ascii="仿宋_GB2312" w:eastAsia="仿宋_GB2312"/>
          <w:spacing w:val="6"/>
          <w:sz w:val="32"/>
          <w:szCs w:val="32"/>
        </w:rPr>
      </w:pPr>
      <w:r>
        <w:rPr>
          <w:rFonts w:hint="eastAsia" w:ascii="仿宋_GB2312" w:eastAsia="仿宋_GB2312"/>
          <w:sz w:val="32"/>
          <w:szCs w:val="32"/>
        </w:rPr>
        <w:t>为统一思想，提高认识，提升业务，推动全县预算绩效管理工作顺利开展，此项工作</w:t>
      </w:r>
      <w:r>
        <w:rPr>
          <w:rFonts w:hint="eastAsia" w:ascii="仿宋_GB2312" w:hAnsi="仿宋_GB2312" w:eastAsia="仿宋_GB2312" w:cs="仿宋_GB2312"/>
          <w:sz w:val="32"/>
          <w:szCs w:val="32"/>
        </w:rPr>
        <w:t>开展以来，共</w:t>
      </w:r>
      <w:r>
        <w:rPr>
          <w:rFonts w:hint="eastAsia" w:ascii="仿宋_GB2312" w:eastAsia="仿宋_GB2312"/>
          <w:sz w:val="32"/>
          <w:szCs w:val="32"/>
        </w:rPr>
        <w:t>举办了四期</w:t>
      </w:r>
      <w:r>
        <w:rPr>
          <w:rFonts w:ascii="仿宋_GB2312" w:eastAsia="仿宋_GB2312"/>
          <w:sz w:val="32"/>
          <w:szCs w:val="32"/>
        </w:rPr>
        <w:t>451</w:t>
      </w:r>
      <w:r>
        <w:rPr>
          <w:rFonts w:hint="eastAsia" w:ascii="仿宋_GB2312" w:eastAsia="仿宋_GB2312"/>
          <w:sz w:val="32"/>
          <w:szCs w:val="32"/>
        </w:rPr>
        <w:t>人次的专题业务培训。参训</w:t>
      </w:r>
      <w:r>
        <w:rPr>
          <w:rFonts w:hint="eastAsia" w:ascii="仿宋_GB2312" w:eastAsia="仿宋_GB2312"/>
          <w:spacing w:val="6"/>
          <w:sz w:val="32"/>
          <w:szCs w:val="32"/>
        </w:rPr>
        <w:t>对象为各部门（预算单位）分管领导及业务操作人员。</w:t>
      </w:r>
      <w:r>
        <w:rPr>
          <w:rFonts w:hint="eastAsia" w:ascii="仿宋_GB2312" w:eastAsia="仿宋_GB2312"/>
          <w:sz w:val="32"/>
          <w:szCs w:val="32"/>
        </w:rPr>
        <w:t>邀请了市财政局预算绩效管理处处长和业务骨干就财政预算绩效管理工作的形势和任务以及绩效目标申报、绩效跟踪监控、绩效评价等相关业务知识进行了培训。</w:t>
      </w:r>
    </w:p>
    <w:p w14:paraId="308174C1">
      <w:pPr>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通过培训，使</w:t>
      </w:r>
      <w:r>
        <w:rPr>
          <w:rFonts w:hint="eastAsia" w:ascii="仿宋_GB2312" w:eastAsia="仿宋_GB2312"/>
          <w:sz w:val="32"/>
          <w:szCs w:val="32"/>
          <w:shd w:val="clear" w:color="auto" w:fill="FFFFFF"/>
        </w:rPr>
        <w:t>各部门领导和绩效管理工作人员在弄清弄懂预算绩效管理内涵、掌握政策要求的基础上，切实打破原有的“重投入、轻产出”，“重分配、轻管理”，“重数量、轻质量”的粗放式财政预算资金管理方式，进一步强化“花钱问效”的预算绩效管理理念，切实增强政府财政预算与执行的大局意识、责任意识，提高财政预算绩效管理工作的积极性和主动性。</w:t>
      </w:r>
    </w:p>
    <w:p w14:paraId="0A0C5E40">
      <w:pPr>
        <w:spacing w:line="60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（五）</w:t>
      </w:r>
      <w:r>
        <w:rPr>
          <w:rFonts w:hint="eastAsia" w:ascii="楷体" w:hAnsi="楷体" w:eastAsia="楷体" w:cs="楷体"/>
          <w:sz w:val="32"/>
          <w:szCs w:val="32"/>
        </w:rPr>
        <w:t>财政资金绩效管理实现全覆盖</w:t>
      </w:r>
    </w:p>
    <w:p w14:paraId="30B18131">
      <w:pPr>
        <w:spacing w:line="600" w:lineRule="exact"/>
        <w:ind w:firstLine="640" w:firstLineChars="200"/>
        <w:jc w:val="left"/>
        <w:rPr>
          <w:rFonts w:ascii="仿宋_GB2312" w:eastAsia="仿宋_GB2312"/>
          <w:sz w:val="32"/>
          <w:szCs w:val="32"/>
        </w:rPr>
      </w:pPr>
      <w:r>
        <w:rPr>
          <w:rFonts w:ascii="仿宋_GB2312" w:eastAsia="仿宋_GB2312"/>
          <w:sz w:val="32"/>
          <w:szCs w:val="32"/>
        </w:rPr>
        <w:t>2017</w:t>
      </w:r>
      <w:r>
        <w:rPr>
          <w:rFonts w:hint="eastAsia" w:ascii="仿宋_GB2312" w:eastAsia="仿宋_GB2312"/>
          <w:sz w:val="32"/>
          <w:szCs w:val="32"/>
        </w:rPr>
        <w:t>年初富民县人民政府印发了《富民县全面推进预算绩效管理改革的实施意见》（富政通〔</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13</w:t>
      </w:r>
      <w:r>
        <w:rPr>
          <w:rFonts w:hint="eastAsia" w:ascii="仿宋_GB2312" w:eastAsia="仿宋_GB2312"/>
          <w:sz w:val="32"/>
          <w:szCs w:val="32"/>
        </w:rPr>
        <w:t>号），为全面贯彻落实财政预算绩效管理工作，县财政局采取了二项举措，</w:t>
      </w:r>
      <w:r>
        <w:rPr>
          <w:rFonts w:hint="eastAsia" w:ascii="仿宋_GB2312" w:hAnsi="仿宋" w:eastAsia="仿宋_GB2312" w:cs="仿宋"/>
          <w:sz w:val="32"/>
          <w:szCs w:val="32"/>
        </w:rPr>
        <w:t>实现了财政性资金支出绩效管理的“两个全覆盖”。</w:t>
      </w:r>
    </w:p>
    <w:p w14:paraId="3EFA2F2B">
      <w:pPr>
        <w:spacing w:line="60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一是出台了《富民县预算绩效管理工作动态目标考核实施细则（试行）》（富财绩〔</w:t>
      </w:r>
      <w:r>
        <w:rPr>
          <w:rFonts w:ascii="仿宋_GB2312" w:hAnsi="仿宋" w:eastAsia="仿宋_GB2312" w:cs="仿宋"/>
          <w:sz w:val="32"/>
          <w:szCs w:val="32"/>
        </w:rPr>
        <w:t>2017</w:t>
      </w:r>
      <w:r>
        <w:rPr>
          <w:rFonts w:hint="eastAsia" w:ascii="仿宋_GB2312" w:hAnsi="仿宋" w:eastAsia="仿宋_GB2312" w:cs="仿宋"/>
          <w:sz w:val="32"/>
          <w:szCs w:val="32"/>
        </w:rPr>
        <w:t>〕</w:t>
      </w:r>
      <w:r>
        <w:rPr>
          <w:rFonts w:ascii="仿宋_GB2312" w:hAnsi="仿宋" w:eastAsia="仿宋_GB2312" w:cs="仿宋"/>
          <w:sz w:val="32"/>
          <w:szCs w:val="32"/>
        </w:rPr>
        <w:t xml:space="preserve">4 </w:t>
      </w:r>
      <w:r>
        <w:rPr>
          <w:rFonts w:hint="eastAsia" w:ascii="仿宋_GB2312" w:hAnsi="仿宋" w:eastAsia="仿宋_GB2312" w:cs="仿宋"/>
          <w:sz w:val="32"/>
          <w:szCs w:val="32"/>
        </w:rPr>
        <w:t>号），将县本级</w:t>
      </w:r>
      <w:r>
        <w:rPr>
          <w:rFonts w:ascii="仿宋_GB2312" w:hAnsi="仿宋" w:eastAsia="仿宋_GB2312" w:cs="仿宋"/>
          <w:sz w:val="32"/>
          <w:szCs w:val="32"/>
        </w:rPr>
        <w:t>53</w:t>
      </w:r>
      <w:r>
        <w:rPr>
          <w:rFonts w:hint="eastAsia" w:ascii="仿宋_GB2312" w:hAnsi="仿宋" w:eastAsia="仿宋_GB2312" w:cs="仿宋"/>
          <w:sz w:val="32"/>
          <w:szCs w:val="32"/>
        </w:rPr>
        <w:t>个部门，</w:t>
      </w:r>
      <w:r>
        <w:rPr>
          <w:rFonts w:ascii="仿宋_GB2312" w:hAnsi="仿宋" w:eastAsia="仿宋_GB2312" w:cs="仿宋"/>
          <w:sz w:val="32"/>
          <w:szCs w:val="32"/>
        </w:rPr>
        <w:t>7</w:t>
      </w:r>
      <w:r>
        <w:rPr>
          <w:rFonts w:hint="eastAsia" w:ascii="仿宋_GB2312" w:hAnsi="仿宋" w:eastAsia="仿宋_GB2312" w:cs="仿宋"/>
          <w:sz w:val="32"/>
          <w:szCs w:val="32"/>
        </w:rPr>
        <w:t>个</w:t>
      </w:r>
      <w:r>
        <w:rPr>
          <w:rFonts w:hint="eastAsia" w:ascii="仿宋_GB2312" w:eastAsia="仿宋_GB2312"/>
          <w:sz w:val="32"/>
          <w:szCs w:val="32"/>
        </w:rPr>
        <w:t>镇（街道）人民政府（办事处）</w:t>
      </w:r>
      <w:r>
        <w:rPr>
          <w:rFonts w:hint="eastAsia" w:ascii="仿宋_GB2312" w:hAnsi="仿宋" w:eastAsia="仿宋_GB2312" w:cs="仿宋"/>
          <w:sz w:val="32"/>
          <w:szCs w:val="32"/>
        </w:rPr>
        <w:t>的预算绩效管理工作纳入了年度政府综合目标考核，实现了预算绩效考核的全覆盖。</w:t>
      </w:r>
    </w:p>
    <w:p w14:paraId="6065F684">
      <w:pPr>
        <w:spacing w:line="600" w:lineRule="exact"/>
        <w:ind w:firstLine="640" w:firstLineChars="200"/>
        <w:jc w:val="left"/>
        <w:rPr>
          <w:rFonts w:ascii="仿宋_GB2312" w:hAnsi="仿宋" w:eastAsia="仿宋_GB2312"/>
          <w:sz w:val="32"/>
          <w:szCs w:val="32"/>
        </w:rPr>
      </w:pPr>
      <w:r>
        <w:rPr>
          <w:rFonts w:hint="eastAsia" w:ascii="仿宋_GB2312" w:hAnsi="仿宋" w:eastAsia="仿宋_GB2312" w:cs="仿宋"/>
          <w:sz w:val="32"/>
          <w:szCs w:val="32"/>
        </w:rPr>
        <w:t>二是通过强化预算绩效目标、</w:t>
      </w:r>
      <w:r>
        <w:rPr>
          <w:rFonts w:hint="eastAsia" w:ascii="仿宋_GB2312" w:hAnsi="楷体" w:eastAsia="仿宋_GB2312" w:cs="楷体_GB2312"/>
          <w:sz w:val="32"/>
          <w:szCs w:val="32"/>
        </w:rPr>
        <w:t>预算绩效运行跟踪监控、财政支出绩效评价管理等方式，实现财政资金绩效管理全覆盖。</w:t>
      </w:r>
      <w:r>
        <w:rPr>
          <w:rFonts w:hint="eastAsia" w:ascii="仿宋_GB2312" w:eastAsia="仿宋_GB2312" w:cs="仿宋_GB2312"/>
          <w:sz w:val="32"/>
          <w:szCs w:val="32"/>
        </w:rPr>
        <w:t>严格</w:t>
      </w:r>
      <w:r>
        <w:rPr>
          <w:rFonts w:hint="eastAsia" w:ascii="仿宋_GB2312" w:hAnsi="宋体" w:eastAsia="仿宋_GB2312" w:cs="仿宋_GB2312"/>
          <w:sz w:val="32"/>
          <w:szCs w:val="32"/>
        </w:rPr>
        <w:t>按照预算绩效管理的要求，对</w:t>
      </w:r>
      <w:r>
        <w:rPr>
          <w:rFonts w:hint="eastAsia" w:ascii="仿宋_GB2312" w:hAnsi="仿宋" w:eastAsia="仿宋_GB2312"/>
          <w:sz w:val="32"/>
          <w:szCs w:val="32"/>
        </w:rPr>
        <w:t>不按要求设定绩效目标、和对所编报的绩效目标不进行修改完善的以及填报格式不符合要求</w:t>
      </w:r>
      <w:r>
        <w:rPr>
          <w:rFonts w:hint="eastAsia" w:ascii="仿宋_GB2312" w:hAnsi="宋体" w:eastAsia="仿宋_GB2312" w:cs="仿宋_GB2312"/>
          <w:sz w:val="32"/>
          <w:szCs w:val="32"/>
        </w:rPr>
        <w:t>的部门（单位），不得安排财政性资金。县人民代表大会批准预算草案后，财政局资金监管科和财政所在规定的时间内</w:t>
      </w:r>
      <w:r>
        <w:rPr>
          <w:rFonts w:hint="eastAsia" w:ascii="仿宋_GB2312" w:hAnsi="仿宋" w:eastAsia="仿宋_GB2312"/>
          <w:sz w:val="32"/>
          <w:szCs w:val="32"/>
        </w:rPr>
        <w:t>批复部门（单位）年初预算时，一并批复部门（单位）的绩效目标。</w:t>
      </w:r>
      <w:r>
        <w:rPr>
          <w:rFonts w:hint="eastAsia" w:ascii="仿宋_GB2312" w:hAnsi="仿宋" w:eastAsia="仿宋_GB2312" w:cs="仿宋"/>
          <w:sz w:val="32"/>
          <w:szCs w:val="32"/>
        </w:rPr>
        <w:t>通过强化预算绩效管理，</w:t>
      </w:r>
      <w:r>
        <w:rPr>
          <w:rFonts w:ascii="仿宋_GB2312" w:hAnsi="仿宋" w:eastAsia="仿宋_GB2312" w:cs="仿宋"/>
          <w:sz w:val="32"/>
          <w:szCs w:val="32"/>
        </w:rPr>
        <w:t>2018</w:t>
      </w:r>
      <w:r>
        <w:rPr>
          <w:rFonts w:hint="eastAsia" w:ascii="仿宋_GB2312" w:hAnsi="仿宋" w:eastAsia="仿宋_GB2312" w:cs="仿宋"/>
          <w:sz w:val="32"/>
          <w:szCs w:val="32"/>
        </w:rPr>
        <w:t>年县本级</w:t>
      </w:r>
      <w:r>
        <w:rPr>
          <w:rFonts w:ascii="仿宋_GB2312" w:hAnsi="仿宋" w:eastAsia="仿宋_GB2312" w:cs="仿宋"/>
          <w:sz w:val="32"/>
          <w:szCs w:val="32"/>
        </w:rPr>
        <w:t>53</w:t>
      </w:r>
      <w:r>
        <w:rPr>
          <w:rFonts w:hint="eastAsia" w:ascii="仿宋_GB2312" w:hAnsi="仿宋" w:eastAsia="仿宋_GB2312" w:cs="仿宋"/>
          <w:sz w:val="32"/>
          <w:szCs w:val="32"/>
        </w:rPr>
        <w:t>个部门，</w:t>
      </w:r>
      <w:r>
        <w:rPr>
          <w:rFonts w:ascii="仿宋_GB2312" w:hAnsi="仿宋" w:eastAsia="仿宋_GB2312" w:cs="仿宋"/>
          <w:sz w:val="32"/>
          <w:szCs w:val="32"/>
        </w:rPr>
        <w:t>7</w:t>
      </w:r>
      <w:r>
        <w:rPr>
          <w:rFonts w:hint="eastAsia" w:ascii="仿宋_GB2312" w:hAnsi="仿宋" w:eastAsia="仿宋_GB2312" w:cs="仿宋"/>
          <w:sz w:val="32"/>
          <w:szCs w:val="32"/>
        </w:rPr>
        <w:t>个</w:t>
      </w:r>
      <w:r>
        <w:rPr>
          <w:rFonts w:hint="eastAsia" w:ascii="仿宋_GB2312" w:eastAsia="仿宋_GB2312"/>
          <w:sz w:val="32"/>
          <w:szCs w:val="32"/>
        </w:rPr>
        <w:t>镇（街道办）人民政府已按要求在部门预算中编制过程中同时申报了绩效目标，并在预算执行中开展了</w:t>
      </w:r>
      <w:r>
        <w:rPr>
          <w:rFonts w:hint="eastAsia" w:ascii="仿宋_GB2312" w:hAnsi="宋体" w:eastAsia="仿宋_GB2312" w:cs="仿宋_GB2312"/>
          <w:sz w:val="32"/>
          <w:szCs w:val="32"/>
        </w:rPr>
        <w:t>绩效运行跟踪监控和绩效评价</w:t>
      </w:r>
      <w:r>
        <w:rPr>
          <w:rFonts w:hint="eastAsia" w:ascii="仿宋_GB2312" w:eastAsia="仿宋_GB2312"/>
          <w:sz w:val="32"/>
          <w:szCs w:val="32"/>
        </w:rPr>
        <w:t>，</w:t>
      </w:r>
      <w:r>
        <w:rPr>
          <w:rFonts w:hint="eastAsia" w:ascii="仿宋_GB2312" w:hAnsi="楷体" w:eastAsia="仿宋_GB2312" w:cs="楷体_GB2312"/>
          <w:sz w:val="32"/>
          <w:szCs w:val="32"/>
        </w:rPr>
        <w:t>实现了</w:t>
      </w:r>
      <w:r>
        <w:rPr>
          <w:rFonts w:hint="eastAsia" w:ascii="仿宋_GB2312" w:hAnsi="宋体" w:eastAsia="仿宋_GB2312" w:cs="仿宋_GB2312"/>
          <w:sz w:val="32"/>
          <w:szCs w:val="32"/>
        </w:rPr>
        <w:t>预算绩效管理覆盖了所有财政性资金</w:t>
      </w:r>
      <w:r>
        <w:rPr>
          <w:rFonts w:hint="eastAsia" w:ascii="仿宋_GB2312" w:hAnsi="楷体" w:eastAsia="仿宋_GB2312" w:cs="楷体_GB2312"/>
          <w:sz w:val="32"/>
          <w:szCs w:val="32"/>
        </w:rPr>
        <w:t>。</w:t>
      </w:r>
    </w:p>
    <w:p w14:paraId="7EB61882">
      <w:pPr>
        <w:spacing w:line="600" w:lineRule="exact"/>
        <w:ind w:firstLine="640" w:firstLineChars="200"/>
        <w:jc w:val="left"/>
        <w:rPr>
          <w:rFonts w:ascii="楷体" w:hAnsi="楷体" w:eastAsia="楷体" w:cs="仿宋_GB2312"/>
          <w:sz w:val="32"/>
          <w:szCs w:val="32"/>
        </w:rPr>
      </w:pPr>
      <w:r>
        <w:rPr>
          <w:rFonts w:hint="eastAsia" w:ascii="楷体" w:hAnsi="楷体" w:eastAsia="楷体" w:cs="楷体_GB2312"/>
          <w:sz w:val="32"/>
          <w:szCs w:val="32"/>
        </w:rPr>
        <w:t>（六）实施绩效信息公开</w:t>
      </w:r>
    </w:p>
    <w:p w14:paraId="41B3338A">
      <w:pPr>
        <w:spacing w:line="600" w:lineRule="exact"/>
        <w:ind w:firstLine="640" w:firstLineChars="200"/>
        <w:rPr>
          <w:rFonts w:ascii="仿宋_GB2312" w:hAnsi="楷体" w:eastAsia="仿宋_GB2312"/>
          <w:sz w:val="32"/>
          <w:szCs w:val="32"/>
        </w:rPr>
      </w:pPr>
      <w:r>
        <w:rPr>
          <w:rFonts w:hint="eastAsia" w:ascii="仿宋_GB2312" w:eastAsia="仿宋_GB2312"/>
          <w:sz w:val="32"/>
          <w:szCs w:val="32"/>
        </w:rPr>
        <w:t>根据《中共云南省委办公厅</w:t>
      </w:r>
      <w:r>
        <w:rPr>
          <w:rFonts w:ascii="仿宋_GB2312" w:eastAsia="仿宋_GB2312"/>
          <w:sz w:val="32"/>
          <w:szCs w:val="32"/>
        </w:rPr>
        <w:t xml:space="preserve"> </w:t>
      </w:r>
      <w:r>
        <w:rPr>
          <w:rFonts w:hint="eastAsia" w:ascii="仿宋_GB2312" w:eastAsia="仿宋_GB2312"/>
          <w:sz w:val="32"/>
          <w:szCs w:val="32"/>
        </w:rPr>
        <w:t>云南省人民政府办公厅印发〈关于进一步推进预算公开工作的实施意见〉的通知》（云办发〔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29</w:t>
      </w:r>
      <w:r>
        <w:rPr>
          <w:rFonts w:hint="eastAsia" w:ascii="仿宋_GB2312" w:eastAsia="仿宋_GB2312"/>
          <w:sz w:val="32"/>
          <w:szCs w:val="32"/>
        </w:rPr>
        <w:t>号）、云南省财政厅关于印发〈云南省预算公开工作实施细则〉的通知》（云财预〔</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183</w:t>
      </w:r>
      <w:r>
        <w:rPr>
          <w:rFonts w:hint="eastAsia" w:ascii="仿宋_GB2312" w:eastAsia="仿宋_GB2312"/>
          <w:sz w:val="32"/>
          <w:szCs w:val="32"/>
        </w:rPr>
        <w:t>号）中关于公开“绩效管理信息”的工作要求和昆明市财政局《关于公开预算绩效管理信息的通知》（</w:t>
      </w:r>
      <w:bookmarkStart w:id="0" w:name="文号"/>
      <w:r>
        <w:rPr>
          <w:rFonts w:hint="eastAsia" w:ascii="仿宋_GB2312" w:eastAsia="仿宋_GB2312"/>
          <w:sz w:val="32"/>
          <w:szCs w:val="32"/>
        </w:rPr>
        <w:t>昆财绩〔</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41</w:t>
      </w:r>
      <w:r>
        <w:rPr>
          <w:rFonts w:hint="eastAsia" w:ascii="仿宋_GB2312" w:eastAsia="仿宋_GB2312"/>
          <w:sz w:val="32"/>
          <w:szCs w:val="32"/>
        </w:rPr>
        <w:t>号</w:t>
      </w:r>
      <w:bookmarkEnd w:id="0"/>
      <w:r>
        <w:rPr>
          <w:rFonts w:hint="eastAsia" w:ascii="仿宋_GB2312" w:eastAsia="仿宋_GB2312"/>
          <w:sz w:val="32"/>
          <w:szCs w:val="32"/>
        </w:rPr>
        <w:t>）文件精神，</w:t>
      </w:r>
      <w:bookmarkStart w:id="1" w:name="标题"/>
      <w:r>
        <w:rPr>
          <w:rFonts w:hint="eastAsia" w:ascii="仿宋_GB2312" w:eastAsia="仿宋_GB2312"/>
          <w:sz w:val="32"/>
          <w:szCs w:val="32"/>
        </w:rPr>
        <w:t>财政局拟定了《关于公开预算绩效管理信息的通知</w:t>
      </w:r>
      <w:bookmarkEnd w:id="1"/>
      <w:r>
        <w:rPr>
          <w:rFonts w:hint="eastAsia" w:ascii="仿宋_GB2312" w:eastAsia="仿宋_GB2312"/>
          <w:sz w:val="32"/>
          <w:szCs w:val="32"/>
        </w:rPr>
        <w:t>》（富财绩〔</w:t>
      </w:r>
      <w:r>
        <w:rPr>
          <w:rFonts w:ascii="仿宋_GB2312" w:eastAsia="仿宋_GB2312"/>
          <w:sz w:val="32"/>
          <w:szCs w:val="32"/>
        </w:rPr>
        <w:t>2018</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号）。明确了各预算单位对本单位预算绩效管理信息公开的主要内容，</w:t>
      </w:r>
      <w:r>
        <w:rPr>
          <w:rFonts w:hint="eastAsia" w:ascii="仿宋_GB2312" w:hAnsi="仿宋" w:eastAsia="仿宋_GB2312" w:cs="仿宋"/>
          <w:sz w:val="32"/>
          <w:szCs w:val="32"/>
        </w:rPr>
        <w:t>县本级</w:t>
      </w:r>
      <w:r>
        <w:rPr>
          <w:rFonts w:ascii="仿宋_GB2312" w:hAnsi="仿宋" w:eastAsia="仿宋_GB2312" w:cs="仿宋"/>
          <w:sz w:val="32"/>
          <w:szCs w:val="32"/>
        </w:rPr>
        <w:t>53</w:t>
      </w:r>
      <w:r>
        <w:rPr>
          <w:rFonts w:hint="eastAsia" w:ascii="仿宋_GB2312" w:hAnsi="仿宋" w:eastAsia="仿宋_GB2312" w:cs="仿宋"/>
          <w:sz w:val="32"/>
          <w:szCs w:val="32"/>
        </w:rPr>
        <w:t>个部门，</w:t>
      </w:r>
      <w:r>
        <w:rPr>
          <w:rFonts w:ascii="仿宋_GB2312" w:hAnsi="仿宋" w:eastAsia="仿宋_GB2312" w:cs="仿宋"/>
          <w:sz w:val="32"/>
          <w:szCs w:val="32"/>
        </w:rPr>
        <w:t>7</w:t>
      </w:r>
      <w:r>
        <w:rPr>
          <w:rFonts w:hint="eastAsia" w:ascii="仿宋_GB2312" w:hAnsi="仿宋" w:eastAsia="仿宋_GB2312" w:cs="仿宋"/>
          <w:sz w:val="32"/>
          <w:szCs w:val="32"/>
        </w:rPr>
        <w:t>个</w:t>
      </w:r>
      <w:r>
        <w:rPr>
          <w:rFonts w:hint="eastAsia" w:ascii="仿宋_GB2312" w:eastAsia="仿宋_GB2312"/>
          <w:sz w:val="32"/>
          <w:szCs w:val="32"/>
        </w:rPr>
        <w:t>镇人民政府（办事处）已按照工作要求在富民县人民政府门户网站，信息公开专栏，对本部门</w:t>
      </w:r>
      <w:r>
        <w:rPr>
          <w:rFonts w:ascii="仿宋_GB2312" w:eastAsia="仿宋_GB2312"/>
          <w:sz w:val="32"/>
          <w:szCs w:val="32"/>
        </w:rPr>
        <w:t>2018</w:t>
      </w:r>
      <w:r>
        <w:rPr>
          <w:rFonts w:hint="eastAsia" w:ascii="仿宋_GB2312" w:eastAsia="仿宋_GB2312"/>
          <w:sz w:val="32"/>
          <w:szCs w:val="32"/>
        </w:rPr>
        <w:t>年</w:t>
      </w:r>
      <w:r>
        <w:rPr>
          <w:rFonts w:hint="eastAsia" w:ascii="仿宋_GB2312" w:hAnsi="楷体" w:eastAsia="仿宋_GB2312"/>
          <w:sz w:val="32"/>
          <w:szCs w:val="32"/>
        </w:rPr>
        <w:t>预算绩效目标和</w:t>
      </w:r>
      <w:r>
        <w:rPr>
          <w:rFonts w:ascii="仿宋_GB2312" w:hAnsi="楷体" w:eastAsia="仿宋_GB2312"/>
          <w:sz w:val="32"/>
          <w:szCs w:val="32"/>
        </w:rPr>
        <w:t>2017</w:t>
      </w:r>
      <w:r>
        <w:rPr>
          <w:rFonts w:hint="eastAsia" w:ascii="仿宋_GB2312" w:hAnsi="楷体" w:eastAsia="仿宋_GB2312"/>
          <w:sz w:val="32"/>
          <w:szCs w:val="32"/>
        </w:rPr>
        <w:t>年整体支出绩效评价报告进行了公开，主动接受社会监督。</w:t>
      </w:r>
    </w:p>
    <w:p w14:paraId="223EF699">
      <w:pPr>
        <w:spacing w:line="600" w:lineRule="exact"/>
        <w:ind w:firstLine="640" w:firstLineChars="200"/>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七</w:t>
      </w:r>
      <w:r>
        <w:rPr>
          <w:rFonts w:ascii="楷体" w:hAnsi="楷体" w:eastAsia="楷体"/>
          <w:sz w:val="32"/>
          <w:szCs w:val="32"/>
        </w:rPr>
        <w:t>)</w:t>
      </w:r>
      <w:r>
        <w:rPr>
          <w:rFonts w:hint="eastAsia" w:ascii="楷体" w:hAnsi="楷体" w:eastAsia="楷体"/>
          <w:sz w:val="32"/>
          <w:szCs w:val="32"/>
        </w:rPr>
        <w:t>积极探索第三方绩效再评价工作机制</w:t>
      </w:r>
    </w:p>
    <w:p w14:paraId="1BE1DEE4">
      <w:pPr>
        <w:spacing w:line="600" w:lineRule="exact"/>
        <w:ind w:firstLine="640" w:firstLineChars="200"/>
        <w:rPr>
          <w:rFonts w:ascii="宋体" w:cs="宋体"/>
          <w:sz w:val="32"/>
          <w:szCs w:val="32"/>
        </w:rPr>
      </w:pPr>
      <w:r>
        <w:rPr>
          <w:rFonts w:hint="eastAsia" w:ascii="仿宋_GB2312" w:hAnsi="楷体" w:eastAsia="仿宋_GB2312"/>
          <w:sz w:val="32"/>
          <w:szCs w:val="32"/>
        </w:rPr>
        <w:t>为实现绩效评价的公平公正，真实掌握财政资金使用效益，实现产出目标，财政局积极探索聘请社会服务机构对重点支出项目在部门自我评价的基础上，进行第三方绩效再评价。为积极探索第三方绩效再评价工作机制，经报请县政府同意，筛选了</w:t>
      </w:r>
      <w:r>
        <w:rPr>
          <w:rFonts w:ascii="仿宋_GB2312" w:hAnsi="楷体" w:eastAsia="仿宋_GB2312"/>
          <w:sz w:val="32"/>
          <w:szCs w:val="32"/>
        </w:rPr>
        <w:t>2017</w:t>
      </w:r>
      <w:r>
        <w:rPr>
          <w:rFonts w:hint="eastAsia" w:ascii="仿宋_GB2312" w:hAnsi="楷体" w:eastAsia="仿宋_GB2312"/>
          <w:sz w:val="32"/>
          <w:szCs w:val="32"/>
        </w:rPr>
        <w:t>年财政预算支出中的三个项目进行第三方绩效再评价，评价项目资金总额</w:t>
      </w:r>
      <w:r>
        <w:rPr>
          <w:rFonts w:ascii="仿宋_GB2312" w:hAnsi="楷体" w:eastAsia="仿宋_GB2312"/>
          <w:sz w:val="32"/>
          <w:szCs w:val="32"/>
        </w:rPr>
        <w:t>500.71</w:t>
      </w:r>
      <w:r>
        <w:rPr>
          <w:rFonts w:hint="eastAsia" w:ascii="仿宋_GB2312" w:hAnsi="楷体" w:eastAsia="仿宋_GB2312"/>
          <w:sz w:val="32"/>
          <w:szCs w:val="32"/>
        </w:rPr>
        <w:t>万元，涵盖了中央、省、市、县四级财政资金，为财政资金绩效管理起到了积极的示范作用。</w:t>
      </w:r>
    </w:p>
    <w:p w14:paraId="1880D927">
      <w:pPr>
        <w:spacing w:line="600" w:lineRule="exact"/>
        <w:ind w:firstLine="640" w:firstLineChars="200"/>
        <w:rPr>
          <w:rFonts w:ascii="黑体" w:hAnsi="楷体" w:eastAsia="黑体" w:cs="楷体"/>
          <w:sz w:val="32"/>
          <w:szCs w:val="32"/>
        </w:rPr>
      </w:pPr>
      <w:r>
        <w:rPr>
          <w:rFonts w:hint="eastAsia" w:ascii="黑体" w:hAnsi="楷体" w:eastAsia="黑体" w:cs="楷体"/>
          <w:sz w:val="32"/>
          <w:szCs w:val="32"/>
        </w:rPr>
        <w:t>二、预算绩效管理工作存在的问题</w:t>
      </w:r>
    </w:p>
    <w:p w14:paraId="6A050397">
      <w:pPr>
        <w:spacing w:line="600" w:lineRule="exact"/>
        <w:ind w:firstLine="640" w:firstLineChars="200"/>
        <w:rPr>
          <w:rFonts w:ascii="仿宋_GB2312" w:hAnsi="楷体" w:eastAsia="仿宋_GB2312" w:cs="楷体"/>
          <w:sz w:val="32"/>
          <w:szCs w:val="32"/>
        </w:rPr>
      </w:pPr>
      <w:r>
        <w:rPr>
          <w:rFonts w:hint="eastAsia" w:ascii="仿宋_GB2312" w:hAnsi="宋体" w:eastAsia="仿宋_GB2312" w:cs="仿宋_GB2312"/>
          <w:sz w:val="32"/>
          <w:szCs w:val="32"/>
        </w:rPr>
        <w:t>《</w:t>
      </w:r>
      <w:r>
        <w:rPr>
          <w:rFonts w:hint="eastAsia" w:ascii="仿宋_GB2312" w:eastAsia="仿宋_GB2312"/>
          <w:sz w:val="32"/>
          <w:szCs w:val="32"/>
        </w:rPr>
        <w:t>全面推进预算绩效管理改革的实施意见》</w:t>
      </w:r>
      <w:r>
        <w:rPr>
          <w:rFonts w:hint="eastAsia" w:ascii="仿宋_GB2312" w:hAnsi="宋体" w:eastAsia="仿宋_GB2312" w:cs="仿宋_GB2312"/>
          <w:sz w:val="32"/>
          <w:szCs w:val="32"/>
        </w:rPr>
        <w:t>执行以来取得了阶段性的成果，预算绩效管理覆盖了所有财政性资金，初步实现了“预算编制有目标、预算执行有监控、预算完成有评价、评价结果有反馈、反馈结果有应用”的目标。在取得成绩的同时，预算绩效管理工作也暴露出不容忽视的问题，主要表现在以下几个方面。</w:t>
      </w:r>
    </w:p>
    <w:p w14:paraId="0C0A40E4">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（一）预算单位领导思想认识不到位。一些部门和单位领导对财政资金实行绩效管理的认识还不到位，认为只要资金使用合规合法就行，绩效理念尚未完全深入人心，</w:t>
      </w:r>
      <w:r>
        <w:rPr>
          <w:rFonts w:hint="eastAsia" w:ascii="仿宋_GB2312" w:eastAsia="仿宋_GB2312"/>
          <w:sz w:val="32"/>
          <w:szCs w:val="32"/>
          <w:shd w:val="clear" w:color="auto" w:fill="FFFFFF"/>
        </w:rPr>
        <w:t>“重投入、轻产出”，“重分配、轻管理”，“重数量、轻质量”</w:t>
      </w:r>
      <w:r>
        <w:rPr>
          <w:rFonts w:hint="eastAsia" w:ascii="仿宋_GB2312" w:hAnsi="楷体" w:eastAsia="仿宋_GB2312"/>
          <w:sz w:val="32"/>
          <w:szCs w:val="32"/>
        </w:rPr>
        <w:t>的现象依然存在。</w:t>
      </w:r>
    </w:p>
    <w:p w14:paraId="367B81BB">
      <w:pPr>
        <w:spacing w:line="600" w:lineRule="exact"/>
        <w:ind w:firstLine="640" w:firstLineChars="200"/>
        <w:rPr>
          <w:rFonts w:ascii="仿宋_GB2312" w:hAnsi="楷体" w:eastAsia="仿宋_GB2312"/>
          <w:sz w:val="32"/>
          <w:szCs w:val="32"/>
        </w:rPr>
      </w:pPr>
      <w:r>
        <w:rPr>
          <w:rFonts w:hint="eastAsia" w:ascii="仿宋_GB2312" w:hAnsi="黑体" w:eastAsia="仿宋_GB2312" w:cs="仿宋_GB2312"/>
          <w:sz w:val="32"/>
          <w:szCs w:val="32"/>
        </w:rPr>
        <w:t>（二）</w:t>
      </w:r>
      <w:r>
        <w:rPr>
          <w:rFonts w:hint="eastAsia" w:ascii="仿宋_GB2312" w:hAnsi="宋体" w:eastAsia="仿宋_GB2312" w:cs="仿宋_GB2312"/>
          <w:sz w:val="32"/>
          <w:szCs w:val="32"/>
        </w:rPr>
        <w:t>绩效目标管理主体责任有待进一步强化和落实。部门（预算单位）普遍对财政资金绩效目标管理工作不重视，财绩效目标编制申报流于形式，一方面财政资金的使用未真正实现与绩效目标一致的产出效益，另一方面导致预算执行进度慢，出现财政资金的沉淀现象。</w:t>
      </w:r>
    </w:p>
    <w:p w14:paraId="1CE36A9B">
      <w:pPr>
        <w:topLinePunct/>
        <w:adjustRightInd w:val="0"/>
        <w:snapToGrid w:val="0"/>
        <w:spacing w:line="600" w:lineRule="exact"/>
        <w:ind w:firstLine="640" w:firstLineChars="200"/>
        <w:jc w:val="left"/>
        <w:rPr>
          <w:rFonts w:ascii="仿宋_GB2312" w:hAnsi="黑体" w:eastAsia="仿宋_GB2312" w:cs="仿宋_GB2312"/>
          <w:sz w:val="32"/>
          <w:szCs w:val="32"/>
        </w:rPr>
      </w:pPr>
      <w:r>
        <w:rPr>
          <w:rFonts w:hint="eastAsia" w:ascii="仿宋_GB2312" w:hAnsi="楷体" w:eastAsia="仿宋_GB2312"/>
          <w:sz w:val="32"/>
          <w:szCs w:val="32"/>
        </w:rPr>
        <w:t>（三）财政资金整体绩效管理有待进一步加强。</w:t>
      </w:r>
      <w:r>
        <w:rPr>
          <w:rFonts w:hint="eastAsia" w:ascii="仿宋_GB2312" w:hAnsi="仿宋" w:eastAsia="仿宋_GB2312"/>
          <w:sz w:val="32"/>
          <w:szCs w:val="32"/>
        </w:rPr>
        <w:t>有的部门预算目标</w:t>
      </w:r>
      <w:r>
        <w:rPr>
          <w:rFonts w:hint="eastAsia" w:ascii="仿宋_GB2312" w:hAnsi="仿宋_GB2312" w:eastAsia="仿宋_GB2312" w:cs="仿宋_GB2312"/>
          <w:spacing w:val="4"/>
          <w:sz w:val="32"/>
          <w:szCs w:val="32"/>
        </w:rPr>
        <w:t>不明确、计划性不强，编制不慎重、测算不准确、随意性大（用大概、估算等方式随意申报财政资金），预算绩效管理工作只是为了应付一下财政，预算绩效管理工作未起到应有的作用。</w:t>
      </w:r>
    </w:p>
    <w:p w14:paraId="44EE43EB">
      <w:pPr>
        <w:spacing w:line="600" w:lineRule="exact"/>
        <w:ind w:firstLine="656" w:firstLineChars="200"/>
        <w:rPr>
          <w:rFonts w:ascii="仿宋_GB2312" w:hAnsi="黑体" w:eastAsia="仿宋_GB2312" w:cs="仿宋_GB2312"/>
          <w:sz w:val="32"/>
          <w:szCs w:val="32"/>
        </w:rPr>
      </w:pPr>
      <w:r>
        <w:rPr>
          <w:rFonts w:hint="eastAsia" w:ascii="仿宋_GB2312" w:hAnsi="楷体" w:eastAsia="仿宋_GB2312" w:cs="仿宋_GB2312"/>
          <w:bCs/>
          <w:spacing w:val="4"/>
          <w:sz w:val="32"/>
          <w:szCs w:val="32"/>
        </w:rPr>
        <w:t>（四）绩效监管工作机制有待进一步完善。</w:t>
      </w:r>
      <w:r>
        <w:rPr>
          <w:rFonts w:hint="eastAsia" w:ascii="仿宋_GB2312" w:hAnsi="仿宋_GB2312" w:eastAsia="仿宋_GB2312" w:cs="仿宋_GB2312"/>
          <w:spacing w:val="4"/>
          <w:sz w:val="32"/>
          <w:szCs w:val="32"/>
        </w:rPr>
        <w:t>由于财政预算绩效管理和绩效监督工作刚刚起步，尚未形成完整的绩效监督工作机制。绩效管理工作只实现了扩面，未实现提质。</w:t>
      </w:r>
    </w:p>
    <w:p w14:paraId="2930706A">
      <w:pPr>
        <w:topLinePunct/>
        <w:adjustRightInd w:val="0"/>
        <w:snapToGrid w:val="0"/>
        <w:spacing w:line="600" w:lineRule="exact"/>
        <w:ind w:firstLine="656" w:firstLineChars="200"/>
        <w:jc w:val="left"/>
        <w:rPr>
          <w:rFonts w:ascii="仿宋_GB2312" w:hAnsi="黑体" w:eastAsia="仿宋_GB2312" w:cs="仿宋_GB2312"/>
          <w:sz w:val="32"/>
          <w:szCs w:val="32"/>
        </w:rPr>
      </w:pPr>
      <w:r>
        <w:rPr>
          <w:rFonts w:hint="eastAsia" w:ascii="仿宋_GB2312" w:hAnsi="楷体" w:eastAsia="仿宋_GB2312" w:cs="仿宋_GB2312"/>
          <w:bCs/>
          <w:spacing w:val="4"/>
          <w:sz w:val="32"/>
          <w:szCs w:val="32"/>
        </w:rPr>
        <w:t>（五）未实现绩效评价结果的应用。</w:t>
      </w:r>
      <w:r>
        <w:rPr>
          <w:rFonts w:hint="eastAsia" w:ascii="仿宋_GB2312" w:hAnsi="仿宋_GB2312" w:eastAsia="仿宋_GB2312" w:cs="仿宋_GB2312"/>
          <w:spacing w:val="4"/>
          <w:sz w:val="32"/>
          <w:szCs w:val="32"/>
        </w:rPr>
        <w:t>预算绩效监督的最终结果在于应用，但目前纪检、监察和干部人事管理等工作机制未与财政绩效管理工作有机结合，从实际执行情况看，评价结果的应用效果尚未显现，对财政支出无绩效或绩效低下的项目，尚未形成对结果追踪问效的责任约束。</w:t>
      </w:r>
    </w:p>
    <w:p w14:paraId="334DB374">
      <w:pPr>
        <w:spacing w:line="600" w:lineRule="exact"/>
        <w:ind w:firstLine="640" w:firstLineChars="200"/>
        <w:rPr>
          <w:rFonts w:ascii="仿宋_GB2312" w:hAnsi="宋体" w:eastAsia="仿宋_GB2312" w:cs="仿宋_GB2312"/>
          <w:sz w:val="32"/>
          <w:szCs w:val="32"/>
        </w:rPr>
      </w:pPr>
      <w:r>
        <w:rPr>
          <w:rFonts w:hint="eastAsia" w:ascii="仿宋_GB2312" w:eastAsia="仿宋_GB2312"/>
          <w:kern w:val="0"/>
          <w:sz w:val="32"/>
          <w:szCs w:val="32"/>
        </w:rPr>
        <w:t>（六）预算部门（单位）绩效管理人员的业务水平差参不齐，需要不断强化和提升。由于近年来财政改革不断深化，对单位财务管理人员业务要求较高，财政人员</w:t>
      </w:r>
      <w:r>
        <w:rPr>
          <w:rFonts w:hint="eastAsia" w:ascii="仿宋_GB2312" w:hAnsi="仿宋" w:eastAsia="仿宋_GB2312" w:cs="仿宋"/>
          <w:sz w:val="32"/>
          <w:szCs w:val="32"/>
        </w:rPr>
        <w:t>对财税体制改革普遍存在抵触情绪，落实预算绩效管理工作有一定困难。</w:t>
      </w:r>
    </w:p>
    <w:p w14:paraId="4A852E7E">
      <w:pPr>
        <w:spacing w:line="600" w:lineRule="exact"/>
        <w:ind w:firstLine="656" w:firstLineChars="200"/>
        <w:rPr>
          <w:rFonts w:ascii="仿宋_GB2312" w:hAnsi="楷体" w:eastAsia="仿宋_GB2312" w:cs="楷体"/>
          <w:sz w:val="32"/>
          <w:szCs w:val="32"/>
        </w:rPr>
      </w:pPr>
      <w:r>
        <w:rPr>
          <w:rFonts w:hint="eastAsia" w:ascii="仿宋_GB2312" w:hAnsi="仿宋_GB2312" w:eastAsia="仿宋_GB2312" w:cs="仿宋_GB2312"/>
          <w:spacing w:val="4"/>
          <w:sz w:val="32"/>
          <w:szCs w:val="32"/>
        </w:rPr>
        <w:t>上述问题的存在，很大程度上影响了预算绩效管理工作的深入推进，在今后的工作中需要切实解决和完善。</w:t>
      </w:r>
    </w:p>
    <w:p w14:paraId="3BDED6EC">
      <w:pPr>
        <w:spacing w:line="600" w:lineRule="exact"/>
        <w:ind w:firstLine="640" w:firstLineChars="200"/>
        <w:rPr>
          <w:rFonts w:ascii="黑体" w:hAnsi="楷体" w:eastAsia="黑体" w:cs="楷体"/>
          <w:sz w:val="32"/>
          <w:szCs w:val="32"/>
        </w:rPr>
      </w:pPr>
      <w:r>
        <w:rPr>
          <w:rFonts w:hint="eastAsia" w:ascii="黑体" w:hAnsi="楷体" w:eastAsia="黑体" w:cs="楷体"/>
          <w:sz w:val="32"/>
          <w:szCs w:val="32"/>
        </w:rPr>
        <w:t>三、下一步工作措施</w:t>
      </w:r>
    </w:p>
    <w:p w14:paraId="1C0CA7D1">
      <w:pPr>
        <w:topLinePunct/>
        <w:adjustRightInd w:val="0"/>
        <w:snapToGrid w:val="0"/>
        <w:spacing w:line="600" w:lineRule="exact"/>
        <w:ind w:firstLine="640" w:firstLineChars="200"/>
        <w:rPr>
          <w:rFonts w:hAnsi="仿宋_GB2312" w:eastAsia="仿宋_GB2312" w:cs="仿宋_GB2312"/>
          <w:sz w:val="32"/>
          <w:szCs w:val="32"/>
        </w:rPr>
      </w:pPr>
      <w:r>
        <w:rPr>
          <w:rFonts w:hint="eastAsia" w:ascii="仿宋_GB2312" w:hAnsi="楷体" w:eastAsia="仿宋_GB2312" w:cs="楷体_GB2312"/>
          <w:sz w:val="32"/>
          <w:szCs w:val="32"/>
        </w:rPr>
        <w:t>（一）</w:t>
      </w:r>
      <w:r>
        <w:rPr>
          <w:rFonts w:hint="eastAsia" w:ascii="仿宋_GB2312" w:hAnsi="仿宋_GB2312" w:eastAsia="仿宋_GB2312" w:cs="楷体_GB2312"/>
          <w:sz w:val="32"/>
          <w:szCs w:val="32"/>
        </w:rPr>
        <w:t>落实绩效管理主体责任，提升绩效管理改革成效。</w:t>
      </w:r>
      <w:r>
        <w:rPr>
          <w:rFonts w:hint="eastAsia" w:hAnsi="仿宋_GB2312" w:eastAsia="仿宋_GB2312" w:cs="仿宋_GB2312"/>
          <w:sz w:val="32"/>
          <w:szCs w:val="32"/>
        </w:rPr>
        <w:t>按照</w:t>
      </w:r>
      <w:r>
        <w:rPr>
          <w:rFonts w:hint="eastAsia" w:eastAsia="仿宋_GB2312" w:cs="仿宋_GB2312"/>
          <w:sz w:val="32"/>
          <w:szCs w:val="32"/>
        </w:rPr>
        <w:t>“</w:t>
      </w:r>
      <w:r>
        <w:rPr>
          <w:rFonts w:hint="eastAsia" w:hAnsi="仿宋_GB2312" w:eastAsia="仿宋_GB2312" w:cs="仿宋_GB2312"/>
          <w:sz w:val="32"/>
          <w:szCs w:val="32"/>
        </w:rPr>
        <w:t>谁主管、谁使用、谁负责</w:t>
      </w:r>
      <w:r>
        <w:rPr>
          <w:rFonts w:hint="eastAsia" w:eastAsia="仿宋_GB2312" w:cs="仿宋_GB2312"/>
          <w:sz w:val="32"/>
          <w:szCs w:val="32"/>
        </w:rPr>
        <w:t>”</w:t>
      </w:r>
      <w:r>
        <w:rPr>
          <w:rFonts w:hint="eastAsia" w:hAnsi="仿宋_GB2312" w:eastAsia="仿宋_GB2312" w:cs="仿宋_GB2312"/>
          <w:sz w:val="32"/>
          <w:szCs w:val="32"/>
        </w:rPr>
        <w:t>的原则，进一步强化各级各部门、财政资金监管科室和财政所预算绩效管理的主体责任。切实将</w:t>
      </w:r>
      <w:r>
        <w:rPr>
          <w:rFonts w:hint="eastAsia" w:eastAsia="仿宋_GB2312" w:cs="仿宋_GB2312"/>
          <w:sz w:val="32"/>
          <w:szCs w:val="32"/>
        </w:rPr>
        <w:t>“</w:t>
      </w:r>
      <w:r>
        <w:rPr>
          <w:rFonts w:hint="eastAsia" w:hAnsi="仿宋_GB2312" w:eastAsia="仿宋_GB2312" w:cs="仿宋_GB2312"/>
          <w:sz w:val="32"/>
          <w:szCs w:val="32"/>
        </w:rPr>
        <w:t>花钱必问效、无效必问责</w:t>
      </w:r>
      <w:r>
        <w:rPr>
          <w:rFonts w:hint="eastAsia" w:eastAsia="仿宋_GB2312" w:cs="仿宋_GB2312"/>
          <w:sz w:val="32"/>
          <w:szCs w:val="32"/>
        </w:rPr>
        <w:t>”</w:t>
      </w:r>
      <w:r>
        <w:rPr>
          <w:rFonts w:hint="eastAsia" w:hAnsi="仿宋_GB2312" w:eastAsia="仿宋_GB2312" w:cs="仿宋_GB2312"/>
          <w:sz w:val="32"/>
          <w:szCs w:val="32"/>
        </w:rPr>
        <w:t>的预算绩效管理理念贯穿到财政管理的各个环节，督促各级各部门从</w:t>
      </w:r>
      <w:r>
        <w:rPr>
          <w:rFonts w:hint="eastAsia" w:eastAsia="仿宋_GB2312" w:cs="仿宋_GB2312"/>
          <w:sz w:val="32"/>
          <w:szCs w:val="32"/>
        </w:rPr>
        <w:t>“</w:t>
      </w:r>
      <w:r>
        <w:rPr>
          <w:rFonts w:hint="eastAsia" w:hAnsi="仿宋_GB2312" w:eastAsia="仿宋_GB2312" w:cs="仿宋_GB2312"/>
          <w:sz w:val="32"/>
          <w:szCs w:val="32"/>
        </w:rPr>
        <w:t>要钱难</w:t>
      </w:r>
      <w:r>
        <w:rPr>
          <w:rFonts w:hint="eastAsia" w:eastAsia="仿宋_GB2312" w:cs="仿宋_GB2312"/>
          <w:sz w:val="32"/>
          <w:szCs w:val="32"/>
        </w:rPr>
        <w:t>”</w:t>
      </w:r>
      <w:r>
        <w:rPr>
          <w:rFonts w:hint="eastAsia" w:hAnsi="仿宋_GB2312" w:eastAsia="仿宋_GB2312" w:cs="仿宋_GB2312"/>
          <w:sz w:val="32"/>
          <w:szCs w:val="32"/>
        </w:rPr>
        <w:t>向</w:t>
      </w:r>
      <w:r>
        <w:rPr>
          <w:rFonts w:hint="eastAsia" w:eastAsia="仿宋_GB2312" w:cs="仿宋_GB2312"/>
          <w:sz w:val="32"/>
          <w:szCs w:val="32"/>
        </w:rPr>
        <w:t>“</w:t>
      </w:r>
      <w:r>
        <w:rPr>
          <w:rFonts w:hint="eastAsia" w:hAnsi="仿宋_GB2312" w:eastAsia="仿宋_GB2312" w:cs="仿宋_GB2312"/>
          <w:sz w:val="32"/>
          <w:szCs w:val="32"/>
        </w:rPr>
        <w:t>花好钱</w:t>
      </w:r>
      <w:r>
        <w:rPr>
          <w:rFonts w:hint="eastAsia" w:eastAsia="仿宋_GB2312" w:cs="仿宋_GB2312"/>
          <w:sz w:val="32"/>
          <w:szCs w:val="32"/>
        </w:rPr>
        <w:t>”</w:t>
      </w:r>
      <w:r>
        <w:rPr>
          <w:rFonts w:hint="eastAsia" w:hAnsi="仿宋_GB2312" w:eastAsia="仿宋_GB2312" w:cs="仿宋_GB2312"/>
          <w:sz w:val="32"/>
          <w:szCs w:val="32"/>
        </w:rPr>
        <w:t>转变，着力提升财政资金使用的经济效益、社会效益、生态效益。</w:t>
      </w:r>
    </w:p>
    <w:p w14:paraId="1790E267">
      <w:pPr>
        <w:topLinePunct/>
        <w:adjustRightInd w:val="0"/>
        <w:snapToGrid w:val="0"/>
        <w:spacing w:line="600" w:lineRule="exact"/>
        <w:ind w:firstLine="640" w:firstLineChars="200"/>
        <w:rPr>
          <w:rFonts w:ascii="仿宋_GB2312" w:eastAsia="仿宋_GB2312"/>
          <w:sz w:val="32"/>
          <w:szCs w:val="32"/>
        </w:rPr>
      </w:pPr>
      <w:r>
        <w:rPr>
          <w:rFonts w:hint="eastAsia" w:ascii="仿宋_GB2312" w:hAnsi="楷体" w:eastAsia="仿宋_GB2312" w:cs="楷体_GB2312"/>
          <w:sz w:val="32"/>
          <w:szCs w:val="32"/>
        </w:rPr>
        <w:t>（二）加大预算绩效管理结果运用。</w:t>
      </w:r>
      <w:r>
        <w:rPr>
          <w:rFonts w:hint="eastAsia" w:ascii="仿宋_GB2312" w:hAnsi="仿宋_GB2312" w:eastAsia="仿宋_GB2312" w:cs="仿宋_GB2312"/>
          <w:sz w:val="32"/>
          <w:szCs w:val="32"/>
        </w:rPr>
        <w:t>建立健全预算绩效管理结果反馈运用机制。对预算绩效管理中发现的问题和漏洞，及时反馈给部门，作为其改进预算管理的重要依据。将部门绩效目标实现程度、绩效跟踪和评价结果，与部门预算资金安排相结合，</w:t>
      </w:r>
      <w:r>
        <w:rPr>
          <w:rFonts w:hint="eastAsia" w:hAnsi="仿宋_GB2312" w:eastAsia="仿宋_GB2312" w:cs="仿宋_GB2312"/>
          <w:sz w:val="32"/>
          <w:szCs w:val="32"/>
        </w:rPr>
        <w:t>并作为编制中期财政规划</w:t>
      </w:r>
      <w:r>
        <w:rPr>
          <w:rFonts w:hint="eastAsia" w:ascii="仿宋_GB2312" w:hAnsi="仿宋_GB2312" w:eastAsia="仿宋_GB2312" w:cs="仿宋_GB2312"/>
          <w:sz w:val="32"/>
          <w:szCs w:val="32"/>
        </w:rPr>
        <w:t>、调整支出结构和完善政策制度的重要依据。</w:t>
      </w:r>
    </w:p>
    <w:p w14:paraId="68C5829E">
      <w:pPr>
        <w:topLinePunct/>
        <w:adjustRightInd w:val="0"/>
        <w:snapToGrid w:val="0"/>
        <w:spacing w:line="600" w:lineRule="exact"/>
        <w:ind w:firstLine="640" w:firstLineChars="200"/>
        <w:rPr>
          <w:rFonts w:ascii="仿宋_GB2312" w:hAnsi="仿宋_GB2312" w:eastAsia="仿宋_GB2312" w:cs="楷体_GB2312"/>
          <w:sz w:val="32"/>
          <w:szCs w:val="32"/>
        </w:rPr>
      </w:pPr>
      <w:r>
        <w:rPr>
          <w:rFonts w:hint="eastAsia" w:ascii="仿宋_GB2312" w:hAnsi="楷体" w:eastAsia="仿宋_GB2312" w:cs="楷体"/>
          <w:sz w:val="32"/>
          <w:szCs w:val="32"/>
          <w:shd w:val="clear" w:color="auto" w:fill="FFFFFF"/>
        </w:rPr>
        <w:t>（三）</w:t>
      </w:r>
      <w:r>
        <w:rPr>
          <w:rFonts w:hint="eastAsia" w:ascii="仿宋_GB2312" w:hAnsi="楷体" w:eastAsia="仿宋_GB2312" w:cs="楷体"/>
          <w:sz w:val="32"/>
          <w:szCs w:val="32"/>
        </w:rPr>
        <w:t>进一步</w:t>
      </w:r>
      <w:r>
        <w:rPr>
          <w:rFonts w:hint="eastAsia" w:ascii="仿宋_GB2312" w:hAnsi="楷体" w:eastAsia="仿宋_GB2312" w:cs="楷体"/>
          <w:sz w:val="32"/>
          <w:szCs w:val="32"/>
          <w:shd w:val="clear" w:color="auto" w:fill="FFFFFF"/>
        </w:rPr>
        <w:t>抓好预算绩效管理工作人员队伍建设。加强绩效工作的指导和政策宣传，有的放矢地开展业务培训</w:t>
      </w:r>
      <w:r>
        <w:rPr>
          <w:rFonts w:hint="eastAsia" w:ascii="仿宋_GB2312" w:hAnsi="楷体" w:eastAsia="仿宋_GB2312"/>
          <w:sz w:val="32"/>
          <w:szCs w:val="32"/>
        </w:rPr>
        <w:t>，重点针对预算绩效管理工作中的难点问题进行指导和培训，逐步提高绩效管理人员的业务水平，</w:t>
      </w:r>
      <w:r>
        <w:rPr>
          <w:rFonts w:hint="eastAsia" w:ascii="仿宋_GB2312" w:eastAsia="仿宋_GB2312"/>
          <w:sz w:val="32"/>
          <w:szCs w:val="32"/>
        </w:rPr>
        <w:t>使富民县的绩效管理工作上一个新台阶。</w:t>
      </w:r>
    </w:p>
    <w:p w14:paraId="614612EA">
      <w:pPr>
        <w:spacing w:line="600" w:lineRule="exact"/>
        <w:ind w:firstLine="640" w:firstLineChars="200"/>
        <w:rPr>
          <w:rFonts w:ascii="仿宋_GB2312" w:hAnsi="楷体" w:eastAsia="仿宋_GB2312" w:cs="楷体"/>
          <w:sz w:val="32"/>
          <w:szCs w:val="32"/>
        </w:rPr>
      </w:pPr>
      <w:r>
        <w:rPr>
          <w:rFonts w:hint="eastAsia" w:ascii="仿宋_GB2312" w:hAnsi="黑体" w:eastAsia="仿宋_GB2312" w:cs="宋体"/>
          <w:kern w:val="0"/>
          <w:sz w:val="32"/>
          <w:szCs w:val="32"/>
        </w:rPr>
        <w:t>（四）强化报告制度。按照“谁评价、谁报告”的原则，行成部门向人大、政府报告的工作机制。</w:t>
      </w:r>
      <w:r>
        <w:rPr>
          <w:rFonts w:hint="eastAsia" w:ascii="仿宋_GB2312" w:hAnsi="楷体" w:eastAsia="仿宋_GB2312" w:cs="楷体_GB2312"/>
          <w:sz w:val="32"/>
          <w:szCs w:val="32"/>
        </w:rPr>
        <w:t>各预算部门（单位）要将组织自评的整体支出和项目支出绩效自评情况、存在问题和整改情况、绩效评价结果运用情况以书面形式向县人大、县政府报告，并抄送财政部门；财政部门要将委托第三方专业机构进行再评价的结果，以书面形式向县人大、县政府报告。</w:t>
      </w:r>
    </w:p>
    <w:p w14:paraId="72EBA39A">
      <w:pPr>
        <w:spacing w:line="600" w:lineRule="exact"/>
        <w:ind w:firstLine="640" w:firstLineChars="200"/>
        <w:rPr>
          <w:rFonts w:ascii="仿宋_GB2312" w:eastAsia="仿宋_GB2312"/>
          <w:sz w:val="32"/>
          <w:szCs w:val="32"/>
        </w:rPr>
      </w:pPr>
      <w:r>
        <w:rPr>
          <w:rFonts w:ascii="仿宋_GB2312" w:eastAsia="仿宋_GB2312"/>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6BEA">
    <w:pPr>
      <w:pStyle w:val="2"/>
      <w:jc w:val="right"/>
    </w:pPr>
    <w:r>
      <w:fldChar w:fldCharType="begin"/>
    </w:r>
    <w:r>
      <w:instrText xml:space="preserve"> PAGE   \* MERGEFORMAT </w:instrText>
    </w:r>
    <w:r>
      <w:fldChar w:fldCharType="separate"/>
    </w:r>
    <w:r>
      <w:rPr>
        <w:lang w:val="zh-CN"/>
      </w:rPr>
      <w:t>10</w:t>
    </w:r>
    <w:r>
      <w:rPr>
        <w:lang w:val="zh-CN"/>
      </w:rPr>
      <w:fldChar w:fldCharType="end"/>
    </w:r>
  </w:p>
  <w:p w14:paraId="693E293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C74"/>
    <w:rsid w:val="00000AF5"/>
    <w:rsid w:val="00006DE0"/>
    <w:rsid w:val="000157F9"/>
    <w:rsid w:val="00032E8E"/>
    <w:rsid w:val="00043234"/>
    <w:rsid w:val="00054569"/>
    <w:rsid w:val="00065E8C"/>
    <w:rsid w:val="000701A8"/>
    <w:rsid w:val="00074299"/>
    <w:rsid w:val="00076E7A"/>
    <w:rsid w:val="000A797B"/>
    <w:rsid w:val="000C0425"/>
    <w:rsid w:val="000C101D"/>
    <w:rsid w:val="000C1408"/>
    <w:rsid w:val="000C556C"/>
    <w:rsid w:val="000E56B7"/>
    <w:rsid w:val="000F25DE"/>
    <w:rsid w:val="0010160B"/>
    <w:rsid w:val="00101D9B"/>
    <w:rsid w:val="001045CF"/>
    <w:rsid w:val="001129BD"/>
    <w:rsid w:val="00127E92"/>
    <w:rsid w:val="001309B4"/>
    <w:rsid w:val="0013706E"/>
    <w:rsid w:val="001469EE"/>
    <w:rsid w:val="00150DAD"/>
    <w:rsid w:val="00161470"/>
    <w:rsid w:val="00167612"/>
    <w:rsid w:val="0017144C"/>
    <w:rsid w:val="001859C7"/>
    <w:rsid w:val="001A119C"/>
    <w:rsid w:val="001A5C76"/>
    <w:rsid w:val="001B2872"/>
    <w:rsid w:val="001C3A24"/>
    <w:rsid w:val="001E51CD"/>
    <w:rsid w:val="001F5DD2"/>
    <w:rsid w:val="002107BC"/>
    <w:rsid w:val="00221B04"/>
    <w:rsid w:val="002277F4"/>
    <w:rsid w:val="00260854"/>
    <w:rsid w:val="0026129A"/>
    <w:rsid w:val="00286EB8"/>
    <w:rsid w:val="00293AED"/>
    <w:rsid w:val="002959AF"/>
    <w:rsid w:val="00295AA6"/>
    <w:rsid w:val="002A202E"/>
    <w:rsid w:val="002B4B7A"/>
    <w:rsid w:val="002B5E7E"/>
    <w:rsid w:val="002D7778"/>
    <w:rsid w:val="002E088F"/>
    <w:rsid w:val="002F3007"/>
    <w:rsid w:val="0030044C"/>
    <w:rsid w:val="00302240"/>
    <w:rsid w:val="00306AD5"/>
    <w:rsid w:val="003124AC"/>
    <w:rsid w:val="003135C8"/>
    <w:rsid w:val="00326A83"/>
    <w:rsid w:val="003319B1"/>
    <w:rsid w:val="003336D0"/>
    <w:rsid w:val="003445D8"/>
    <w:rsid w:val="00345C91"/>
    <w:rsid w:val="00353168"/>
    <w:rsid w:val="003642E3"/>
    <w:rsid w:val="00376CA0"/>
    <w:rsid w:val="00393AD5"/>
    <w:rsid w:val="0039414E"/>
    <w:rsid w:val="00395842"/>
    <w:rsid w:val="003A1294"/>
    <w:rsid w:val="003C62E0"/>
    <w:rsid w:val="003F2A3E"/>
    <w:rsid w:val="003F5520"/>
    <w:rsid w:val="00401B84"/>
    <w:rsid w:val="00402309"/>
    <w:rsid w:val="00406F61"/>
    <w:rsid w:val="0042732B"/>
    <w:rsid w:val="004570E5"/>
    <w:rsid w:val="004729A9"/>
    <w:rsid w:val="004A63A3"/>
    <w:rsid w:val="004B54B0"/>
    <w:rsid w:val="004C1C2E"/>
    <w:rsid w:val="004D22F5"/>
    <w:rsid w:val="004E33A1"/>
    <w:rsid w:val="004E4AF6"/>
    <w:rsid w:val="004F244B"/>
    <w:rsid w:val="005201A7"/>
    <w:rsid w:val="0053155F"/>
    <w:rsid w:val="00531EF4"/>
    <w:rsid w:val="00540091"/>
    <w:rsid w:val="005506EF"/>
    <w:rsid w:val="00560D2D"/>
    <w:rsid w:val="00562F94"/>
    <w:rsid w:val="00563137"/>
    <w:rsid w:val="00563776"/>
    <w:rsid w:val="00573E89"/>
    <w:rsid w:val="0057639D"/>
    <w:rsid w:val="0059354A"/>
    <w:rsid w:val="005B64FD"/>
    <w:rsid w:val="005B6DCE"/>
    <w:rsid w:val="005C7FF4"/>
    <w:rsid w:val="005D29CE"/>
    <w:rsid w:val="005F18E0"/>
    <w:rsid w:val="005F7331"/>
    <w:rsid w:val="00606414"/>
    <w:rsid w:val="00612A8F"/>
    <w:rsid w:val="00616EC8"/>
    <w:rsid w:val="006279D4"/>
    <w:rsid w:val="00633C62"/>
    <w:rsid w:val="00657787"/>
    <w:rsid w:val="00670F6F"/>
    <w:rsid w:val="00686AB5"/>
    <w:rsid w:val="0068776A"/>
    <w:rsid w:val="006C2F5F"/>
    <w:rsid w:val="006D2A96"/>
    <w:rsid w:val="006D7108"/>
    <w:rsid w:val="006F351E"/>
    <w:rsid w:val="006F72E7"/>
    <w:rsid w:val="007007E6"/>
    <w:rsid w:val="007046EF"/>
    <w:rsid w:val="007154B6"/>
    <w:rsid w:val="007157F0"/>
    <w:rsid w:val="00742436"/>
    <w:rsid w:val="00745F4A"/>
    <w:rsid w:val="00756B69"/>
    <w:rsid w:val="00757282"/>
    <w:rsid w:val="00776439"/>
    <w:rsid w:val="007822B4"/>
    <w:rsid w:val="00787F35"/>
    <w:rsid w:val="00797884"/>
    <w:rsid w:val="007A32AC"/>
    <w:rsid w:val="007B4224"/>
    <w:rsid w:val="007C76F7"/>
    <w:rsid w:val="007D60D1"/>
    <w:rsid w:val="008065BF"/>
    <w:rsid w:val="008200F2"/>
    <w:rsid w:val="0084406F"/>
    <w:rsid w:val="00844E16"/>
    <w:rsid w:val="008733A7"/>
    <w:rsid w:val="008868DE"/>
    <w:rsid w:val="00890A6A"/>
    <w:rsid w:val="008A4CC9"/>
    <w:rsid w:val="008B4306"/>
    <w:rsid w:val="008D3B32"/>
    <w:rsid w:val="008D4872"/>
    <w:rsid w:val="008E22A5"/>
    <w:rsid w:val="00923611"/>
    <w:rsid w:val="009303FA"/>
    <w:rsid w:val="00947E2D"/>
    <w:rsid w:val="009614A1"/>
    <w:rsid w:val="009619D2"/>
    <w:rsid w:val="00966B02"/>
    <w:rsid w:val="00976CD7"/>
    <w:rsid w:val="0098206C"/>
    <w:rsid w:val="00984AF3"/>
    <w:rsid w:val="00996CDD"/>
    <w:rsid w:val="009B0534"/>
    <w:rsid w:val="009C4DEB"/>
    <w:rsid w:val="009D7BF3"/>
    <w:rsid w:val="009E2477"/>
    <w:rsid w:val="009E718C"/>
    <w:rsid w:val="00A11A60"/>
    <w:rsid w:val="00A15959"/>
    <w:rsid w:val="00A17FB9"/>
    <w:rsid w:val="00A2395F"/>
    <w:rsid w:val="00A24F81"/>
    <w:rsid w:val="00A3473F"/>
    <w:rsid w:val="00A435D8"/>
    <w:rsid w:val="00A730D7"/>
    <w:rsid w:val="00A92C63"/>
    <w:rsid w:val="00AA2899"/>
    <w:rsid w:val="00AA748F"/>
    <w:rsid w:val="00AB082E"/>
    <w:rsid w:val="00AB6159"/>
    <w:rsid w:val="00AD3CA3"/>
    <w:rsid w:val="00AF7F23"/>
    <w:rsid w:val="00B05231"/>
    <w:rsid w:val="00B2721D"/>
    <w:rsid w:val="00B53FE0"/>
    <w:rsid w:val="00B60793"/>
    <w:rsid w:val="00B825AA"/>
    <w:rsid w:val="00B84A3B"/>
    <w:rsid w:val="00B85FD6"/>
    <w:rsid w:val="00B86F43"/>
    <w:rsid w:val="00B942C6"/>
    <w:rsid w:val="00BA5168"/>
    <w:rsid w:val="00BD1EC1"/>
    <w:rsid w:val="00BE0307"/>
    <w:rsid w:val="00BE3624"/>
    <w:rsid w:val="00BE542C"/>
    <w:rsid w:val="00BE556D"/>
    <w:rsid w:val="00C00026"/>
    <w:rsid w:val="00C019F6"/>
    <w:rsid w:val="00C23BA1"/>
    <w:rsid w:val="00C31A2D"/>
    <w:rsid w:val="00C409E3"/>
    <w:rsid w:val="00C47B7D"/>
    <w:rsid w:val="00C47FD2"/>
    <w:rsid w:val="00C50CAD"/>
    <w:rsid w:val="00C55713"/>
    <w:rsid w:val="00C564D2"/>
    <w:rsid w:val="00C65125"/>
    <w:rsid w:val="00C74967"/>
    <w:rsid w:val="00C82138"/>
    <w:rsid w:val="00C82909"/>
    <w:rsid w:val="00C90AD4"/>
    <w:rsid w:val="00C95CC0"/>
    <w:rsid w:val="00C96ADA"/>
    <w:rsid w:val="00CF3A5D"/>
    <w:rsid w:val="00CF7C38"/>
    <w:rsid w:val="00D00855"/>
    <w:rsid w:val="00D10E7C"/>
    <w:rsid w:val="00D239BA"/>
    <w:rsid w:val="00D26A44"/>
    <w:rsid w:val="00D44882"/>
    <w:rsid w:val="00D46687"/>
    <w:rsid w:val="00D516DF"/>
    <w:rsid w:val="00D52801"/>
    <w:rsid w:val="00D57B26"/>
    <w:rsid w:val="00D57EDA"/>
    <w:rsid w:val="00D860D5"/>
    <w:rsid w:val="00DA14F8"/>
    <w:rsid w:val="00DA3C71"/>
    <w:rsid w:val="00DA62D6"/>
    <w:rsid w:val="00DB069E"/>
    <w:rsid w:val="00DB3065"/>
    <w:rsid w:val="00DB4283"/>
    <w:rsid w:val="00DB5E17"/>
    <w:rsid w:val="00DC24DF"/>
    <w:rsid w:val="00DF205E"/>
    <w:rsid w:val="00DF67A6"/>
    <w:rsid w:val="00E031F0"/>
    <w:rsid w:val="00E0489E"/>
    <w:rsid w:val="00E1535E"/>
    <w:rsid w:val="00E3502D"/>
    <w:rsid w:val="00E657FA"/>
    <w:rsid w:val="00E67599"/>
    <w:rsid w:val="00E67BC5"/>
    <w:rsid w:val="00E76918"/>
    <w:rsid w:val="00E84CB1"/>
    <w:rsid w:val="00E85D49"/>
    <w:rsid w:val="00E876E6"/>
    <w:rsid w:val="00E960E6"/>
    <w:rsid w:val="00EA576E"/>
    <w:rsid w:val="00EB3F76"/>
    <w:rsid w:val="00EE08DB"/>
    <w:rsid w:val="00EE2398"/>
    <w:rsid w:val="00EE24D7"/>
    <w:rsid w:val="00EE2E0A"/>
    <w:rsid w:val="00F000B0"/>
    <w:rsid w:val="00F006E2"/>
    <w:rsid w:val="00F02D0B"/>
    <w:rsid w:val="00F150A7"/>
    <w:rsid w:val="00F33148"/>
    <w:rsid w:val="00F34861"/>
    <w:rsid w:val="00F35E70"/>
    <w:rsid w:val="00F44BFB"/>
    <w:rsid w:val="00F53F65"/>
    <w:rsid w:val="00F56534"/>
    <w:rsid w:val="00F67A87"/>
    <w:rsid w:val="00F818B6"/>
    <w:rsid w:val="00F84013"/>
    <w:rsid w:val="00F97284"/>
    <w:rsid w:val="00F97C74"/>
    <w:rsid w:val="00FB2D36"/>
    <w:rsid w:val="00FB437B"/>
    <w:rsid w:val="00FC1992"/>
    <w:rsid w:val="00FC3D16"/>
    <w:rsid w:val="00FF0628"/>
    <w:rsid w:val="00FF4BC5"/>
    <w:rsid w:val="00FF519B"/>
    <w:rsid w:val="212E2F47"/>
    <w:rsid w:val="6C977B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jc w:val="left"/>
    </w:pPr>
    <w:rPr>
      <w:rFonts w:ascii="宋体" w:hAnsi="宋体" w:cs="宋体"/>
      <w:kern w:val="0"/>
      <w:sz w:val="24"/>
    </w:rPr>
  </w:style>
  <w:style w:type="character" w:customStyle="1" w:styleId="7">
    <w:name w:val="公文文号"/>
    <w:basedOn w:val="6"/>
    <w:qFormat/>
    <w:uiPriority w:val="99"/>
    <w:rPr>
      <w:rFonts w:ascii="仿宋_GB2312" w:eastAsia="仿宋_GB2312" w:cs="Times New Roman"/>
      <w:sz w:val="28"/>
    </w:rPr>
  </w:style>
  <w:style w:type="character" w:customStyle="1" w:styleId="8">
    <w:name w:val="Header Char"/>
    <w:basedOn w:val="6"/>
    <w:link w:val="3"/>
    <w:semiHidden/>
    <w:qFormat/>
    <w:locked/>
    <w:uiPriority w:val="99"/>
    <w:rPr>
      <w:rFonts w:cs="Times New Roman"/>
      <w:kern w:val="2"/>
      <w:sz w:val="18"/>
      <w:szCs w:val="18"/>
    </w:rPr>
  </w:style>
  <w:style w:type="character" w:customStyle="1" w:styleId="9">
    <w:name w:val="Footer Char"/>
    <w:basedOn w:val="6"/>
    <w:link w:val="2"/>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fmczj</Company>
  <Pages>10</Pages>
  <Words>4909</Words>
  <Characters>5000</Characters>
  <Lines>0</Lines>
  <Paragraphs>0</Paragraphs>
  <TotalTime>24</TotalTime>
  <ScaleCrop>false</ScaleCrop>
  <LinksUpToDate>false</LinksUpToDate>
  <CharactersWithSpaces>5034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2018-09-21T01:33:00Z</dcterms:created>
  <dc:creator>张子明</dc:creator>
  <cp:lastModifiedBy>momo</cp:lastModifiedBy>
  <cp:lastPrinted>2018-09-21T01:38:00Z</cp:lastPrinted>
  <dcterms:modified xsi:type="dcterms:W3CDTF">2025-04-23T08:08:47Z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eyJoZGlkIjoiZjMzNWIwYzJmM2UxNWNiZmZmYzAxMjBhZGZmYjM2YzkiLCJ1c2VySWQiOiIxMDg0Njk1MDExIn0=</vt:lpwstr>
  </property>
  <property fmtid="{D5CDD505-2E9C-101B-9397-08002B2CF9AE}" pid="3" name="KSOProductBuildVer">
    <vt:lpwstr>2052-12.1.0.20784</vt:lpwstr>
  </property>
  <property fmtid="{D5CDD505-2E9C-101B-9397-08002B2CF9AE}" pid="4" name="ICV">
    <vt:lpwstr>B6AB58468A8A42D382313CD26090D9BA_12</vt:lpwstr>
  </property>
</Properties>
</file>