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2A2AFB">
      <w:pPr>
        <w:keepNext w:val="0"/>
        <w:keepLines w:val="0"/>
        <w:pageBreakBefore w:val="0"/>
        <w:kinsoku/>
        <w:wordWrap/>
        <w:overflowPunct/>
        <w:topLine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bookmarkStart w:id="0" w:name="_Hlk514329293"/>
      <w:bookmarkStart w:id="1" w:name="_Hlk59973128"/>
      <w:bookmarkStart w:id="2" w:name="_Hlk63441701"/>
      <w:bookmarkStart w:id="3" w:name="_Hlk514321036"/>
      <w:r>
        <w:rPr>
          <w:rFonts w:hint="eastAsia" w:ascii="方正小标宋简体" w:hAnsi="方正小标宋简体" w:eastAsia="方正小标宋简体" w:cs="方正小标宋简体"/>
          <w:b w:val="0"/>
          <w:bCs w:val="0"/>
          <w:spacing w:val="-20"/>
          <w:sz w:val="44"/>
          <w:szCs w:val="44"/>
          <w:lang w:val="en-US" w:eastAsia="zh-CN"/>
        </w:rPr>
        <w:t>富民县医疗保障局</w:t>
      </w:r>
      <w:r>
        <w:rPr>
          <w:rFonts w:hint="eastAsia" w:ascii="方正小标宋简体" w:hAnsi="方正小标宋简体" w:eastAsia="方正小标宋简体" w:cs="方正小标宋简体"/>
          <w:b w:val="0"/>
          <w:bCs w:val="0"/>
          <w:spacing w:val="-20"/>
          <w:sz w:val="44"/>
          <w:szCs w:val="44"/>
        </w:rPr>
        <w:t>202</w:t>
      </w:r>
      <w:r>
        <w:rPr>
          <w:rFonts w:hint="eastAsia" w:ascii="方正小标宋简体" w:hAnsi="方正小标宋简体" w:eastAsia="方正小标宋简体" w:cs="方正小标宋简体"/>
          <w:b w:val="0"/>
          <w:bCs w:val="0"/>
          <w:spacing w:val="-20"/>
          <w:sz w:val="44"/>
          <w:szCs w:val="44"/>
          <w:lang w:val="en-US" w:eastAsia="zh-CN"/>
        </w:rPr>
        <w:t>4</w:t>
      </w:r>
      <w:r>
        <w:rPr>
          <w:rFonts w:hint="eastAsia" w:ascii="方正小标宋简体" w:hAnsi="方正小标宋简体" w:eastAsia="方正小标宋简体" w:cs="方正小标宋简体"/>
          <w:b w:val="0"/>
          <w:bCs w:val="0"/>
          <w:spacing w:val="-20"/>
          <w:sz w:val="44"/>
          <w:szCs w:val="44"/>
        </w:rPr>
        <w:t>年</w:t>
      </w:r>
      <w:r>
        <w:rPr>
          <w:rFonts w:hint="eastAsia" w:ascii="方正小标宋简体" w:hAnsi="方正小标宋简体" w:eastAsia="方正小标宋简体" w:cs="方正小标宋简体"/>
          <w:b w:val="0"/>
          <w:bCs w:val="0"/>
          <w:spacing w:val="-20"/>
          <w:sz w:val="44"/>
          <w:szCs w:val="44"/>
          <w:lang w:val="en-US" w:eastAsia="zh-CN"/>
        </w:rPr>
        <w:t>离休干部医疗费</w:t>
      </w:r>
      <w:r>
        <w:rPr>
          <w:rFonts w:hint="eastAsia" w:ascii="方正小标宋简体" w:hAnsi="方正小标宋简体" w:eastAsia="方正小标宋简体" w:cs="方正小标宋简体"/>
          <w:b w:val="0"/>
          <w:bCs w:val="0"/>
          <w:sz w:val="44"/>
          <w:szCs w:val="44"/>
        </w:rPr>
        <w:t>项目</w:t>
      </w:r>
    </w:p>
    <w:p w14:paraId="4CD21A70">
      <w:pPr>
        <w:keepNext w:val="0"/>
        <w:keepLines w:val="0"/>
        <w:pageBreakBefore w:val="0"/>
        <w:kinsoku/>
        <w:wordWrap/>
        <w:overflowPunct/>
        <w:topLinePunct/>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2"/>
          <w:szCs w:val="32"/>
        </w:rPr>
      </w:pPr>
      <w:r>
        <w:rPr>
          <w:rFonts w:hint="eastAsia" w:ascii="方正小标宋简体" w:hAnsi="方正小标宋简体" w:eastAsia="方正小标宋简体" w:cs="方正小标宋简体"/>
          <w:b w:val="0"/>
          <w:bCs w:val="0"/>
          <w:sz w:val="44"/>
          <w:szCs w:val="44"/>
        </w:rPr>
        <w:t>资金支出绩效评价报告</w:t>
      </w:r>
    </w:p>
    <w:p w14:paraId="54BF374E">
      <w:pPr>
        <w:keepNext w:val="0"/>
        <w:keepLines w:val="0"/>
        <w:pageBreakBefore w:val="0"/>
        <w:kinsoku/>
        <w:wordWrap/>
        <w:overflowPunct/>
        <w:topLinePunct/>
        <w:autoSpaceDE/>
        <w:autoSpaceDN/>
        <w:bidi w:val="0"/>
        <w:adjustRightInd/>
        <w:snapToGrid/>
        <w:spacing w:line="560" w:lineRule="exact"/>
        <w:ind w:left="0" w:leftChars="0" w:firstLine="803" w:firstLineChars="250"/>
        <w:textAlignment w:val="auto"/>
        <w:rPr>
          <w:rFonts w:hint="eastAsia" w:asciiTheme="majorEastAsia" w:hAnsiTheme="majorEastAsia" w:eastAsiaTheme="majorEastAsia" w:cstheme="majorEastAsia"/>
          <w:b/>
          <w:bCs/>
          <w:sz w:val="32"/>
          <w:szCs w:val="32"/>
        </w:rPr>
      </w:pPr>
    </w:p>
    <w:p w14:paraId="11201845">
      <w:pPr>
        <w:keepNext w:val="0"/>
        <w:keepLines w:val="0"/>
        <w:pageBreakBefore w:val="0"/>
        <w:kinsoku/>
        <w:wordWrap/>
        <w:overflowPunct/>
        <w:topLinePunct/>
        <w:autoSpaceDE/>
        <w:autoSpaceDN/>
        <w:bidi w:val="0"/>
        <w:adjustRightInd/>
        <w:snapToGrid/>
        <w:spacing w:line="560" w:lineRule="exact"/>
        <w:ind w:left="0" w:leftChars="0" w:firstLine="800" w:firstLineChars="250"/>
        <w:textAlignment w:val="auto"/>
        <w:rPr>
          <w:rFonts w:ascii="黑体" w:hAnsi="黑体" w:eastAsia="黑体"/>
          <w:sz w:val="32"/>
          <w:szCs w:val="32"/>
        </w:rPr>
      </w:pPr>
      <w:r>
        <w:rPr>
          <w:rFonts w:hint="eastAsia" w:ascii="黑体" w:hAnsi="黑体" w:eastAsia="黑体"/>
          <w:sz w:val="32"/>
          <w:szCs w:val="32"/>
        </w:rPr>
        <w:t>一、项目基本情况</w:t>
      </w:r>
    </w:p>
    <w:p w14:paraId="27CA337E">
      <w:pPr>
        <w:keepNext w:val="0"/>
        <w:keepLines w:val="0"/>
        <w:pageBreakBefore w:val="0"/>
        <w:kinsoku/>
        <w:wordWrap/>
        <w:overflowPunct/>
        <w:topLinePunct/>
        <w:autoSpaceDE/>
        <w:autoSpaceDN/>
        <w:bidi w:val="0"/>
        <w:adjustRightInd/>
        <w:snapToGrid/>
        <w:spacing w:line="560" w:lineRule="exact"/>
        <w:ind w:left="0" w:leftChars="0" w:firstLine="800" w:firstLineChars="250"/>
        <w:textAlignment w:val="auto"/>
        <w:rPr>
          <w:rFonts w:ascii="楷体_GB2312" w:hAnsi="楷体" w:eastAsia="楷体_GB2312"/>
          <w:sz w:val="32"/>
          <w:szCs w:val="32"/>
        </w:rPr>
      </w:pPr>
      <w:r>
        <w:rPr>
          <w:rFonts w:hint="eastAsia" w:ascii="楷体_GB2312" w:hAnsi="楷体" w:eastAsia="楷体_GB2312"/>
          <w:sz w:val="32"/>
          <w:szCs w:val="32"/>
        </w:rPr>
        <w:t>（一）项目概况</w:t>
      </w:r>
    </w:p>
    <w:p w14:paraId="251FD2C6">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Autospacing="0" w:line="560" w:lineRule="exact"/>
        <w:ind w:left="0" w:leftChars="0" w:right="0" w:hanging="360"/>
        <w:textAlignment w:val="auto"/>
        <w:rPr>
          <w:rFonts w:hint="default" w:ascii="Times New Roman" w:hAnsi="Times New Roman" w:eastAsia="仿宋_GB2312" w:cs="Times New Roman"/>
          <w:color w:val="0C0C0C" w:themeColor="text1" w:themeTint="F2"/>
          <w:sz w:val="32"/>
          <w:szCs w:val="32"/>
          <w:lang w:val="en-US" w:eastAsia="zh-CN"/>
        </w:rPr>
      </w:pPr>
      <w:r>
        <w:rPr>
          <w:rFonts w:hint="eastAsia" w:ascii="仿宋_GB2312" w:hAnsi="楷体" w:eastAsia="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default" w:ascii="Times New Roman" w:hAnsi="Times New Roman" w:eastAsia="仿宋_GB2312" w:cs="Times New Roman"/>
          <w:color w:val="0C0C0C" w:themeColor="text1" w:themeTint="F2"/>
          <w:sz w:val="32"/>
          <w:szCs w:val="32"/>
          <w:lang w:val="en-US" w:eastAsia="zh-CN"/>
        </w:rPr>
        <w:t>1.立项背景及目的</w:t>
      </w:r>
    </w:p>
    <w:p w14:paraId="54EBC23D">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hanging="363"/>
        <w:textAlignment w:val="auto"/>
        <w:rPr>
          <w:rFonts w:hint="default"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 xml:space="preserve">   依据《中华人民共和国社会保险法》贯彻落实党中央，国务院有关离退休干部工作的方针政策。《富民人民政府办公室关于印发县离休干部医疗统筹实施办法的通知》（富政办通〔2012〕108号)《富民人民政府办公室关于印发富民县离休干部医疗统筹实施办法的通知》（富政办通〔2020〕96号)确保离休人员医疗待遇落实到位，提高离休人员的健康水平。</w:t>
      </w:r>
      <w:r>
        <w:rPr>
          <w:rFonts w:hint="default"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本项目自2001</w:t>
      </w:r>
      <w:r>
        <w:rPr>
          <w:rFonts w:hint="default"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年医疗保险中心成立以来在我局</w:t>
      </w:r>
      <w:r>
        <w:rPr>
          <w:rFonts w:hint="default"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立项，属于长久性项目。</w:t>
      </w:r>
    </w:p>
    <w:p w14:paraId="34B586E1">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hanging="363"/>
        <w:textAlignment w:val="auto"/>
        <w:rPr>
          <w:rFonts w:hint="eastAsia" w:ascii="Times New Roman" w:hAnsi="Times New Roman" w:eastAsia="仿宋_GB2312" w:cs="Times New Roman"/>
          <w:color w:val="0C0C0C" w:themeColor="text1" w:themeTint="F2"/>
          <w:sz w:val="32"/>
          <w:szCs w:val="32"/>
          <w:lang w:val="en-US" w:eastAsia="zh-CN"/>
        </w:rPr>
      </w:pPr>
      <w:r>
        <w:rPr>
          <w:rFonts w:hint="eastAsia" w:ascii="仿宋_GB2312" w:hAnsi="楷体" w:eastAsia="仿宋_GB2312"/>
          <w:sz w:val="32"/>
          <w:szCs w:val="32"/>
          <w:lang w:val="en-US" w:eastAsia="zh-CN"/>
        </w:rPr>
        <w:t xml:space="preserve">   </w:t>
      </w:r>
      <w:r>
        <w:rPr>
          <w:rFonts w:hint="eastAsia" w:ascii="Times New Roman" w:hAnsi="Times New Roman" w:eastAsia="仿宋_GB2312" w:cs="Times New Roman"/>
          <w:color w:val="0C0C0C" w:themeColor="text1" w:themeTint="F2"/>
          <w:sz w:val="32"/>
          <w:szCs w:val="32"/>
          <w:lang w:val="en-US" w:eastAsia="zh-CN"/>
        </w:rPr>
        <w:t xml:space="preserve"> 2.项目实施情况</w:t>
      </w:r>
    </w:p>
    <w:p w14:paraId="573DFE43">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hanging="363"/>
        <w:textAlignment w:val="auto"/>
        <w:rPr>
          <w:rFonts w:hint="eastAsia" w:ascii="Times New Roman" w:hAnsi="Times New Roman" w:eastAsia="仿宋_GB2312" w:cs="Times New Roman"/>
          <w:color w:val="0C0C0C" w:themeColor="text1" w:themeTint="F2"/>
          <w:sz w:val="32"/>
          <w:szCs w:val="32"/>
          <w:lang w:val="en-US" w:eastAsia="zh-CN"/>
        </w:rPr>
      </w:pPr>
      <w:r>
        <w:rPr>
          <w:rFonts w:hint="eastAsia" w:ascii="Times New Roman" w:hAnsi="Times New Roman" w:eastAsia="仿宋_GB2312" w:cs="Times New Roman"/>
          <w:color w:val="0C0C0C" w:themeColor="text1" w:themeTint="F2"/>
          <w:sz w:val="32"/>
          <w:szCs w:val="32"/>
          <w:lang w:val="en-US" w:eastAsia="zh-CN"/>
        </w:rPr>
        <w:t xml:space="preserve">   2024年本级财政供养离休干部7人，云南省地质矿产勘查开发局八一四队供养离休干部1人。2024年全县离休人员医药费用预算金额为56万元，全由县本级财政预算，本年用于保障离休人员医疗费用,投入资金20.85万元（含离休干部医疗费专户利息2.85万元），资金到位率37.23%。全县纳入报销的离休人员共计8人。经统计,2024年离休人员住院35人次,报销支出达到46.58万元;门诊就诊110人次,报销支出达3.48万元。</w:t>
      </w:r>
    </w:p>
    <w:p w14:paraId="69D16E7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楷体" w:eastAsia="仿宋_GB2312"/>
          <w:sz w:val="32"/>
          <w:szCs w:val="32"/>
          <w:lang w:val="en-US" w:eastAsia="zh-CN"/>
        </w:rPr>
      </w:pPr>
      <w:r>
        <w:rPr>
          <w:rFonts w:hint="eastAsia" w:ascii="Times New Roman" w:hAnsi="Times New Roman" w:eastAsia="仿宋_GB2312" w:cs="Times New Roman"/>
          <w:color w:val="0C0C0C" w:themeColor="text1" w:themeTint="F2"/>
          <w:kern w:val="2"/>
          <w:sz w:val="32"/>
          <w:szCs w:val="32"/>
          <w:lang w:val="en-US" w:eastAsia="zh-CN" w:bidi="ar-SA"/>
        </w:rPr>
        <w:t>严格按照医保报销目录进行审核，费用审核率达100%，除丙类或自费外的费用按100%报销；离休人员在定点医疗机构因病就诊,持社保卡在开通离休人员医疗费一站式结算模块的医院一站式结算，医疗费用即时结算，减少垫付；未开通一站式结算的医疗机构，就诊产生的医疗费用采用手工实报实销。</w:t>
      </w:r>
    </w:p>
    <w:p w14:paraId="48249A03">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color w:val="0C0C0C" w:themeColor="text1" w:themeTint="F2"/>
          <w:kern w:val="2"/>
          <w:sz w:val="32"/>
          <w:szCs w:val="32"/>
          <w:lang w:val="en-US" w:eastAsia="zh-CN" w:bidi="ar-SA"/>
        </w:rPr>
      </w:pPr>
      <w:r>
        <w:rPr>
          <w:rFonts w:hint="eastAsia" w:ascii="Times New Roman" w:hAnsi="Times New Roman" w:eastAsia="仿宋_GB2312" w:cs="Times New Roman"/>
          <w:color w:val="0C0C0C" w:themeColor="text1" w:themeTint="F2"/>
          <w:kern w:val="2"/>
          <w:sz w:val="32"/>
          <w:szCs w:val="32"/>
          <w:lang w:val="en-US" w:eastAsia="zh-CN" w:bidi="ar-SA"/>
        </w:rPr>
        <w:t>3.资金来源及使用情况</w:t>
      </w:r>
    </w:p>
    <w:p w14:paraId="796A6DE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color w:val="0C0C0C" w:themeColor="text1" w:themeTint="F2"/>
          <w:kern w:val="2"/>
          <w:sz w:val="32"/>
          <w:szCs w:val="32"/>
          <w:lang w:val="en-US" w:eastAsia="zh-CN" w:bidi="ar-SA"/>
        </w:rPr>
      </w:pPr>
      <w:r>
        <w:rPr>
          <w:rFonts w:hint="eastAsia" w:ascii="Times New Roman" w:hAnsi="Times New Roman" w:eastAsia="仿宋_GB2312" w:cs="Times New Roman"/>
          <w:color w:val="0C0C0C" w:themeColor="text1" w:themeTint="F2"/>
          <w:kern w:val="2"/>
          <w:sz w:val="32"/>
          <w:szCs w:val="32"/>
          <w:lang w:val="en-US" w:eastAsia="zh-CN" w:bidi="ar-SA"/>
        </w:rPr>
        <w:t>2024年初预算离休人员医药费56万元，县财政1-12月累计拨付离休干部医疗费10万元，云南省地质矿产勘查开发局八一四队转入8万元，专户利息收入2.85万元，共计20.85万元已按时足额转入富民县医疗保险中心离休干部医疗费专户运行，县医保中心实际支付离休人员医药费50.06万元，上年结余38.82万元，资金累计滚存结余9.61万元。</w:t>
      </w:r>
    </w:p>
    <w:p w14:paraId="3E70A14B">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color w:val="0C0C0C" w:themeColor="text1" w:themeTint="F2"/>
          <w:kern w:val="2"/>
          <w:sz w:val="32"/>
          <w:szCs w:val="32"/>
          <w:lang w:val="en-US" w:eastAsia="zh-CN" w:bidi="ar-SA"/>
        </w:rPr>
      </w:pPr>
      <w:r>
        <w:rPr>
          <w:rFonts w:hint="eastAsia" w:ascii="Times New Roman" w:hAnsi="Times New Roman" w:eastAsia="仿宋_GB2312" w:cs="Times New Roman"/>
          <w:color w:val="0C0C0C" w:themeColor="text1" w:themeTint="F2"/>
          <w:kern w:val="2"/>
          <w:sz w:val="32"/>
          <w:szCs w:val="32"/>
          <w:lang w:val="en-US" w:eastAsia="zh-CN" w:bidi="ar-SA"/>
        </w:rPr>
        <w:t>4.组织及管理情况</w:t>
      </w:r>
    </w:p>
    <w:p w14:paraId="7089396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color w:val="0C0C0C" w:themeColor="text1" w:themeTint="F2"/>
          <w:kern w:val="2"/>
          <w:sz w:val="32"/>
          <w:szCs w:val="32"/>
          <w:lang w:val="en-US" w:eastAsia="zh-CN" w:bidi="ar-SA"/>
        </w:rPr>
      </w:pPr>
      <w:r>
        <w:rPr>
          <w:rFonts w:hint="eastAsia" w:ascii="Times New Roman" w:hAnsi="Times New Roman" w:eastAsia="仿宋_GB2312" w:cs="Times New Roman"/>
          <w:color w:val="0C0C0C" w:themeColor="text1" w:themeTint="F2"/>
          <w:kern w:val="2"/>
          <w:sz w:val="32"/>
          <w:szCs w:val="32"/>
          <w:lang w:val="en-US" w:eastAsia="zh-CN" w:bidi="ar-SA"/>
        </w:rPr>
        <w:t>项目绩效评价工作情况严格按照中央、省、市有关文件精神，进一步完善制度，规范审批程序，手续完备，档案管理规范。在项目资金报销工作中，建立了符合财务会计制度的离休干部医疗经费资金管理制度，专项管理、拨付规范、支付及时。</w:t>
      </w:r>
    </w:p>
    <w:p w14:paraId="6B0231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560" w:lineRule="exact"/>
        <w:ind w:left="0" w:leftChars="0" w:right="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绩效目标</w:t>
      </w:r>
      <w:r>
        <w:rPr>
          <w:rFonts w:hint="eastAsia" w:ascii="楷体_GB2312" w:hAnsi="楷体_GB2312" w:eastAsia="楷体_GB2312" w:cs="楷体_GB2312"/>
          <w:sz w:val="32"/>
          <w:szCs w:val="32"/>
          <w:lang w:val="en-US" w:eastAsia="zh-CN"/>
        </w:rPr>
        <w:t xml:space="preserve"> </w:t>
      </w:r>
    </w:p>
    <w:p w14:paraId="6E47ACF4">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color w:val="0C0C0C" w:themeColor="text1" w:themeTint="F2"/>
          <w:kern w:val="2"/>
          <w:sz w:val="32"/>
          <w:szCs w:val="32"/>
          <w:lang w:val="en-US" w:eastAsia="zh-CN" w:bidi="ar-SA"/>
        </w:rPr>
      </w:pPr>
      <w:r>
        <w:rPr>
          <w:rFonts w:hint="eastAsia" w:ascii="Times New Roman" w:hAnsi="Times New Roman" w:eastAsia="仿宋_GB2312" w:cs="Times New Roman"/>
          <w:color w:val="0C0C0C" w:themeColor="text1" w:themeTint="F2"/>
          <w:kern w:val="2"/>
          <w:sz w:val="32"/>
          <w:szCs w:val="32"/>
          <w:lang w:val="en-US" w:eastAsia="zh-CN" w:bidi="ar-SA"/>
        </w:rPr>
        <w:t>2024年离休人员绩效目标：</w:t>
      </w:r>
    </w:p>
    <w:p w14:paraId="623D69E5">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color w:val="0C0C0C" w:themeColor="text1" w:themeTint="F2"/>
          <w:kern w:val="2"/>
          <w:sz w:val="32"/>
          <w:szCs w:val="32"/>
          <w:lang w:val="en-US" w:eastAsia="zh-CN" w:bidi="ar-SA"/>
        </w:rPr>
      </w:pPr>
      <w:r>
        <w:rPr>
          <w:rFonts w:hint="eastAsia" w:ascii="Times New Roman" w:hAnsi="Times New Roman" w:eastAsia="仿宋_GB2312" w:cs="Times New Roman"/>
          <w:color w:val="0C0C0C" w:themeColor="text1" w:themeTint="F2"/>
          <w:kern w:val="2"/>
          <w:sz w:val="32"/>
          <w:szCs w:val="32"/>
          <w:lang w:val="en-US" w:eastAsia="zh-CN" w:bidi="ar-SA"/>
        </w:rPr>
        <w:t>数量指标：（1）纳入本级财政报帐人数7人，（2）财政预算统筹支付标准80000元/人/年。</w:t>
      </w:r>
    </w:p>
    <w:p w14:paraId="607E17DC">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color w:val="0C0C0C" w:themeColor="text1" w:themeTint="F2"/>
          <w:kern w:val="2"/>
          <w:sz w:val="32"/>
          <w:szCs w:val="32"/>
          <w:lang w:val="en-US" w:eastAsia="zh-CN" w:bidi="ar-SA"/>
        </w:rPr>
      </w:pPr>
      <w:r>
        <w:rPr>
          <w:rFonts w:hint="eastAsia" w:ascii="Times New Roman" w:hAnsi="Times New Roman" w:eastAsia="仿宋_GB2312" w:cs="Times New Roman"/>
          <w:color w:val="0C0C0C" w:themeColor="text1" w:themeTint="F2"/>
          <w:kern w:val="2"/>
          <w:sz w:val="32"/>
          <w:szCs w:val="32"/>
          <w:lang w:val="en-US" w:eastAsia="zh-CN" w:bidi="ar-SA"/>
        </w:rPr>
        <w:t>质量指标：（1）医药费支付方式为非现金支付，（2）费用审核率达100%。</w:t>
      </w:r>
    </w:p>
    <w:p w14:paraId="210F0289">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color w:val="0C0C0C" w:themeColor="text1" w:themeTint="F2"/>
          <w:kern w:val="2"/>
          <w:sz w:val="32"/>
          <w:szCs w:val="32"/>
          <w:lang w:val="en-US" w:eastAsia="zh-CN" w:bidi="ar-SA"/>
        </w:rPr>
      </w:pPr>
      <w:r>
        <w:rPr>
          <w:rFonts w:hint="eastAsia" w:ascii="Times New Roman" w:hAnsi="Times New Roman" w:eastAsia="仿宋_GB2312" w:cs="Times New Roman"/>
          <w:color w:val="0C0C0C" w:themeColor="text1" w:themeTint="F2"/>
          <w:kern w:val="2"/>
          <w:sz w:val="32"/>
          <w:szCs w:val="32"/>
          <w:lang w:val="en-US" w:eastAsia="zh-CN" w:bidi="ar-SA"/>
        </w:rPr>
        <w:t>时效指标：医药费支付时间，由医院结算后在资金充裕情况下，当月费用，按季结算报销拨付。</w:t>
      </w:r>
    </w:p>
    <w:p w14:paraId="19EC65B6">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color w:val="0C0C0C" w:themeColor="text1" w:themeTint="F2"/>
          <w:kern w:val="2"/>
          <w:sz w:val="32"/>
          <w:szCs w:val="32"/>
          <w:lang w:val="en-US" w:eastAsia="zh-CN" w:bidi="ar-SA"/>
        </w:rPr>
      </w:pPr>
      <w:r>
        <w:rPr>
          <w:rFonts w:hint="eastAsia" w:ascii="Times New Roman" w:hAnsi="Times New Roman" w:eastAsia="仿宋_GB2312" w:cs="Times New Roman"/>
          <w:color w:val="0C0C0C" w:themeColor="text1" w:themeTint="F2"/>
          <w:kern w:val="2"/>
          <w:sz w:val="32"/>
          <w:szCs w:val="32"/>
          <w:lang w:val="en-US" w:eastAsia="zh-CN" w:bidi="ar-SA"/>
        </w:rPr>
        <w:t>社会效益：2024年享受医疗报销待遇145人次，医疗费用报销支出50.06万元。实现了县级离休人员覆盖率达100%。县内离休人员在本县定点医疗机构（富民县人民医院）因病就诊,普通门诊和住院持社保卡在医院结算窗口一站式结算。看病就医方便程度明显提高，离休人员医疗费用得到保障。</w:t>
      </w:r>
    </w:p>
    <w:p w14:paraId="1F8AE8DB">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color w:val="0C0C0C" w:themeColor="text1" w:themeTint="F2"/>
          <w:kern w:val="2"/>
          <w:sz w:val="32"/>
          <w:szCs w:val="32"/>
          <w:lang w:val="en-US" w:eastAsia="zh-CN" w:bidi="ar-SA"/>
        </w:rPr>
      </w:pPr>
      <w:r>
        <w:rPr>
          <w:rFonts w:hint="eastAsia" w:ascii="Times New Roman" w:hAnsi="Times New Roman" w:eastAsia="仿宋_GB2312" w:cs="Times New Roman"/>
          <w:color w:val="0C0C0C" w:themeColor="text1" w:themeTint="F2"/>
          <w:kern w:val="2"/>
          <w:sz w:val="32"/>
          <w:szCs w:val="32"/>
          <w:lang w:val="en-US" w:eastAsia="zh-CN" w:bidi="ar-SA"/>
        </w:rPr>
        <w:t>可持续发展：一直以来，我县在财政资金短缺的情况下仍然以保障特殊人群离休人员的切身利益为先，积极调研探索、健全医疗保障制度体系，促进社会和谐稳定取得一定成效。</w:t>
      </w:r>
    </w:p>
    <w:p w14:paraId="25E05AA4">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Times New Roman"/>
          <w:color w:val="0C0C0C" w:themeColor="text1" w:themeTint="F2"/>
          <w:kern w:val="2"/>
          <w:sz w:val="32"/>
          <w:szCs w:val="32"/>
          <w:lang w:val="en-US" w:eastAsia="zh-CN" w:bidi="ar-SA"/>
        </w:rPr>
      </w:pPr>
      <w:r>
        <w:rPr>
          <w:rFonts w:hint="eastAsia" w:ascii="Times New Roman" w:hAnsi="Times New Roman" w:eastAsia="仿宋_GB2312" w:cs="Times New Roman"/>
          <w:color w:val="0C0C0C" w:themeColor="text1" w:themeTint="F2"/>
          <w:kern w:val="2"/>
          <w:sz w:val="32"/>
          <w:szCs w:val="32"/>
          <w:lang w:val="en-US" w:eastAsia="zh-CN" w:bidi="ar-SA"/>
        </w:rPr>
        <w:t>社会公众满意度：2024年以来，按照离休人员的要求,我局不断完善报销政策,联合县财政、县组织部等部门商讨,制定切实可行的报销方式和报销政策,使离休人员对报销政策知晓率达到普遍知晓。据调查显示，受助离休人员满意率均达100%。</w:t>
      </w:r>
    </w:p>
    <w:p w14:paraId="497BDF99">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绩效评价工作情况</w:t>
      </w:r>
    </w:p>
    <w:p w14:paraId="130B5E52">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（一）阐述的主要内容</w:t>
      </w:r>
    </w:p>
    <w:p w14:paraId="5E271A85">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0C0C0C" w:themeColor="text1" w:themeTint="F2"/>
          <w:kern w:val="2"/>
          <w:sz w:val="32"/>
          <w:szCs w:val="32"/>
          <w:lang w:val="en-US" w:eastAsia="zh-CN" w:bidi="ar-SA"/>
        </w:rPr>
      </w:pPr>
      <w:r>
        <w:rPr>
          <w:rFonts w:hint="eastAsia" w:ascii="Times New Roman" w:hAnsi="Times New Roman" w:eastAsia="仿宋_GB2312" w:cs="Times New Roman"/>
          <w:color w:val="0C0C0C" w:themeColor="text1" w:themeTint="F2"/>
          <w:kern w:val="2"/>
          <w:sz w:val="32"/>
          <w:szCs w:val="32"/>
          <w:lang w:val="en-US" w:eastAsia="zh-CN" w:bidi="ar-SA"/>
        </w:rPr>
        <w:t>严格项目管理，确保项目实施过程规范，年度目标已全部完成，并且效果明显，在资金管理方面严格按专项资金管理及使用要求，做到专款专用，严格按照时限、流程和要求拨款兑付，付款凭证等材料完善。</w:t>
      </w:r>
    </w:p>
    <w:p w14:paraId="255638ED">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二</w:t>
      </w:r>
      <w:r>
        <w:rPr>
          <w:rFonts w:hint="eastAsia" w:ascii="楷体" w:hAnsi="楷体" w:eastAsia="楷体" w:cs="楷体"/>
          <w:color w:val="auto"/>
          <w:sz w:val="32"/>
          <w:szCs w:val="32"/>
        </w:rPr>
        <w:t>）绩效评价原则、评价方法</w:t>
      </w:r>
    </w:p>
    <w:p w14:paraId="3E8075DE">
      <w:pPr>
        <w:keepNext w:val="0"/>
        <w:keepLines w:val="0"/>
        <w:pageBreakBefore w:val="0"/>
        <w:widowControl w:val="0"/>
        <w:kinsoku/>
        <w:wordWrap/>
        <w:overflowPunct/>
        <w:topLinePunct/>
        <w:autoSpaceDE/>
        <w:autoSpaceDN/>
        <w:bidi w:val="0"/>
        <w:adjustRightInd/>
        <w:snapToGrid/>
        <w:spacing w:line="560" w:lineRule="exact"/>
        <w:ind w:left="0" w:leftChars="0" w:firstLine="643" w:firstLineChars="200"/>
        <w:jc w:val="both"/>
        <w:textAlignment w:val="auto"/>
        <w:rPr>
          <w:rFonts w:ascii="仿宋_GB2312" w:hAnsi="Times New Roman" w:eastAsia="仿宋_GB2312" w:cs="Times New Roman"/>
          <w:color w:val="000000"/>
          <w:sz w:val="32"/>
          <w:szCs w:val="32"/>
        </w:rPr>
      </w:pPr>
      <w:r>
        <w:rPr>
          <w:rFonts w:ascii="仿宋_GB2312" w:hAnsi="楷体" w:eastAsia="仿宋_GB2312" w:cs="Times New Roman"/>
          <w:b/>
          <w:bCs/>
          <w:sz w:val="32"/>
          <w:szCs w:val="32"/>
        </w:rPr>
        <w:t>1.</w:t>
      </w:r>
      <w:r>
        <w:rPr>
          <w:rFonts w:hint="eastAsia" w:ascii="仿宋_GB2312" w:hAnsi="楷体" w:eastAsia="仿宋_GB2312" w:cs="Times New Roman"/>
          <w:b/>
          <w:bCs/>
          <w:sz w:val="32"/>
          <w:szCs w:val="32"/>
        </w:rPr>
        <w:t>绩效评价原则。</w:t>
      </w:r>
      <w:r>
        <w:rPr>
          <w:rFonts w:hint="eastAsia" w:ascii="仿宋_GB2312" w:hAnsi="Times New Roman" w:eastAsia="仿宋_GB2312" w:cs="Times New Roman"/>
          <w:color w:val="000000"/>
          <w:sz w:val="32"/>
          <w:szCs w:val="32"/>
        </w:rPr>
        <w:t>根据预算法的相关规定，在预算编制时，我局已建立事前绩效目标编制工作，构建事中绩效跟踪和绩效评价机制。为确保绩效目标如期实现，我局根据确定的部门整体支出绩效目标和项目支出绩效目标，对绩效目标的完成情况进行跟踪和绩效自评。按照“谁申请资金、谁编制目标”的原则做好评价工作。</w:t>
      </w:r>
    </w:p>
    <w:p w14:paraId="230D96BF">
      <w:pPr>
        <w:keepNext w:val="0"/>
        <w:keepLines w:val="0"/>
        <w:pageBreakBefore w:val="0"/>
        <w:kinsoku/>
        <w:wordWrap/>
        <w:overflowPunct/>
        <w:topLinePunct/>
        <w:autoSpaceDE/>
        <w:autoSpaceDN/>
        <w:bidi w:val="0"/>
        <w:adjustRightInd/>
        <w:snapToGrid/>
        <w:spacing w:line="560" w:lineRule="exact"/>
        <w:ind w:left="0" w:leftChars="0" w:firstLine="803" w:firstLineChars="250"/>
        <w:textAlignment w:val="auto"/>
        <w:rPr>
          <w:rFonts w:hint="eastAsia" w:ascii="仿宋" w:hAnsi="仿宋" w:eastAsia="仿宋" w:cs="仿宋"/>
          <w:color w:val="333333"/>
          <w:sz w:val="32"/>
          <w:szCs w:val="32"/>
          <w:lang w:val="en-US" w:eastAsia="zh-CN"/>
        </w:rPr>
      </w:pPr>
      <w:r>
        <w:rPr>
          <w:rFonts w:ascii="仿宋_GB2312" w:hAnsi="楷体" w:eastAsia="仿宋_GB2312" w:cs="Times New Roman"/>
          <w:b/>
          <w:bCs/>
          <w:sz w:val="32"/>
          <w:szCs w:val="32"/>
        </w:rPr>
        <w:t>2.</w:t>
      </w:r>
      <w:r>
        <w:rPr>
          <w:rFonts w:hint="eastAsia" w:ascii="仿宋_GB2312" w:hAnsi="楷体" w:eastAsia="仿宋_GB2312" w:cs="Times New Roman"/>
          <w:b/>
          <w:bCs/>
          <w:sz w:val="32"/>
          <w:szCs w:val="32"/>
        </w:rPr>
        <w:t>绩效评价方法。</w:t>
      </w:r>
      <w:r>
        <w:rPr>
          <w:rFonts w:hint="eastAsia" w:ascii="仿宋_GB2312" w:hAnsi="Times New Roman" w:eastAsia="仿宋_GB2312" w:cs="Times New Roman"/>
          <w:color w:val="000000"/>
          <w:sz w:val="32"/>
          <w:szCs w:val="32"/>
        </w:rPr>
        <w:t>积极组织力量，项目自评绩效由业务处室填报项目绩效自评情况，财务处协助；单位整体绩效由财务处填报，办公室及相关</w:t>
      </w:r>
      <w:r>
        <w:rPr>
          <w:rFonts w:hint="eastAsia" w:ascii="仿宋_GB2312" w:hAnsi="Times New Roman" w:eastAsia="仿宋_GB2312" w:cs="Times New Roman"/>
          <w:color w:val="000000"/>
          <w:sz w:val="32"/>
          <w:szCs w:val="32"/>
          <w:lang w:val="en-US" w:eastAsia="zh-CN"/>
        </w:rPr>
        <w:t>业务</w:t>
      </w:r>
      <w:r>
        <w:rPr>
          <w:rFonts w:hint="eastAsia" w:ascii="仿宋_GB2312" w:hAnsi="Times New Roman" w:eastAsia="仿宋_GB2312" w:cs="Times New Roman"/>
          <w:color w:val="000000"/>
          <w:sz w:val="32"/>
          <w:szCs w:val="32"/>
        </w:rPr>
        <w:t>部门提供佐证材料和依据。</w:t>
      </w:r>
    </w:p>
    <w:p w14:paraId="108BEC89">
      <w:pPr>
        <w:keepNext w:val="0"/>
        <w:keepLines w:val="0"/>
        <w:pageBreakBefore w:val="0"/>
        <w:kinsoku/>
        <w:wordWrap/>
        <w:overflowPunct/>
        <w:topLinePunct/>
        <w:autoSpaceDE/>
        <w:autoSpaceDN/>
        <w:bidi w:val="0"/>
        <w:adjustRightInd/>
        <w:snapToGrid/>
        <w:spacing w:line="560" w:lineRule="exact"/>
        <w:ind w:left="0" w:leftChars="0" w:firstLine="800" w:firstLineChars="250"/>
        <w:textAlignment w:val="auto"/>
        <w:rPr>
          <w:rFonts w:ascii="黑体" w:hAnsi="黑体" w:eastAsia="黑体"/>
          <w:sz w:val="32"/>
          <w:szCs w:val="32"/>
        </w:rPr>
      </w:pPr>
      <w:r>
        <w:rPr>
          <w:rFonts w:hint="eastAsia" w:ascii="黑体" w:hAnsi="黑体" w:eastAsia="黑体"/>
          <w:sz w:val="32"/>
          <w:szCs w:val="32"/>
        </w:rPr>
        <w:t>三、评价结论</w:t>
      </w:r>
    </w:p>
    <w:p w14:paraId="6AF60D0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560" w:lineRule="exact"/>
        <w:ind w:left="0" w:leftChars="0" w:right="0" w:firstLine="640" w:firstLineChars="200"/>
        <w:textAlignment w:val="auto"/>
        <w:rPr>
          <w:rFonts w:hint="eastAsia" w:ascii="楷体_GB2312" w:hAnsi="仿宋" w:eastAsia="楷体_GB2312"/>
          <w:sz w:val="32"/>
          <w:szCs w:val="32"/>
        </w:rPr>
      </w:pPr>
      <w:r>
        <w:rPr>
          <w:rFonts w:hint="eastAsia" w:ascii="楷体_GB2312" w:hAnsi="仿宋" w:eastAsia="楷体_GB2312"/>
          <w:sz w:val="32"/>
          <w:szCs w:val="32"/>
          <w:lang w:eastAsia="zh-CN"/>
        </w:rPr>
        <w:t>（</w:t>
      </w:r>
      <w:r>
        <w:rPr>
          <w:rFonts w:hint="eastAsia" w:ascii="楷体_GB2312" w:hAnsi="仿宋" w:eastAsia="楷体_GB2312"/>
          <w:sz w:val="32"/>
          <w:szCs w:val="32"/>
          <w:lang w:val="en-US" w:eastAsia="zh-CN"/>
        </w:rPr>
        <w:t>一</w:t>
      </w:r>
      <w:r>
        <w:rPr>
          <w:rFonts w:hint="eastAsia" w:ascii="楷体_GB2312" w:hAnsi="仿宋" w:eastAsia="楷体_GB2312"/>
          <w:sz w:val="32"/>
          <w:szCs w:val="32"/>
          <w:lang w:eastAsia="zh-CN"/>
        </w:rPr>
        <w:t>）</w:t>
      </w:r>
      <w:r>
        <w:rPr>
          <w:rFonts w:hint="eastAsia" w:ascii="楷体_GB2312" w:hAnsi="仿宋" w:eastAsia="楷体_GB2312"/>
          <w:sz w:val="32"/>
          <w:szCs w:val="32"/>
        </w:rPr>
        <w:t>评价结果</w:t>
      </w:r>
    </w:p>
    <w:p w14:paraId="62D6F02E">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0C0C0C" w:themeColor="text1" w:themeTint="F2"/>
          <w:kern w:val="2"/>
          <w:sz w:val="32"/>
          <w:szCs w:val="32"/>
          <w:lang w:val="en-US" w:eastAsia="zh-CN" w:bidi="ar-SA"/>
        </w:rPr>
      </w:pPr>
      <w:r>
        <w:rPr>
          <w:rFonts w:hint="eastAsia" w:ascii="Times New Roman" w:hAnsi="Times New Roman" w:eastAsia="仿宋_GB2312" w:cs="Times New Roman"/>
          <w:color w:val="0C0C0C" w:themeColor="text1" w:themeTint="F2"/>
          <w:kern w:val="2"/>
          <w:sz w:val="32"/>
          <w:szCs w:val="32"/>
          <w:lang w:val="en-US" w:eastAsia="zh-CN" w:bidi="ar-SA"/>
        </w:rPr>
        <w:t>根据项目支出绩效指标要求，我单位分析评价自评分为91.79分，自评等级为优秀。</w:t>
      </w:r>
    </w:p>
    <w:p w14:paraId="1DFDD57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560" w:lineRule="exact"/>
        <w:ind w:left="0" w:leftChars="0" w:right="0" w:firstLine="640" w:firstLineChars="200"/>
        <w:textAlignment w:val="auto"/>
        <w:rPr>
          <w:rFonts w:hint="eastAsia" w:ascii="楷体" w:hAnsi="楷体" w:eastAsia="楷体" w:cs="楷体"/>
          <w:sz w:val="32"/>
          <w:szCs w:val="32"/>
        </w:rPr>
      </w:pPr>
      <w:r>
        <w:rPr>
          <w:rFonts w:hint="eastAsia" w:ascii="楷体_GB2312" w:hAnsi="仿宋" w:eastAsia="楷体_GB2312"/>
          <w:sz w:val="32"/>
          <w:szCs w:val="32"/>
          <w:lang w:eastAsia="zh-CN"/>
        </w:rPr>
        <w:t>（</w:t>
      </w:r>
      <w:r>
        <w:rPr>
          <w:rFonts w:hint="eastAsia" w:ascii="楷体_GB2312" w:hAnsi="仿宋" w:eastAsia="楷体_GB2312"/>
          <w:sz w:val="32"/>
          <w:szCs w:val="32"/>
          <w:lang w:val="en-US" w:eastAsia="zh-CN"/>
        </w:rPr>
        <w:t>二</w:t>
      </w:r>
      <w:r>
        <w:rPr>
          <w:rFonts w:hint="eastAsia" w:ascii="楷体_GB2312" w:hAnsi="仿宋" w:eastAsia="楷体_GB2312"/>
          <w:sz w:val="32"/>
          <w:szCs w:val="32"/>
          <w:lang w:eastAsia="zh-CN"/>
        </w:rPr>
        <w:t>）主要绩效</w:t>
      </w:r>
    </w:p>
    <w:p w14:paraId="507D0A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Times New Roman"/>
          <w:color w:val="0C0C0C" w:themeColor="text1" w:themeTint="F2"/>
          <w:kern w:val="2"/>
          <w:sz w:val="32"/>
          <w:szCs w:val="32"/>
          <w:lang w:val="en-US" w:eastAsia="zh-CN" w:bidi="ar-SA"/>
        </w:rPr>
      </w:pPr>
      <w:r>
        <w:rPr>
          <w:rFonts w:hint="eastAsia" w:ascii="Times New Roman" w:hAnsi="Times New Roman" w:eastAsia="仿宋_GB2312" w:cs="Times New Roman"/>
          <w:color w:val="0C0C0C" w:themeColor="text1" w:themeTint="F2"/>
          <w:kern w:val="2"/>
          <w:sz w:val="32"/>
          <w:szCs w:val="32"/>
          <w:lang w:val="en-US" w:eastAsia="zh-CN" w:bidi="ar-SA"/>
        </w:rPr>
        <w:t>项目实施主体明确，项目资金能够按照财政部门关于预算申报、预算评审、资金申请、资金审计的有关工作要求进行审批，并最终落实到位。本项目依照各项离休人员医疗费相关政策及管理办法进行操作，项目管理制度、财务管理制度健全，待遇享受对象范围明确。同时，在项目实施的全过程中，各科室均制订了严格的实施制度，开展了专业培训，指定了专人对项目进行监督，并按时、按质、按量完成项目绩效指标，确保离休干部医疗费项目工作的正常开展。</w:t>
      </w:r>
    </w:p>
    <w:p w14:paraId="6E065DD4">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560" w:lineRule="exact"/>
        <w:ind w:right="0" w:rightChars="0" w:firstLine="640" w:firstLineChars="200"/>
        <w:textAlignment w:val="auto"/>
        <w:rPr>
          <w:rFonts w:hint="eastAsia" w:ascii="楷体" w:hAnsi="楷体" w:eastAsia="楷体" w:cs="楷体"/>
          <w:color w:val="auto"/>
          <w:sz w:val="32"/>
          <w:szCs w:val="32"/>
          <w:lang w:eastAsia="zh-CN"/>
        </w:rPr>
      </w:pPr>
      <w:r>
        <w:rPr>
          <w:rFonts w:hint="eastAsia" w:ascii="黑体" w:hAnsi="黑体" w:eastAsia="黑体"/>
          <w:sz w:val="32"/>
          <w:szCs w:val="32"/>
          <w:lang w:val="en-US" w:eastAsia="zh-CN"/>
        </w:rPr>
        <w:t>四、</w:t>
      </w:r>
      <w:r>
        <w:rPr>
          <w:rFonts w:hint="eastAsia" w:ascii="黑体" w:hAnsi="黑体" w:eastAsia="黑体"/>
          <w:sz w:val="32"/>
          <w:szCs w:val="32"/>
        </w:rPr>
        <w:t>成本效益分析</w:t>
      </w:r>
    </w:p>
    <w:p w14:paraId="49786084">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0C0C0C" w:themeColor="text1" w:themeTint="F2"/>
          <w:kern w:val="2"/>
          <w:sz w:val="32"/>
          <w:szCs w:val="32"/>
          <w:lang w:val="en-US" w:eastAsia="zh-CN" w:bidi="ar-SA"/>
        </w:rPr>
      </w:pPr>
      <w:r>
        <w:rPr>
          <w:rFonts w:hint="eastAsia" w:ascii="Times New Roman" w:hAnsi="Times New Roman" w:eastAsia="仿宋_GB2312" w:cs="Times New Roman"/>
          <w:color w:val="0C0C0C" w:themeColor="text1" w:themeTint="F2"/>
          <w:kern w:val="2"/>
          <w:sz w:val="32"/>
          <w:szCs w:val="32"/>
          <w:lang w:val="en-US" w:eastAsia="zh-CN" w:bidi="ar-SA"/>
        </w:rPr>
        <w:t>开</w:t>
      </w:r>
      <w:r>
        <w:rPr>
          <w:rFonts w:hint="eastAsia" w:ascii="Times New Roman" w:hAnsi="Times New Roman" w:eastAsia="仿宋_GB2312" w:cs="Times New Roman"/>
          <w:color w:val="0C0C0C" w:themeColor="text1" w:themeTint="F2"/>
          <w:kern w:val="2"/>
          <w:sz w:val="32"/>
          <w:szCs w:val="32"/>
          <w:lang w:val="en-US" w:eastAsia="zh-CN" w:bidi="ar-SA"/>
        </w:rPr>
        <w:t>支成本以预算为基准执行，厉行节约，超支不付；通过领导审核、财务把关、相关部门监督等工作流程，部门项目支出没有超预算、超资金情况。</w:t>
      </w:r>
    </w:p>
    <w:p w14:paraId="32A09734">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0C0C0C" w:themeColor="text1" w:themeTint="F2"/>
          <w:kern w:val="2"/>
          <w:sz w:val="32"/>
          <w:szCs w:val="32"/>
          <w:lang w:val="en-US" w:eastAsia="zh-CN" w:bidi="ar-SA"/>
        </w:rPr>
      </w:pPr>
      <w:r>
        <w:rPr>
          <w:rFonts w:hint="eastAsia" w:ascii="Times New Roman" w:hAnsi="Times New Roman" w:eastAsia="仿宋_GB2312" w:cs="Times New Roman"/>
          <w:color w:val="0C0C0C" w:themeColor="text1" w:themeTint="F2"/>
          <w:kern w:val="2"/>
          <w:sz w:val="32"/>
          <w:szCs w:val="32"/>
          <w:lang w:val="en-US" w:eastAsia="zh-CN" w:bidi="ar-SA"/>
        </w:rPr>
        <w:t>1.我局认真贯彻实施离休人员报销政策，严格程序，规范操作，切实履行以民为本、为民解困的根本宗旨，以保障离休人员切身利益。</w:t>
      </w:r>
    </w:p>
    <w:p w14:paraId="7BAFBD91">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0C0C0C" w:themeColor="text1" w:themeTint="F2"/>
          <w:kern w:val="2"/>
          <w:sz w:val="32"/>
          <w:szCs w:val="32"/>
          <w:lang w:val="en-US" w:eastAsia="zh-CN" w:bidi="ar-SA"/>
        </w:rPr>
      </w:pPr>
      <w:r>
        <w:rPr>
          <w:rFonts w:hint="eastAsia" w:ascii="Times New Roman" w:hAnsi="Times New Roman" w:eastAsia="仿宋_GB2312" w:cs="Times New Roman"/>
          <w:color w:val="0C0C0C" w:themeColor="text1" w:themeTint="F2"/>
          <w:kern w:val="2"/>
          <w:sz w:val="32"/>
          <w:szCs w:val="32"/>
          <w:lang w:val="en-US" w:eastAsia="zh-CN" w:bidi="ar-SA"/>
        </w:rPr>
        <w:t>2.建立与县财政、县组织部等部门协作工作机制，制定切实可行的报销方式和报销政策。</w:t>
      </w:r>
    </w:p>
    <w:p w14:paraId="2639CC19">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0C0C0C" w:themeColor="text1" w:themeTint="F2"/>
          <w:kern w:val="2"/>
          <w:sz w:val="32"/>
          <w:szCs w:val="32"/>
          <w:lang w:val="en-US" w:eastAsia="zh-CN" w:bidi="ar-SA"/>
        </w:rPr>
      </w:pPr>
      <w:r>
        <w:rPr>
          <w:rFonts w:hint="eastAsia" w:ascii="Times New Roman" w:hAnsi="Times New Roman" w:eastAsia="仿宋_GB2312" w:cs="Times New Roman"/>
          <w:color w:val="0C0C0C" w:themeColor="text1" w:themeTint="F2"/>
          <w:kern w:val="2"/>
          <w:sz w:val="32"/>
          <w:szCs w:val="32"/>
          <w:lang w:val="en-US" w:eastAsia="zh-CN" w:bidi="ar-SA"/>
        </w:rPr>
        <w:t>3.我县离休人员在本市富民县人民医院、昆明市延安医院、二家定点医疗机构就诊时可在医院结算窗口一站式结算。</w:t>
      </w:r>
    </w:p>
    <w:p w14:paraId="6EAD4349">
      <w:pPr>
        <w:keepNext w:val="0"/>
        <w:keepLines w:val="0"/>
        <w:pageBreakBefore w:val="0"/>
        <w:kinsoku/>
        <w:wordWrap/>
        <w:overflowPunct/>
        <w:topLinePunct/>
        <w:autoSpaceDE/>
        <w:autoSpaceDN/>
        <w:bidi w:val="0"/>
        <w:adjustRightInd/>
        <w:snapToGrid/>
        <w:spacing w:line="560" w:lineRule="exact"/>
        <w:ind w:left="0" w:leftChars="0" w:firstLine="800" w:firstLineChars="250"/>
        <w:textAlignment w:val="auto"/>
        <w:rPr>
          <w:rFonts w:ascii="黑体" w:hAnsi="黑体" w:eastAsia="黑体"/>
          <w:sz w:val="32"/>
          <w:szCs w:val="32"/>
        </w:rPr>
      </w:pPr>
      <w:r>
        <w:rPr>
          <w:rFonts w:hint="eastAsia" w:ascii="黑体" w:hAnsi="黑体" w:eastAsia="黑体"/>
          <w:sz w:val="32"/>
          <w:szCs w:val="32"/>
        </w:rPr>
        <w:t>五、主要经验及做法、存在的问题和建议</w:t>
      </w:r>
    </w:p>
    <w:p w14:paraId="698FF188">
      <w:pPr>
        <w:keepNext w:val="0"/>
        <w:keepLines w:val="0"/>
        <w:pageBreakBefore w:val="0"/>
        <w:kinsoku/>
        <w:wordWrap/>
        <w:overflowPunct/>
        <w:topLinePunct/>
        <w:autoSpaceDE/>
        <w:autoSpaceDN/>
        <w:bidi w:val="0"/>
        <w:adjustRightInd/>
        <w:snapToGrid/>
        <w:spacing w:line="560" w:lineRule="exact"/>
        <w:ind w:left="0" w:leftChars="0" w:firstLine="800" w:firstLineChars="250"/>
        <w:textAlignment w:val="auto"/>
        <w:rPr>
          <w:rFonts w:hint="eastAsia" w:ascii="楷体_GB2312" w:hAnsi="楷体" w:eastAsia="楷体_GB2312"/>
          <w:sz w:val="32"/>
          <w:szCs w:val="32"/>
          <w:lang w:val="en-US" w:eastAsia="zh-CN"/>
        </w:rPr>
      </w:pPr>
      <w:r>
        <w:rPr>
          <w:rFonts w:hint="eastAsia" w:ascii="楷体_GB2312" w:hAnsi="楷体" w:eastAsia="楷体_GB2312"/>
          <w:sz w:val="32"/>
          <w:szCs w:val="32"/>
        </w:rPr>
        <w:t>（一）主要经验及做法；</w:t>
      </w:r>
      <w:r>
        <w:rPr>
          <w:rFonts w:hint="eastAsia" w:ascii="楷体_GB2312" w:hAnsi="楷体" w:eastAsia="楷体_GB2312"/>
          <w:sz w:val="32"/>
          <w:szCs w:val="32"/>
          <w:lang w:val="en-US" w:eastAsia="zh-CN"/>
        </w:rPr>
        <w:t>无。</w:t>
      </w:r>
    </w:p>
    <w:p w14:paraId="21611F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560" w:lineRule="exact"/>
        <w:ind w:left="0" w:leftChars="0" w:right="0" w:firstLine="640" w:firstLineChars="200"/>
        <w:textAlignment w:val="auto"/>
        <w:rPr>
          <w:rFonts w:hint="eastAsia" w:ascii="楷体_GB2312" w:hAnsi="楷体" w:eastAsia="楷体_GB2312"/>
          <w:sz w:val="32"/>
          <w:szCs w:val="32"/>
          <w:lang w:val="en-US" w:eastAsia="zh-CN"/>
        </w:rPr>
      </w:pPr>
      <w:r>
        <w:rPr>
          <w:rFonts w:hint="eastAsia" w:ascii="楷体_GB2312" w:hAnsi="楷体" w:eastAsia="楷体_GB2312"/>
          <w:sz w:val="32"/>
          <w:szCs w:val="32"/>
        </w:rPr>
        <w:t>（二）存在的问题；</w:t>
      </w:r>
      <w:r>
        <w:rPr>
          <w:rFonts w:hint="eastAsia" w:ascii="楷体_GB2312" w:hAnsi="楷体" w:eastAsia="楷体_GB2312"/>
          <w:sz w:val="32"/>
          <w:szCs w:val="32"/>
          <w:lang w:val="en-US" w:eastAsia="zh-CN"/>
        </w:rPr>
        <w:t>无。</w:t>
      </w:r>
    </w:p>
    <w:p w14:paraId="2CDD5E49">
      <w:pPr>
        <w:keepNext w:val="0"/>
        <w:keepLines w:val="0"/>
        <w:pageBreakBefore w:val="0"/>
        <w:kinsoku/>
        <w:wordWrap/>
        <w:overflowPunct/>
        <w:topLinePunct/>
        <w:autoSpaceDE/>
        <w:autoSpaceDN/>
        <w:bidi w:val="0"/>
        <w:adjustRightInd/>
        <w:snapToGrid/>
        <w:spacing w:line="560" w:lineRule="exact"/>
        <w:ind w:left="0" w:leftChars="0" w:firstLine="800" w:firstLineChars="250"/>
        <w:textAlignment w:val="auto"/>
        <w:rPr>
          <w:rFonts w:hint="eastAsia" w:ascii="楷体_GB2312" w:hAnsi="楷体" w:eastAsia="楷体_GB2312"/>
          <w:sz w:val="32"/>
          <w:szCs w:val="32"/>
        </w:rPr>
      </w:pPr>
      <w:r>
        <w:rPr>
          <w:rFonts w:hint="eastAsia" w:ascii="楷体_GB2312" w:hAnsi="楷体" w:eastAsia="楷体_GB2312"/>
          <w:sz w:val="32"/>
          <w:szCs w:val="32"/>
        </w:rPr>
        <w:t>（三）建议和改进措施。</w:t>
      </w:r>
      <w:r>
        <w:rPr>
          <w:rFonts w:hint="eastAsia" w:ascii="楷体_GB2312" w:hAnsi="楷体" w:eastAsia="楷体_GB2312"/>
          <w:sz w:val="32"/>
          <w:szCs w:val="32"/>
          <w:lang w:val="en-US" w:eastAsia="zh-CN"/>
        </w:rPr>
        <w:t>无。</w:t>
      </w:r>
      <w:bookmarkStart w:id="4" w:name="_GoBack"/>
      <w:bookmarkEnd w:id="4"/>
    </w:p>
    <w:bookmarkEnd w:id="0"/>
    <w:bookmarkEnd w:id="1"/>
    <w:bookmarkEnd w:id="2"/>
    <w:bookmarkEnd w:id="3"/>
    <w:p w14:paraId="2F5461CB">
      <w:pPr>
        <w:keepNext w:val="0"/>
        <w:keepLines w:val="0"/>
        <w:pageBreakBefore w:val="0"/>
        <w:kinsoku/>
        <w:wordWrap/>
        <w:overflowPunct/>
        <w:autoSpaceDE/>
        <w:autoSpaceDN/>
        <w:bidi w:val="0"/>
        <w:adjustRightInd/>
        <w:snapToGrid/>
        <w:spacing w:line="560" w:lineRule="exact"/>
        <w:ind w:left="0" w:leftChars="0"/>
        <w:textAlignment w:val="auto"/>
      </w:pPr>
    </w:p>
    <w:sectPr>
      <w:footerReference r:id="rId3" w:type="default"/>
      <w:pgSz w:w="11906" w:h="16838"/>
      <w:pgMar w:top="2098" w:right="1531" w:bottom="1984" w:left="153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53784"/>
      <w:docPartObj>
        <w:docPartGallery w:val="autotext"/>
      </w:docPartObj>
    </w:sdtPr>
    <w:sdtContent>
      <w:p w14:paraId="1FBB9F77">
        <w:pPr>
          <w:pStyle w:val="3"/>
          <w:jc w:val="right"/>
        </w:pPr>
        <w:r>
          <w:fldChar w:fldCharType="begin"/>
        </w:r>
        <w:r>
          <w:instrText xml:space="preserve"> PAGE   \* MERGEFORMAT </w:instrText>
        </w:r>
        <w:r>
          <w:fldChar w:fldCharType="separate"/>
        </w:r>
        <w:r>
          <w:rPr>
            <w:lang w:val="zh-CN"/>
          </w:rPr>
          <w:t>2</w:t>
        </w:r>
        <w:r>
          <w:rPr>
            <w:lang w:val="zh-CN"/>
          </w:rPr>
          <w:fldChar w:fldCharType="end"/>
        </w:r>
      </w:p>
    </w:sdtContent>
  </w:sdt>
  <w:p w14:paraId="71E57C1F">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A3290E"/>
    <w:multiLevelType w:val="multilevel"/>
    <w:tmpl w:val="0EA3290E"/>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640AE"/>
    <w:rsid w:val="00094DB0"/>
    <w:rsid w:val="000D0D98"/>
    <w:rsid w:val="000E3F5D"/>
    <w:rsid w:val="001640AE"/>
    <w:rsid w:val="001C53DE"/>
    <w:rsid w:val="002020EC"/>
    <w:rsid w:val="00202F55"/>
    <w:rsid w:val="002B5392"/>
    <w:rsid w:val="0035374E"/>
    <w:rsid w:val="003B346C"/>
    <w:rsid w:val="0044562C"/>
    <w:rsid w:val="004A18B3"/>
    <w:rsid w:val="004E6E08"/>
    <w:rsid w:val="00592329"/>
    <w:rsid w:val="005F69C4"/>
    <w:rsid w:val="00612182"/>
    <w:rsid w:val="0063307C"/>
    <w:rsid w:val="006366B5"/>
    <w:rsid w:val="006567A8"/>
    <w:rsid w:val="007B06E4"/>
    <w:rsid w:val="007D0EBC"/>
    <w:rsid w:val="00814795"/>
    <w:rsid w:val="00896CBE"/>
    <w:rsid w:val="009D1170"/>
    <w:rsid w:val="009F7A94"/>
    <w:rsid w:val="00A01AE7"/>
    <w:rsid w:val="00A9773E"/>
    <w:rsid w:val="00AE1811"/>
    <w:rsid w:val="00C14378"/>
    <w:rsid w:val="00C5210E"/>
    <w:rsid w:val="00E54E06"/>
    <w:rsid w:val="00EB0B27"/>
    <w:rsid w:val="00F20014"/>
    <w:rsid w:val="00F920C0"/>
    <w:rsid w:val="00FB5458"/>
    <w:rsid w:val="00FC5B60"/>
    <w:rsid w:val="00FC75B7"/>
    <w:rsid w:val="00FD134A"/>
    <w:rsid w:val="013C66CB"/>
    <w:rsid w:val="01D650A9"/>
    <w:rsid w:val="028A0196"/>
    <w:rsid w:val="02FA082F"/>
    <w:rsid w:val="03675A46"/>
    <w:rsid w:val="03821A33"/>
    <w:rsid w:val="042B5143"/>
    <w:rsid w:val="04B3799E"/>
    <w:rsid w:val="04E57F25"/>
    <w:rsid w:val="0505048F"/>
    <w:rsid w:val="050D65F7"/>
    <w:rsid w:val="055E044E"/>
    <w:rsid w:val="059F2BF3"/>
    <w:rsid w:val="05C97A51"/>
    <w:rsid w:val="05F654A4"/>
    <w:rsid w:val="075042FC"/>
    <w:rsid w:val="077D6093"/>
    <w:rsid w:val="084E1A10"/>
    <w:rsid w:val="085055A3"/>
    <w:rsid w:val="089F1C5C"/>
    <w:rsid w:val="09B65939"/>
    <w:rsid w:val="0A3A6C20"/>
    <w:rsid w:val="0A667F6F"/>
    <w:rsid w:val="0AB634F4"/>
    <w:rsid w:val="0AD6392F"/>
    <w:rsid w:val="0B2E1FAD"/>
    <w:rsid w:val="0B52745A"/>
    <w:rsid w:val="0B8A6167"/>
    <w:rsid w:val="0BA146B2"/>
    <w:rsid w:val="0BC356F1"/>
    <w:rsid w:val="0D1606E7"/>
    <w:rsid w:val="0DB156BE"/>
    <w:rsid w:val="0E3A578B"/>
    <w:rsid w:val="0E650DBC"/>
    <w:rsid w:val="0EC92194"/>
    <w:rsid w:val="0F894463"/>
    <w:rsid w:val="0FC14BAE"/>
    <w:rsid w:val="0FCF724C"/>
    <w:rsid w:val="0FFD68B9"/>
    <w:rsid w:val="10452334"/>
    <w:rsid w:val="105804C2"/>
    <w:rsid w:val="108042D9"/>
    <w:rsid w:val="10891747"/>
    <w:rsid w:val="10EC17B7"/>
    <w:rsid w:val="10F13271"/>
    <w:rsid w:val="114A23BD"/>
    <w:rsid w:val="1179494F"/>
    <w:rsid w:val="11C87694"/>
    <w:rsid w:val="120D0A73"/>
    <w:rsid w:val="122A1A79"/>
    <w:rsid w:val="127C6C5B"/>
    <w:rsid w:val="12B27FB7"/>
    <w:rsid w:val="12FF5545"/>
    <w:rsid w:val="13BD327B"/>
    <w:rsid w:val="13C6183C"/>
    <w:rsid w:val="13DB3FE6"/>
    <w:rsid w:val="14087D38"/>
    <w:rsid w:val="142A68F4"/>
    <w:rsid w:val="14952165"/>
    <w:rsid w:val="150657BC"/>
    <w:rsid w:val="150C24A5"/>
    <w:rsid w:val="1594015E"/>
    <w:rsid w:val="15E4555A"/>
    <w:rsid w:val="15F54854"/>
    <w:rsid w:val="160E2D12"/>
    <w:rsid w:val="163911A6"/>
    <w:rsid w:val="167433BE"/>
    <w:rsid w:val="16A35121"/>
    <w:rsid w:val="16A80075"/>
    <w:rsid w:val="17286CB4"/>
    <w:rsid w:val="17693E6D"/>
    <w:rsid w:val="18CB7105"/>
    <w:rsid w:val="18D314AE"/>
    <w:rsid w:val="19BD0E7B"/>
    <w:rsid w:val="19DC4A40"/>
    <w:rsid w:val="1A290960"/>
    <w:rsid w:val="1BF35098"/>
    <w:rsid w:val="1C0D3D89"/>
    <w:rsid w:val="1C36227A"/>
    <w:rsid w:val="1CEC7BC0"/>
    <w:rsid w:val="1D3E1091"/>
    <w:rsid w:val="1E402520"/>
    <w:rsid w:val="1E5B10B4"/>
    <w:rsid w:val="1F3D688D"/>
    <w:rsid w:val="1FA97E96"/>
    <w:rsid w:val="206B12FB"/>
    <w:rsid w:val="21DD4628"/>
    <w:rsid w:val="22521696"/>
    <w:rsid w:val="22655AD0"/>
    <w:rsid w:val="22975314"/>
    <w:rsid w:val="237044C9"/>
    <w:rsid w:val="239F0582"/>
    <w:rsid w:val="23CD7645"/>
    <w:rsid w:val="23DB7FE4"/>
    <w:rsid w:val="24C308B4"/>
    <w:rsid w:val="257B7155"/>
    <w:rsid w:val="268C0A9F"/>
    <w:rsid w:val="268C503F"/>
    <w:rsid w:val="26F21292"/>
    <w:rsid w:val="272C0707"/>
    <w:rsid w:val="27B045C8"/>
    <w:rsid w:val="2821171B"/>
    <w:rsid w:val="286D0013"/>
    <w:rsid w:val="290A4512"/>
    <w:rsid w:val="2A622E15"/>
    <w:rsid w:val="2A6B59EA"/>
    <w:rsid w:val="2A9911EC"/>
    <w:rsid w:val="2ADA01F9"/>
    <w:rsid w:val="2B2F6B61"/>
    <w:rsid w:val="2B381F74"/>
    <w:rsid w:val="2B593A95"/>
    <w:rsid w:val="2B707EEB"/>
    <w:rsid w:val="2B9B0161"/>
    <w:rsid w:val="2CCD528B"/>
    <w:rsid w:val="2CEF69CD"/>
    <w:rsid w:val="2D352975"/>
    <w:rsid w:val="2DC83DF6"/>
    <w:rsid w:val="2DE42384"/>
    <w:rsid w:val="2F3743BD"/>
    <w:rsid w:val="2F6C023B"/>
    <w:rsid w:val="30AD0B70"/>
    <w:rsid w:val="30BF53CD"/>
    <w:rsid w:val="31524ECF"/>
    <w:rsid w:val="31D55B75"/>
    <w:rsid w:val="31FE0EF2"/>
    <w:rsid w:val="322F22DA"/>
    <w:rsid w:val="32A71399"/>
    <w:rsid w:val="32E0185A"/>
    <w:rsid w:val="33282A14"/>
    <w:rsid w:val="33311DD4"/>
    <w:rsid w:val="34655258"/>
    <w:rsid w:val="348F33B2"/>
    <w:rsid w:val="34FE48AB"/>
    <w:rsid w:val="352935EE"/>
    <w:rsid w:val="364C4718"/>
    <w:rsid w:val="36762001"/>
    <w:rsid w:val="36AA02AD"/>
    <w:rsid w:val="371E7849"/>
    <w:rsid w:val="376D2DA2"/>
    <w:rsid w:val="391C6F59"/>
    <w:rsid w:val="39C80763"/>
    <w:rsid w:val="3A3D593F"/>
    <w:rsid w:val="3ACC7DDF"/>
    <w:rsid w:val="3BD74E82"/>
    <w:rsid w:val="3C406818"/>
    <w:rsid w:val="3C75672B"/>
    <w:rsid w:val="3C7C3A87"/>
    <w:rsid w:val="3CAF531A"/>
    <w:rsid w:val="3D0C7C76"/>
    <w:rsid w:val="3D733876"/>
    <w:rsid w:val="3E6357BE"/>
    <w:rsid w:val="3EE22C5D"/>
    <w:rsid w:val="40422439"/>
    <w:rsid w:val="404F5A57"/>
    <w:rsid w:val="40754FA3"/>
    <w:rsid w:val="40DE69B8"/>
    <w:rsid w:val="416B7244"/>
    <w:rsid w:val="429B781A"/>
    <w:rsid w:val="42AB0C22"/>
    <w:rsid w:val="43443C54"/>
    <w:rsid w:val="43686B13"/>
    <w:rsid w:val="44166996"/>
    <w:rsid w:val="4517137E"/>
    <w:rsid w:val="457D6C89"/>
    <w:rsid w:val="45C34183"/>
    <w:rsid w:val="45C85F51"/>
    <w:rsid w:val="46402873"/>
    <w:rsid w:val="46F10BCE"/>
    <w:rsid w:val="489455B7"/>
    <w:rsid w:val="49335C6F"/>
    <w:rsid w:val="493C1681"/>
    <w:rsid w:val="4A30757E"/>
    <w:rsid w:val="4A9757A2"/>
    <w:rsid w:val="4AB44DD3"/>
    <w:rsid w:val="4B82628A"/>
    <w:rsid w:val="4C770776"/>
    <w:rsid w:val="4C9E24B2"/>
    <w:rsid w:val="4CC952A6"/>
    <w:rsid w:val="4CF646ED"/>
    <w:rsid w:val="4D5356FC"/>
    <w:rsid w:val="4DCD6301"/>
    <w:rsid w:val="4EC92B5C"/>
    <w:rsid w:val="4F286528"/>
    <w:rsid w:val="4F8C7EDB"/>
    <w:rsid w:val="500E2B60"/>
    <w:rsid w:val="50361632"/>
    <w:rsid w:val="50636A39"/>
    <w:rsid w:val="50BB3A45"/>
    <w:rsid w:val="51563623"/>
    <w:rsid w:val="525A74CB"/>
    <w:rsid w:val="52D47D21"/>
    <w:rsid w:val="53432AED"/>
    <w:rsid w:val="53450057"/>
    <w:rsid w:val="536345B8"/>
    <w:rsid w:val="53AE2320"/>
    <w:rsid w:val="54436D58"/>
    <w:rsid w:val="547A0454"/>
    <w:rsid w:val="54AA1C38"/>
    <w:rsid w:val="54C222FE"/>
    <w:rsid w:val="562964B3"/>
    <w:rsid w:val="56C522BF"/>
    <w:rsid w:val="56F24C1A"/>
    <w:rsid w:val="59017396"/>
    <w:rsid w:val="59503475"/>
    <w:rsid w:val="59B756D8"/>
    <w:rsid w:val="59D4711D"/>
    <w:rsid w:val="59EF4115"/>
    <w:rsid w:val="59EF5441"/>
    <w:rsid w:val="59F20998"/>
    <w:rsid w:val="59FD48B8"/>
    <w:rsid w:val="5A2A0C9E"/>
    <w:rsid w:val="5A2C21F1"/>
    <w:rsid w:val="5B280C0A"/>
    <w:rsid w:val="5B5C4D58"/>
    <w:rsid w:val="5BC44B62"/>
    <w:rsid w:val="5BF00AEB"/>
    <w:rsid w:val="5C392AD6"/>
    <w:rsid w:val="5C563555"/>
    <w:rsid w:val="5CD922E4"/>
    <w:rsid w:val="5DD72F2D"/>
    <w:rsid w:val="5DE352BC"/>
    <w:rsid w:val="5EBD564E"/>
    <w:rsid w:val="5F4313AA"/>
    <w:rsid w:val="5F5226F9"/>
    <w:rsid w:val="5FD00FCD"/>
    <w:rsid w:val="5FE548AA"/>
    <w:rsid w:val="61307721"/>
    <w:rsid w:val="615F40DC"/>
    <w:rsid w:val="61952D71"/>
    <w:rsid w:val="61B315E4"/>
    <w:rsid w:val="62013269"/>
    <w:rsid w:val="62CC67BC"/>
    <w:rsid w:val="6352422E"/>
    <w:rsid w:val="63617ED8"/>
    <w:rsid w:val="63A661D9"/>
    <w:rsid w:val="642F4DB7"/>
    <w:rsid w:val="65DF6369"/>
    <w:rsid w:val="65ED3C1D"/>
    <w:rsid w:val="67281553"/>
    <w:rsid w:val="67DB38B5"/>
    <w:rsid w:val="69797455"/>
    <w:rsid w:val="699D27C3"/>
    <w:rsid w:val="69F61ED3"/>
    <w:rsid w:val="6A0374F6"/>
    <w:rsid w:val="6B8D7F1E"/>
    <w:rsid w:val="6BDC307A"/>
    <w:rsid w:val="6CE4282B"/>
    <w:rsid w:val="6CE54BAD"/>
    <w:rsid w:val="6D154331"/>
    <w:rsid w:val="6D657A9C"/>
    <w:rsid w:val="6DDA5BE2"/>
    <w:rsid w:val="6E182D60"/>
    <w:rsid w:val="6E9F3DCD"/>
    <w:rsid w:val="6EB74F8D"/>
    <w:rsid w:val="6F6433A7"/>
    <w:rsid w:val="702A72A8"/>
    <w:rsid w:val="71907EAE"/>
    <w:rsid w:val="71ED62B2"/>
    <w:rsid w:val="724834E8"/>
    <w:rsid w:val="728016FA"/>
    <w:rsid w:val="72842772"/>
    <w:rsid w:val="728E089A"/>
    <w:rsid w:val="72DA05E4"/>
    <w:rsid w:val="72E058B3"/>
    <w:rsid w:val="73AF1A71"/>
    <w:rsid w:val="7432343D"/>
    <w:rsid w:val="753C7334"/>
    <w:rsid w:val="75F62011"/>
    <w:rsid w:val="760F0447"/>
    <w:rsid w:val="765735AF"/>
    <w:rsid w:val="781F00ED"/>
    <w:rsid w:val="78761E81"/>
    <w:rsid w:val="788B67D3"/>
    <w:rsid w:val="78CF6711"/>
    <w:rsid w:val="78D15D88"/>
    <w:rsid w:val="79DA7A74"/>
    <w:rsid w:val="7A160055"/>
    <w:rsid w:val="7AD63B44"/>
    <w:rsid w:val="7CC57031"/>
    <w:rsid w:val="7CE373D7"/>
    <w:rsid w:val="7D124E1E"/>
    <w:rsid w:val="7D442C03"/>
    <w:rsid w:val="7DFE2036"/>
    <w:rsid w:val="7EC5012F"/>
    <w:rsid w:val="7EEB10DE"/>
    <w:rsid w:val="7F9227D7"/>
    <w:rsid w:val="7F922D3F"/>
    <w:rsid w:val="7FBD3767"/>
    <w:rsid w:val="7FD555D3"/>
    <w:rsid w:val="FFEDE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8"/>
    <w:qFormat/>
    <w:uiPriority w:val="9"/>
    <w:pPr>
      <w:keepNext/>
      <w:keepLines/>
      <w:widowControl/>
      <w:overflowPunct w:val="0"/>
      <w:autoSpaceDE w:val="0"/>
      <w:autoSpaceDN w:val="0"/>
      <w:adjustRightInd w:val="0"/>
      <w:spacing w:before="260" w:after="260" w:line="416" w:lineRule="auto"/>
      <w:outlineLvl w:val="1"/>
    </w:pPr>
    <w:rPr>
      <w:rFonts w:ascii="Arial" w:hAnsi="Arial" w:eastAsia="黑体" w:cs="Times New Roman"/>
      <w:b/>
      <w:bCs/>
      <w:kern w:val="0"/>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标题 2 Char"/>
    <w:basedOn w:val="7"/>
    <w:link w:val="2"/>
    <w:qFormat/>
    <w:uiPriority w:val="9"/>
    <w:rPr>
      <w:rFonts w:ascii="Arial" w:hAnsi="Arial" w:eastAsia="黑体" w:cs="Times New Roman"/>
      <w:b/>
      <w:bCs/>
      <w:kern w:val="0"/>
      <w:sz w:val="32"/>
      <w:szCs w:val="32"/>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fmczj</Company>
  <Pages>5</Pages>
  <Words>2137</Words>
  <Characters>2255</Characters>
  <Lines>23</Lines>
  <Paragraphs>6</Paragraphs>
  <TotalTime>40</TotalTime>
  <ScaleCrop>false</ScaleCrop>
  <LinksUpToDate>false</LinksUpToDate>
  <CharactersWithSpaces>2270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2022-03-10T15:39:00Z</dcterms:created>
  <dc:creator>张子明</dc:creator>
  <cp:lastModifiedBy>Administrator</cp:lastModifiedBy>
  <cp:lastPrinted>2024-02-26T10:30:00Z</cp:lastPrinted>
  <dcterms:modified xsi:type="dcterms:W3CDTF">2025-04-21T08:53:03Z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eyJoZGlkIjoiNmVjOTI2ZGNjMzA0ZmVkMWMyM2MxYjljZTdlOGNkNGIifQ==</vt:lpwstr>
  </property>
  <property fmtid="{D5CDD505-2E9C-101B-9397-08002B2CF9AE}" pid="4" name="ICV">
    <vt:lpwstr>050D6634A9F84A1D95C76AFF48D8D617_12</vt:lpwstr>
  </property>
</Properties>
</file>