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B5D09">
      <w:pPr>
        <w:spacing w:line="560" w:lineRule="exact"/>
        <w:jc w:val="center"/>
        <w:rPr>
          <w:rFonts w:ascii="方正小标宋简体" w:eastAsia="方正小标宋简体" w:cs="仿宋_GB2312"/>
          <w:sz w:val="32"/>
          <w:szCs w:val="32"/>
        </w:rPr>
      </w:pPr>
      <w:r>
        <w:rPr>
          <w:rFonts w:hint="eastAsia" w:ascii="方正小标宋简体" w:hAnsi="黑体" w:eastAsia="方正小标宋简体"/>
          <w:spacing w:val="-20"/>
          <w:sz w:val="44"/>
          <w:szCs w:val="44"/>
          <w:lang w:eastAsia="zh-CN"/>
        </w:rPr>
        <w:t>富民县卫生健康局（汇总）</w:t>
      </w:r>
      <w:r>
        <w:rPr>
          <w:rFonts w:hint="eastAsia" w:ascii="方正小标宋简体" w:eastAsia="方正小标宋简体" w:cs="仿宋_GB2312"/>
          <w:sz w:val="44"/>
          <w:szCs w:val="44"/>
        </w:rPr>
        <w:t>202</w:t>
      </w:r>
      <w:r>
        <w:rPr>
          <w:rFonts w:hint="eastAsia" w:ascii="方正小标宋简体" w:eastAsia="方正小标宋简体" w:cs="仿宋_GB2312"/>
          <w:sz w:val="44"/>
          <w:szCs w:val="44"/>
          <w:lang w:val="en-US" w:eastAsia="zh-CN"/>
        </w:rPr>
        <w:t>4</w:t>
      </w:r>
      <w:r>
        <w:rPr>
          <w:rFonts w:hint="eastAsia" w:ascii="方正小标宋简体" w:eastAsia="方正小标宋简体" w:cs="仿宋_GB2312"/>
          <w:sz w:val="44"/>
          <w:szCs w:val="44"/>
        </w:rPr>
        <w:t>年度部门整体支出绩效评价报告</w:t>
      </w:r>
    </w:p>
    <w:p w14:paraId="2951B94B">
      <w:pPr>
        <w:jc w:val="center"/>
        <w:rPr>
          <w:rFonts w:ascii="仿宋_GB2312" w:eastAsia="仿宋_GB2312"/>
          <w:sz w:val="30"/>
          <w:szCs w:val="30"/>
        </w:rPr>
      </w:pPr>
    </w:p>
    <w:p w14:paraId="36815CAD">
      <w:pPr>
        <w:topLinePunct/>
        <w:spacing w:line="560" w:lineRule="exact"/>
        <w:ind w:firstLine="640" w:firstLineChars="200"/>
        <w:jc w:val="left"/>
        <w:rPr>
          <w:rFonts w:ascii="黑体" w:eastAsia="黑体"/>
          <w:sz w:val="32"/>
          <w:szCs w:val="32"/>
        </w:rPr>
      </w:pPr>
      <w:r>
        <w:rPr>
          <w:rFonts w:hint="eastAsia" w:ascii="黑体" w:eastAsia="黑体"/>
          <w:sz w:val="32"/>
          <w:szCs w:val="32"/>
        </w:rPr>
        <w:t>一、部门概况</w:t>
      </w:r>
    </w:p>
    <w:p w14:paraId="5261E3CB">
      <w:pPr>
        <w:topLinePunct/>
        <w:spacing w:line="560" w:lineRule="exact"/>
        <w:ind w:firstLine="640" w:firstLineChars="200"/>
        <w:jc w:val="left"/>
        <w:rPr>
          <w:rFonts w:ascii="楷体_GB2312" w:hAnsi="楷体" w:eastAsia="楷体_GB2312"/>
          <w:sz w:val="32"/>
          <w:szCs w:val="32"/>
        </w:rPr>
      </w:pPr>
      <w:r>
        <w:rPr>
          <w:rFonts w:hint="eastAsia" w:ascii="楷体_GB2312" w:hAnsi="楷体" w:eastAsia="楷体_GB2312"/>
          <w:sz w:val="32"/>
          <w:szCs w:val="32"/>
        </w:rPr>
        <w:t>（一）部门机构设置、编制。</w:t>
      </w:r>
    </w:p>
    <w:p w14:paraId="63A74D84">
      <w:pPr>
        <w:topLinePunct/>
        <w:spacing w:line="560" w:lineRule="exact"/>
        <w:ind w:firstLine="640" w:firstLineChars="200"/>
        <w:jc w:val="left"/>
        <w:rPr>
          <w:rFonts w:hint="eastAsia" w:ascii="仿宋_GB2312" w:hAnsi="楷体" w:eastAsia="仿宋_GB2312"/>
          <w:sz w:val="32"/>
          <w:szCs w:val="32"/>
        </w:rPr>
      </w:pPr>
      <w:r>
        <w:rPr>
          <w:rFonts w:hint="eastAsia" w:ascii="仿宋_GB2312" w:hAnsi="楷体" w:eastAsia="仿宋_GB2312"/>
          <w:sz w:val="32"/>
          <w:szCs w:val="32"/>
        </w:rPr>
        <w:t>1.部门机构设置</w:t>
      </w:r>
    </w:p>
    <w:p w14:paraId="50C3544A">
      <w:pPr>
        <w:topLinePunct/>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24</w:t>
      </w:r>
      <w:r>
        <w:rPr>
          <w:rFonts w:hint="eastAsia" w:ascii="仿宋_GB2312" w:hAnsi="仿宋_GB2312" w:eastAsia="仿宋_GB2312" w:cs="仿宋_GB2312"/>
          <w:kern w:val="0"/>
          <w:sz w:val="32"/>
          <w:szCs w:val="32"/>
        </w:rPr>
        <w:t>年部门预算单位共</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lang w:val="zh-CN"/>
        </w:rPr>
        <w:t>富民县卫生健康局、富民县妇幼健康服务中心、富民县疾病预防控制中心、富民县人民医院、</w:t>
      </w:r>
      <w:r>
        <w:rPr>
          <w:rFonts w:hint="eastAsia" w:ascii="仿宋_GB2312" w:hAnsi="仿宋_GB2312" w:eastAsia="仿宋_GB2312" w:cs="仿宋_GB2312"/>
          <w:sz w:val="32"/>
          <w:szCs w:val="32"/>
        </w:rPr>
        <w:t>富民县永定街道卫生院、富民县永定街道大营卫生院、富民县罗免镇中心卫生院、富民县赤鹫镇卫生院、富民县款庄镇中心卫生院、富民县东村镇卫生院、富民县散旦镇卫生院</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。其中：财政全供给单位1</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个；部分供给单位</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个；特殊供给单位0个；自收自支单位0个。财政全供给单位中行政单位1个；参公管理事业单位0个；非参公管理事业单位</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个。</w:t>
      </w:r>
    </w:p>
    <w:p w14:paraId="57515DB5">
      <w:pPr>
        <w:topLinePunct/>
        <w:spacing w:line="560" w:lineRule="exact"/>
        <w:ind w:firstLine="640" w:firstLineChars="200"/>
        <w:jc w:val="left"/>
        <w:rPr>
          <w:rFonts w:hint="eastAsia" w:ascii="仿宋_GB2312" w:hAnsi="楷体" w:eastAsia="仿宋_GB2312"/>
          <w:sz w:val="32"/>
          <w:szCs w:val="32"/>
        </w:rPr>
      </w:pPr>
      <w:r>
        <w:rPr>
          <w:rFonts w:hint="eastAsia" w:ascii="仿宋_GB2312" w:hAnsi="楷体" w:eastAsia="仿宋_GB2312"/>
          <w:sz w:val="32"/>
          <w:szCs w:val="32"/>
        </w:rPr>
        <w:t>2.部门编制</w:t>
      </w:r>
      <w:bookmarkStart w:id="2" w:name="_GoBack"/>
      <w:bookmarkEnd w:id="2"/>
    </w:p>
    <w:p w14:paraId="3880FCA8">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在职人员编制3</w:t>
      </w:r>
      <w:r>
        <w:rPr>
          <w:rFonts w:hint="eastAsia" w:ascii="仿宋_GB2312" w:hAnsi="仿宋_GB2312" w:eastAsia="仿宋_GB2312" w:cs="仿宋_GB2312"/>
          <w:kern w:val="0"/>
          <w:sz w:val="32"/>
          <w:szCs w:val="32"/>
          <w:lang w:val="en-US" w:eastAsia="zh-CN"/>
        </w:rPr>
        <w:t>71</w:t>
      </w:r>
      <w:r>
        <w:rPr>
          <w:rFonts w:hint="eastAsia" w:ascii="仿宋_GB2312" w:hAnsi="仿宋_GB2312" w:eastAsia="仿宋_GB2312" w:cs="仿宋_GB2312"/>
          <w:kern w:val="0"/>
          <w:sz w:val="32"/>
          <w:szCs w:val="32"/>
        </w:rPr>
        <w:t>人，其中：行政编制 10人，工勤人员编制</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人，事业编制3</w:t>
      </w:r>
      <w:r>
        <w:rPr>
          <w:rFonts w:hint="eastAsia" w:ascii="仿宋_GB2312" w:hAnsi="仿宋_GB2312" w:eastAsia="仿宋_GB2312" w:cs="仿宋_GB2312"/>
          <w:kern w:val="0"/>
          <w:sz w:val="32"/>
          <w:szCs w:val="32"/>
          <w:lang w:val="en-US" w:eastAsia="zh-CN"/>
        </w:rPr>
        <w:t>58</w:t>
      </w:r>
      <w:r>
        <w:rPr>
          <w:rFonts w:hint="eastAsia" w:ascii="仿宋_GB2312" w:hAnsi="仿宋_GB2312" w:eastAsia="仿宋_GB2312" w:cs="仿宋_GB2312"/>
          <w:kern w:val="0"/>
          <w:sz w:val="32"/>
          <w:szCs w:val="32"/>
        </w:rPr>
        <w:t>人。在职实有3</w:t>
      </w:r>
      <w:r>
        <w:rPr>
          <w:rFonts w:hint="eastAsia" w:ascii="仿宋_GB2312" w:hAnsi="仿宋_GB2312" w:eastAsia="仿宋_GB2312" w:cs="仿宋_GB2312"/>
          <w:kern w:val="0"/>
          <w:sz w:val="32"/>
          <w:szCs w:val="32"/>
          <w:lang w:val="en-US" w:eastAsia="zh-CN"/>
        </w:rPr>
        <w:t>35</w:t>
      </w:r>
      <w:r>
        <w:rPr>
          <w:rFonts w:hint="eastAsia" w:ascii="仿宋_GB2312" w:hAnsi="仿宋_GB2312" w:eastAsia="仿宋_GB2312" w:cs="仿宋_GB2312"/>
          <w:kern w:val="0"/>
          <w:sz w:val="32"/>
          <w:szCs w:val="32"/>
        </w:rPr>
        <w:t>人，其中： 财政全供养</w:t>
      </w:r>
      <w:r>
        <w:rPr>
          <w:rFonts w:hint="eastAsia" w:ascii="仿宋_GB2312" w:hAnsi="仿宋_GB2312" w:eastAsia="仿宋_GB2312" w:cs="仿宋_GB2312"/>
          <w:kern w:val="0"/>
          <w:sz w:val="32"/>
          <w:szCs w:val="32"/>
          <w:lang w:val="en-US" w:eastAsia="zh-CN"/>
        </w:rPr>
        <w:t>244</w:t>
      </w:r>
      <w:r>
        <w:rPr>
          <w:rFonts w:hint="eastAsia" w:ascii="仿宋_GB2312" w:hAnsi="仿宋_GB2312" w:eastAsia="仿宋_GB2312" w:cs="仿宋_GB2312"/>
          <w:kern w:val="0"/>
          <w:sz w:val="32"/>
          <w:szCs w:val="32"/>
        </w:rPr>
        <w:t>人，财政部分供养</w:t>
      </w:r>
      <w:r>
        <w:rPr>
          <w:rFonts w:hint="eastAsia" w:ascii="仿宋_GB2312" w:hAnsi="仿宋_GB2312" w:eastAsia="仿宋_GB2312" w:cs="仿宋_GB2312"/>
          <w:kern w:val="0"/>
          <w:sz w:val="32"/>
          <w:szCs w:val="32"/>
          <w:lang w:val="en-US" w:eastAsia="zh-CN"/>
        </w:rPr>
        <w:t>91</w:t>
      </w:r>
      <w:r>
        <w:rPr>
          <w:rFonts w:hint="eastAsia" w:ascii="仿宋_GB2312" w:hAnsi="仿宋_GB2312" w:eastAsia="仿宋_GB2312" w:cs="仿宋_GB2312"/>
          <w:kern w:val="0"/>
          <w:sz w:val="32"/>
          <w:szCs w:val="32"/>
        </w:rPr>
        <w:t>人，非财政供养0人。</w:t>
      </w:r>
    </w:p>
    <w:p w14:paraId="6D52B61E">
      <w:pPr>
        <w:widowControl/>
        <w:spacing w:line="560" w:lineRule="exact"/>
        <w:ind w:firstLine="640" w:firstLineChars="200"/>
        <w:jc w:val="left"/>
        <w:rPr>
          <w:rFonts w:hint="eastAsia" w:ascii="仿宋_GB2312" w:hAnsi="楷体" w:eastAsia="仿宋_GB2312"/>
          <w:sz w:val="32"/>
          <w:szCs w:val="32"/>
        </w:rPr>
      </w:pPr>
      <w:r>
        <w:rPr>
          <w:rFonts w:hint="eastAsia" w:ascii="仿宋_GB2312" w:hAnsi="仿宋_GB2312" w:eastAsia="仿宋_GB2312" w:cs="仿宋_GB2312"/>
          <w:kern w:val="0"/>
          <w:sz w:val="32"/>
          <w:szCs w:val="32"/>
        </w:rPr>
        <w:t>车辆编制</w:t>
      </w:r>
      <w:r>
        <w:rPr>
          <w:rFonts w:hint="eastAsia" w:ascii="仿宋_GB2312" w:hAnsi="仿宋_GB2312" w:eastAsia="仿宋_GB2312" w:cs="仿宋_GB2312"/>
          <w:kern w:val="0"/>
          <w:sz w:val="32"/>
          <w:szCs w:val="32"/>
          <w:lang w:val="en-US" w:eastAsia="zh-CN"/>
        </w:rPr>
        <w:t>17</w:t>
      </w:r>
      <w:r>
        <w:rPr>
          <w:rFonts w:hint="eastAsia" w:ascii="仿宋_GB2312" w:hAnsi="仿宋_GB2312" w:eastAsia="仿宋_GB2312" w:cs="仿宋_GB2312"/>
          <w:kern w:val="0"/>
          <w:sz w:val="32"/>
          <w:szCs w:val="32"/>
        </w:rPr>
        <w:t>辆，实有车辆</w:t>
      </w:r>
      <w:r>
        <w:rPr>
          <w:rFonts w:hint="eastAsia" w:ascii="仿宋_GB2312" w:hAnsi="仿宋_GB2312" w:eastAsia="仿宋_GB2312" w:cs="仿宋_GB2312"/>
          <w:kern w:val="0"/>
          <w:sz w:val="32"/>
          <w:szCs w:val="32"/>
          <w:lang w:val="en-US" w:eastAsia="zh-CN"/>
        </w:rPr>
        <w:t>17</w:t>
      </w:r>
      <w:r>
        <w:rPr>
          <w:rFonts w:hint="eastAsia" w:ascii="仿宋_GB2312" w:hAnsi="仿宋_GB2312" w:eastAsia="仿宋_GB2312" w:cs="仿宋_GB2312"/>
          <w:kern w:val="0"/>
          <w:sz w:val="32"/>
          <w:szCs w:val="32"/>
        </w:rPr>
        <w:t>辆</w:t>
      </w:r>
      <w:r>
        <w:rPr>
          <w:rFonts w:hint="eastAsia" w:ascii="仿宋_GB2312"/>
          <w:kern w:val="0"/>
          <w:szCs w:val="32"/>
        </w:rPr>
        <w:t>。</w:t>
      </w:r>
    </w:p>
    <w:p w14:paraId="152B8662">
      <w:pPr>
        <w:topLinePunct/>
        <w:spacing w:line="560" w:lineRule="exact"/>
        <w:ind w:firstLine="640" w:firstLineChars="200"/>
        <w:jc w:val="left"/>
        <w:rPr>
          <w:rFonts w:hint="eastAsia" w:ascii="楷体_GB2312" w:hAnsi="楷体" w:eastAsia="楷体_GB2312"/>
          <w:sz w:val="32"/>
          <w:szCs w:val="32"/>
        </w:rPr>
      </w:pPr>
      <w:r>
        <w:rPr>
          <w:rFonts w:hint="eastAsia" w:ascii="楷体_GB2312" w:hAnsi="楷体" w:eastAsia="楷体_GB2312"/>
          <w:sz w:val="32"/>
          <w:szCs w:val="32"/>
        </w:rPr>
        <w:t>（二）部门职能。</w:t>
      </w:r>
    </w:p>
    <w:p w14:paraId="25DAABEB">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贯彻执行国家、云南省、昆明市有关卫生健康事业发展的法律法规和方针政策；受委托起草我县相关的政策文件，经审批通过后实施；拟订相关规划、政策，依法制定地方性相关技术规范；贯彻执行国家和省、市制定的相关标准和技术规范；统筹规划全县卫生健康服务资源配置，负责拟订本县卫生健康规划并组织实施，加强卫生健康人才队伍建设。</w:t>
      </w:r>
    </w:p>
    <w:p w14:paraId="2D9523A3">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协调推进深化医药卫生体制改革，坚持保基本、强基层、建机制，协调推进医疗保障、医疗服务、公共卫生、药品采购和监管体制综合改革，巩固完善基层运行新机制，加大公立医院改革综合力度，推进管办分离，健全现代医院管理制度，推进卫生健康基本公共卫生服务均等化。</w:t>
      </w:r>
    </w:p>
    <w:p w14:paraId="0B93C0A8">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负责制定全县疾病预防控制规划、免疫规划、严重危害人民健康的公共卫生问题的干预措施并组织实施，组织和协调有关部门对重大疾病实施防控和干预，制定全县卫生应急和紧急医学救援预案、突发公共卫生事件检测和风险评估计划；组织和指导突发公共卫生事件预防控制和各类突发公共事件的医疗卫生救援，及时报告法定传染病疫情信息。组织开展食品安全风险监测评估。</w:t>
      </w:r>
    </w:p>
    <w:p w14:paraId="51F46F61">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组织拟订并协调落实应对人口老龄化政策措施，负责推进老年健康服务体系建设和医养结合工作。</w:t>
      </w:r>
    </w:p>
    <w:p w14:paraId="0128F794">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贯彻落实国家药物政策和国家基本药物制度，开展药品使用监测、临床综合评价和短缺药品预警；负责全县行政区域内医疗机构麻醉药品和第一类精神药品监督管理工作。</w:t>
      </w:r>
    </w:p>
    <w:p w14:paraId="6D637C67">
      <w:pPr>
        <w:widowControl/>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完善卫生健康综合监督执法体系，加强综合监督执法机构和队伍建设。负责职责范围内的职业卫生、放射卫生、环境卫生、学校卫生、公共场所卫生、饮用水卫生等公共卫生的监督管理，负责传染病防治监督，健全卫生健康综合监督体系。做好《烟草控制框架公约》履约工作。</w:t>
      </w:r>
    </w:p>
    <w:p w14:paraId="57970754">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负责全县医疗机构和医疗服务全行业监督管理，贯彻执行医疗机构及其医疗服务、医疗技术、医疗质量、医疗安全以及采供血机构管理的规范、标准；会同有关部门贯彻执行国家卫生健康专业技术人员准入、资格标准，实施卫生专业技术人员执业规则和服务规范；建立医疗机构医疗服务评价和监督管理体系。</w:t>
      </w:r>
    </w:p>
    <w:p w14:paraId="031F936B">
      <w:pPr>
        <w:widowControl/>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负责计划生育管理和服务工作，开展人口监测预警，组织实施人口与家庭发展相关政策。</w:t>
      </w:r>
    </w:p>
    <w:p w14:paraId="284B8768">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负责组织拟订并实施我县卫生健康、基层医疗卫生、妇幼健康服务体系和全科医生队伍建设发展规划和政策措施。推进卫生健康科技创新发展。</w:t>
      </w:r>
    </w:p>
    <w:p w14:paraId="602CED14">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贯彻落实国家中医药法律法规、规章政策并组织实施。拟订全县中医药中长期发展规划和目标，负责综合管理中医（含中西医结合、民族医，下同）医疗、教育、科研、文化建设、对外交流合作等工作。</w:t>
      </w:r>
    </w:p>
    <w:p w14:paraId="1080402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建立健全艾滋病防治工作机制，加强宣传教育，采取行为干预和关怀救助等措施，综合防治艾滋病。</w:t>
      </w:r>
    </w:p>
    <w:p w14:paraId="66B1438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推进我县健康项目和推进健康产业发展，统筹实施医养结合、医体融合等健康政策。</w:t>
      </w:r>
    </w:p>
    <w:p w14:paraId="44838056">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按照“管行业必须管安全、管业务必须管安全、管生产经营必须管安全”和谁主管谁负责、谁审批谁负责的原则，负责本行业领域的安全生产监管工作。负责重要会议与重大活动的医疗卫生保障工作。</w:t>
      </w:r>
    </w:p>
    <w:p w14:paraId="451FFD2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指导富民县计划生育协会的业务工作。</w:t>
      </w:r>
    </w:p>
    <w:p w14:paraId="75EE730B">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承担富民县爱国卫生运动委员会、富民县防治艾滋病委员会的日常工作。</w:t>
      </w:r>
    </w:p>
    <w:p w14:paraId="2AF7FD66">
      <w:pPr>
        <w:adjustRightInd w:val="0"/>
        <w:snapToGrid w:val="0"/>
        <w:spacing w:line="560" w:lineRule="exact"/>
        <w:ind w:firstLine="640" w:firstLineChars="200"/>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zh-CN"/>
        </w:rPr>
        <w:t>县委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县政府</w:t>
      </w:r>
      <w:r>
        <w:rPr>
          <w:rFonts w:hint="eastAsia" w:ascii="仿宋_GB2312" w:hAnsi="仿宋_GB2312" w:eastAsia="仿宋_GB2312" w:cs="仿宋_GB2312"/>
          <w:sz w:val="32"/>
          <w:szCs w:val="32"/>
        </w:rPr>
        <w:t>和上级部门</w:t>
      </w:r>
      <w:r>
        <w:rPr>
          <w:rFonts w:hint="eastAsia" w:ascii="仿宋_GB2312" w:hAnsi="仿宋_GB2312" w:eastAsia="仿宋_GB2312" w:cs="仿宋_GB2312"/>
          <w:sz w:val="32"/>
          <w:szCs w:val="32"/>
          <w:lang w:val="zh-CN"/>
        </w:rPr>
        <w:t>交办的</w:t>
      </w:r>
      <w:r>
        <w:rPr>
          <w:rFonts w:hint="eastAsia" w:ascii="仿宋_GB2312" w:hAnsi="仿宋_GB2312" w:eastAsia="仿宋_GB2312" w:cs="仿宋_GB2312"/>
          <w:sz w:val="32"/>
          <w:szCs w:val="32"/>
        </w:rPr>
        <w:t>其他任务。</w:t>
      </w:r>
    </w:p>
    <w:p w14:paraId="1D1A5FB6">
      <w:pPr>
        <w:topLinePunct/>
        <w:spacing w:line="560" w:lineRule="exact"/>
        <w:ind w:firstLine="640" w:firstLineChars="200"/>
        <w:jc w:val="left"/>
        <w:rPr>
          <w:rFonts w:hint="eastAsia" w:ascii="楷体_GB2312" w:hAnsi="楷体" w:eastAsia="楷体_GB2312"/>
          <w:sz w:val="32"/>
          <w:szCs w:val="32"/>
        </w:rPr>
      </w:pPr>
      <w:r>
        <w:rPr>
          <w:rFonts w:hint="eastAsia" w:ascii="楷体_GB2312" w:hAnsi="楷体" w:eastAsia="楷体_GB2312"/>
          <w:sz w:val="32"/>
          <w:szCs w:val="32"/>
        </w:rPr>
        <w:t>（三）部门工作完成情况。</w:t>
      </w:r>
    </w:p>
    <w:p w14:paraId="603B47C5">
      <w:pPr>
        <w:snapToGrid w:val="0"/>
        <w:spacing w:line="560" w:lineRule="exact"/>
        <w:ind w:firstLine="585" w:firstLineChars="183"/>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kern w:val="1"/>
          <w:sz w:val="32"/>
          <w:szCs w:val="32"/>
          <w:lang w:val="en-US" w:eastAsia="zh-CN"/>
        </w:rPr>
        <w:t>1.</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做好疫情常态化防控工作。</w:t>
      </w:r>
    </w:p>
    <w:p w14:paraId="72A752BF">
      <w:pPr>
        <w:snapToGrid w:val="0"/>
        <w:spacing w:line="560" w:lineRule="exact"/>
        <w:ind w:firstLine="640" w:firstLineChars="200"/>
        <w:contextualSpacing/>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综合医改纵深推进</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p>
    <w:p w14:paraId="0C9C4FEE">
      <w:pPr>
        <w:snapToGrid w:val="0"/>
        <w:spacing w:line="560" w:lineRule="exact"/>
        <w:ind w:firstLine="640" w:firstLineChars="200"/>
        <w:contextualSpacing/>
        <w:rPr>
          <w:rFonts w:hint="eastAsia" w:ascii="仿宋_GB2312" w:hAnsi="仿宋_GB2312" w:eastAsia="仿宋_GB2312" w:cs="仿宋_GB2312"/>
          <w:b w:val="0"/>
          <w:bCs w:val="0"/>
          <w:spacing w:val="0"/>
          <w:sz w:val="32"/>
          <w:szCs w:val="32"/>
          <w:lang w:eastAsia="zh-CN"/>
        </w:rPr>
      </w:pP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服务能力稳步提升</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p>
    <w:p w14:paraId="4F07BC42">
      <w:pPr>
        <w:snapToGrid w:val="0"/>
        <w:spacing w:line="560" w:lineRule="exact"/>
        <w:ind w:firstLine="640" w:firstLineChars="200"/>
        <w:contextualSpacing/>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底线工作全面加强</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p>
    <w:p w14:paraId="5E4BC146">
      <w:pPr>
        <w:pStyle w:val="3"/>
        <w:snapToGrid w:val="0"/>
        <w:spacing w:line="560" w:lineRule="exact"/>
        <w:ind w:firstLine="640" w:firstLineChars="200"/>
        <w:contextualSpacing/>
        <w:jc w:val="left"/>
        <w:rPr>
          <w:rFonts w:hint="eastAsia" w:ascii="仿宋_GB2312" w:hAnsi="仿宋_GB2312" w:eastAsia="仿宋_GB2312" w:cs="仿宋_GB2312"/>
          <w:b w:val="0"/>
          <w:bCs w:val="0"/>
          <w:color w:val="000000" w:themeColor="text1"/>
          <w:kern w:val="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kern w:val="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1"/>
          <w:sz w:val="32"/>
          <w:szCs w:val="32"/>
          <w14:textFill>
            <w14:solidFill>
              <w14:schemeClr w14:val="tx1"/>
            </w14:solidFill>
          </w14:textFill>
        </w:rPr>
        <w:t>1</w:t>
      </w:r>
      <w:r>
        <w:rPr>
          <w:rFonts w:hint="eastAsia" w:ascii="仿宋_GB2312" w:hAnsi="仿宋_GB2312" w:eastAsia="仿宋_GB2312" w:cs="仿宋_GB2312"/>
          <w:b w:val="0"/>
          <w:bCs w:val="0"/>
          <w:color w:val="000000" w:themeColor="text1"/>
          <w:kern w:val="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1"/>
          <w:sz w:val="32"/>
          <w:szCs w:val="32"/>
          <w14:textFill>
            <w14:solidFill>
              <w14:schemeClr w14:val="tx1"/>
            </w14:solidFill>
          </w14:textFill>
        </w:rPr>
        <w:t>落实健康扶贫各项措施</w:t>
      </w:r>
      <w:r>
        <w:rPr>
          <w:rFonts w:hint="eastAsia" w:ascii="仿宋_GB2312" w:hAnsi="仿宋_GB2312" w:eastAsia="仿宋_GB2312" w:cs="仿宋_GB2312"/>
          <w:b w:val="0"/>
          <w:bCs w:val="0"/>
          <w:color w:val="000000" w:themeColor="text1"/>
          <w:kern w:val="1"/>
          <w:sz w:val="32"/>
          <w:szCs w:val="32"/>
          <w:lang w:eastAsia="zh-CN"/>
          <w14:textFill>
            <w14:solidFill>
              <w14:schemeClr w14:val="tx1"/>
            </w14:solidFill>
          </w14:textFill>
        </w:rPr>
        <w:t>。</w:t>
      </w:r>
    </w:p>
    <w:p w14:paraId="0DB8F354">
      <w:pPr>
        <w:pStyle w:val="3"/>
        <w:snapToGrid w:val="0"/>
        <w:spacing w:line="560" w:lineRule="exact"/>
        <w:ind w:firstLine="640" w:firstLineChars="200"/>
        <w:contextualSpacing/>
        <w:jc w:val="left"/>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sz w:val="32"/>
          <w:szCs w:val="32"/>
        </w:rPr>
        <w:t>强化疾病预防控制工作。</w:t>
      </w:r>
    </w:p>
    <w:p w14:paraId="6EA1F767">
      <w:pPr>
        <w:snapToGrid w:val="0"/>
        <w:spacing w:line="560" w:lineRule="exact"/>
        <w:ind w:firstLine="640" w:firstLineChars="200"/>
        <w:contextualSpacing/>
        <w:jc w:val="left"/>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3</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卫生应急工作不断加强。</w:t>
      </w:r>
    </w:p>
    <w:p w14:paraId="0DA15C18">
      <w:pPr>
        <w:snapToGrid w:val="0"/>
        <w:spacing w:line="560" w:lineRule="exact"/>
        <w:ind w:firstLine="640" w:firstLineChars="200"/>
        <w:contextualSpacing/>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4</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加强医政医管中医工作。</w:t>
      </w:r>
    </w:p>
    <w:p w14:paraId="02F46544">
      <w:pPr>
        <w:snapToGrid w:val="0"/>
        <w:spacing w:line="560" w:lineRule="exact"/>
        <w:ind w:firstLine="640" w:firstLineChars="200"/>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5</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推进卫生监督执法工作。</w:t>
      </w:r>
    </w:p>
    <w:p w14:paraId="78825F5F">
      <w:pPr>
        <w:snapToGrid w:val="0"/>
        <w:spacing w:line="560" w:lineRule="exact"/>
        <w:ind w:firstLine="640" w:firstLineChars="200"/>
        <w:contextualSpacing/>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6</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率先在昆明市完成艾滋病“三个90%”。</w:t>
      </w:r>
    </w:p>
    <w:p w14:paraId="005C0B6D">
      <w:pPr>
        <w:snapToGrid w:val="0"/>
        <w:spacing w:line="560" w:lineRule="exact"/>
        <w:ind w:firstLine="640" w:firstLineChars="200"/>
        <w:contextualSpacing/>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7</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积极开展爱国卫生“7个专项行动”。</w:t>
      </w:r>
    </w:p>
    <w:p w14:paraId="263DAEFF">
      <w:pPr>
        <w:pStyle w:val="1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8</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持续推进民生实事工程。</w:t>
      </w:r>
    </w:p>
    <w:p w14:paraId="327117FB">
      <w:pPr>
        <w:topLinePunct/>
        <w:spacing w:line="560" w:lineRule="exact"/>
        <w:ind w:firstLine="640" w:firstLineChars="200"/>
        <w:jc w:val="left"/>
        <w:rPr>
          <w:rFonts w:hint="eastAsia" w:ascii="楷体_GB2312" w:hAnsi="楷体" w:eastAsia="楷体_GB2312"/>
          <w:sz w:val="32"/>
          <w:szCs w:val="32"/>
        </w:rPr>
      </w:pPr>
      <w:r>
        <w:rPr>
          <w:rFonts w:hint="eastAsia" w:ascii="楷体_GB2312" w:hAnsi="楷体" w:eastAsia="楷体_GB2312"/>
          <w:sz w:val="32"/>
          <w:szCs w:val="32"/>
        </w:rPr>
        <w:t>（四）部门管理制度。</w:t>
      </w:r>
    </w:p>
    <w:p w14:paraId="0A393AEF">
      <w:pPr>
        <w:ind w:firstLine="640" w:firstLineChars="200"/>
        <w:rPr>
          <w:rFonts w:ascii="楷体_GB2312" w:hAnsi="楷体" w:eastAsia="楷体_GB2312"/>
          <w:sz w:val="32"/>
          <w:szCs w:val="32"/>
        </w:rPr>
      </w:pPr>
      <w:r>
        <w:rPr>
          <w:rFonts w:hint="eastAsia" w:ascii="仿宋_GB2312" w:hAnsi="仿宋_GB2312" w:eastAsia="仿宋_GB2312" w:cs="仿宋_GB2312"/>
          <w:b w:val="0"/>
          <w:bCs w:val="0"/>
          <w:color w:val="000000"/>
          <w:sz w:val="32"/>
          <w:szCs w:val="32"/>
        </w:rPr>
        <w:t>为进一步加强全局作风建设，强化内部管理，规范工作行为，严肃工作纪律，树立卫计行政机关勤政廉政、求真务实、优质高效的工作作风，根据有关法律法规，结合实际，制定</w:t>
      </w:r>
      <w:r>
        <w:rPr>
          <w:rFonts w:hint="eastAsia" w:ascii="仿宋_GB2312" w:hAnsi="仿宋_GB2312" w:eastAsia="仿宋_GB2312" w:cs="仿宋_GB2312"/>
          <w:b w:val="0"/>
          <w:bCs w:val="0"/>
          <w:color w:val="000000"/>
          <w:sz w:val="32"/>
          <w:szCs w:val="32"/>
          <w:lang w:eastAsia="zh-CN"/>
        </w:rPr>
        <w:t>以下规章制度：</w:t>
      </w:r>
      <w:r>
        <w:rPr>
          <w:rFonts w:hint="eastAsia" w:ascii="仿宋_GB2312" w:hAnsi="仿宋_GB2312" w:eastAsia="仿宋_GB2312" w:cs="仿宋_GB2312"/>
          <w:b w:val="0"/>
          <w:bCs w:val="0"/>
          <w:color w:val="000000"/>
          <w:spacing w:val="-6"/>
          <w:sz w:val="32"/>
          <w:szCs w:val="32"/>
        </w:rPr>
        <w:t>考勤制度</w:t>
      </w:r>
      <w:r>
        <w:rPr>
          <w:rFonts w:hint="eastAsia" w:ascii="仿宋_GB2312" w:hAnsi="仿宋_GB2312" w:eastAsia="仿宋_GB2312" w:cs="仿宋_GB2312"/>
          <w:b w:val="0"/>
          <w:bCs w:val="0"/>
          <w:color w:val="000000"/>
          <w:spacing w:val="-6"/>
          <w:sz w:val="32"/>
          <w:szCs w:val="32"/>
          <w:lang w:eastAsia="zh-CN"/>
        </w:rPr>
        <w:t>、</w:t>
      </w:r>
      <w:r>
        <w:rPr>
          <w:rFonts w:hint="eastAsia" w:ascii="仿宋_GB2312" w:hAnsi="仿宋_GB2312" w:eastAsia="仿宋_GB2312" w:cs="仿宋_GB2312"/>
          <w:b w:val="0"/>
          <w:bCs w:val="0"/>
          <w:color w:val="000000"/>
          <w:spacing w:val="-6"/>
          <w:sz w:val="32"/>
          <w:szCs w:val="32"/>
        </w:rPr>
        <w:t>学习制度</w:t>
      </w:r>
      <w:r>
        <w:rPr>
          <w:rFonts w:hint="eastAsia" w:ascii="仿宋_GB2312" w:hAnsi="仿宋_GB2312" w:eastAsia="仿宋_GB2312" w:cs="仿宋_GB2312"/>
          <w:b w:val="0"/>
          <w:bCs w:val="0"/>
          <w:color w:val="000000"/>
          <w:spacing w:val="-6"/>
          <w:sz w:val="32"/>
          <w:szCs w:val="32"/>
          <w:lang w:eastAsia="zh-CN"/>
        </w:rPr>
        <w:t>、</w:t>
      </w:r>
      <w:r>
        <w:rPr>
          <w:rFonts w:hint="eastAsia" w:ascii="仿宋_GB2312" w:hAnsi="仿宋_GB2312" w:eastAsia="仿宋_GB2312" w:cs="仿宋_GB2312"/>
          <w:b w:val="0"/>
          <w:bCs w:val="0"/>
          <w:color w:val="000000"/>
          <w:sz w:val="32"/>
          <w:szCs w:val="32"/>
        </w:rPr>
        <w:t>公文处理制度</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kern w:val="0"/>
          <w:sz w:val="32"/>
          <w:szCs w:val="32"/>
        </w:rPr>
        <w:t>保密制度</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公章管理与使用制度</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财务管理制度</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公共财物管理制度</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公务接待制度</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pacing w:val="-6"/>
          <w:sz w:val="32"/>
          <w:szCs w:val="32"/>
        </w:rPr>
        <w:t>会议制度</w:t>
      </w:r>
      <w:r>
        <w:rPr>
          <w:rFonts w:hint="eastAsia" w:ascii="仿宋_GB2312" w:hAnsi="仿宋_GB2312" w:eastAsia="仿宋_GB2312" w:cs="仿宋_GB2312"/>
          <w:b w:val="0"/>
          <w:bCs w:val="0"/>
          <w:color w:val="000000"/>
          <w:spacing w:val="-6"/>
          <w:sz w:val="32"/>
          <w:szCs w:val="32"/>
          <w:lang w:eastAsia="zh-CN"/>
        </w:rPr>
        <w:t>、</w:t>
      </w:r>
      <w:r>
        <w:rPr>
          <w:rFonts w:hint="eastAsia" w:ascii="仿宋_GB2312" w:hAnsi="仿宋_GB2312" w:eastAsia="仿宋_GB2312" w:cs="仿宋_GB2312"/>
          <w:b w:val="0"/>
          <w:bCs w:val="0"/>
          <w:color w:val="000000"/>
          <w:kern w:val="0"/>
          <w:sz w:val="32"/>
          <w:szCs w:val="32"/>
        </w:rPr>
        <w:t>考核制度</w:t>
      </w:r>
      <w:r>
        <w:rPr>
          <w:rFonts w:hint="eastAsia" w:ascii="仿宋_GB2312" w:hAnsi="仿宋_GB2312" w:eastAsia="仿宋_GB2312" w:cs="仿宋_GB2312"/>
          <w:b w:val="0"/>
          <w:bCs w:val="0"/>
          <w:color w:val="000000"/>
          <w:kern w:val="0"/>
          <w:sz w:val="32"/>
          <w:szCs w:val="32"/>
          <w:lang w:eastAsia="zh-CN"/>
        </w:rPr>
        <w:t>。</w:t>
      </w:r>
    </w:p>
    <w:p w14:paraId="7532F2C3">
      <w:pPr>
        <w:topLinePunct/>
        <w:spacing w:line="560" w:lineRule="exact"/>
        <w:ind w:firstLine="640" w:firstLineChars="200"/>
        <w:jc w:val="left"/>
        <w:rPr>
          <w:rFonts w:hint="eastAsia" w:ascii="楷体_GB2312" w:hAnsi="楷体" w:eastAsia="楷体_GB2312"/>
          <w:sz w:val="32"/>
          <w:szCs w:val="32"/>
        </w:rPr>
      </w:pPr>
      <w:r>
        <w:rPr>
          <w:rFonts w:hint="eastAsia" w:ascii="楷体_GB2312" w:hAnsi="楷体" w:eastAsia="楷体_GB2312"/>
          <w:sz w:val="32"/>
          <w:szCs w:val="32"/>
        </w:rPr>
        <w:t>（五）部门资金来源及使用情况。</w:t>
      </w:r>
    </w:p>
    <w:p w14:paraId="38AE7EC3">
      <w:pPr>
        <w:topLinePunct/>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富民县卫生健康局收入来源分为：财政拨款收入、事业收入、捐赠收入、利息收入、租金收入、其他收入等。总收入19707.70万元，其中：财政拨款收入6821.35万元，占比34.61%；事业收入12335.7万元，占比62.59%；捐赠收入0.51万元，占比0.00%；利息收入1.22万元，占比0.01%；租金收入19.9万元，占比0.1%；其他收入529.34万元，占比2.69%。</w:t>
      </w:r>
    </w:p>
    <w:p w14:paraId="75BE5793">
      <w:pPr>
        <w:topLinePunct/>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2024年富民县卫生健康局费用总额21310.3万元，主要有：业务活动费用19632.6万元，占比92.13%；单位管理费用1593.61万元，占比7.48%；其他费用84.08万元，占比0.39%。</w:t>
      </w:r>
    </w:p>
    <w:p w14:paraId="6B973B2D">
      <w:pPr>
        <w:topLinePunct/>
        <w:spacing w:line="560" w:lineRule="exact"/>
        <w:ind w:firstLine="640" w:firstLineChars="200"/>
        <w:jc w:val="left"/>
        <w:rPr>
          <w:rFonts w:hint="eastAsia" w:ascii="楷体_GB2312" w:hAnsi="楷体" w:eastAsia="楷体_GB2312"/>
          <w:sz w:val="32"/>
          <w:szCs w:val="32"/>
        </w:rPr>
      </w:pPr>
      <w:r>
        <w:rPr>
          <w:rFonts w:hint="eastAsia" w:ascii="楷体_GB2312" w:hAnsi="楷体" w:eastAsia="楷体_GB2312"/>
          <w:sz w:val="32"/>
          <w:szCs w:val="32"/>
        </w:rPr>
        <w:t>（六）政府采购情况。</w:t>
      </w:r>
    </w:p>
    <w:p w14:paraId="20A89BC9">
      <w:pPr>
        <w:pStyle w:val="1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根据《中华人民共和国政府采购法》的有关规定，编制了政府采购预算</w:t>
      </w:r>
      <w:r>
        <w:rPr>
          <w:rFonts w:hint="eastAsia" w:ascii="仿宋_GB2312" w:hAnsi="仿宋_GB2312" w:eastAsia="仿宋_GB2312" w:cs="仿宋_GB2312"/>
          <w:kern w:val="0"/>
          <w:sz w:val="32"/>
          <w:szCs w:val="32"/>
          <w:lang w:eastAsia="zh-CN"/>
        </w:rPr>
        <w:t>。</w:t>
      </w:r>
    </w:p>
    <w:p w14:paraId="230F1318">
      <w:pPr>
        <w:topLinePunct/>
        <w:spacing w:line="560" w:lineRule="exact"/>
        <w:ind w:firstLine="640" w:firstLineChars="200"/>
        <w:jc w:val="left"/>
        <w:rPr>
          <w:rFonts w:hint="eastAsia" w:ascii="楷体_GB2312" w:hAnsi="楷体" w:eastAsia="楷体_GB2312"/>
          <w:sz w:val="32"/>
          <w:szCs w:val="32"/>
        </w:rPr>
      </w:pPr>
      <w:r>
        <w:rPr>
          <w:rFonts w:hint="eastAsia" w:ascii="楷体_GB2312" w:hAnsi="楷体" w:eastAsia="楷体_GB2312"/>
          <w:sz w:val="32"/>
          <w:szCs w:val="32"/>
        </w:rPr>
        <w:t>（七）固定资产情况。</w:t>
      </w:r>
    </w:p>
    <w:p w14:paraId="1D020C9D">
      <w:pPr>
        <w:widowControl/>
        <w:spacing w:line="560" w:lineRule="exact"/>
        <w:ind w:firstLine="6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有关规定使用财政部“行政事业单位资产管理信息系统”进行资产日常管理。单位资产管理制度总体上得到有效执行，年度内资产购置业务的采购审批手续完整，账务处理合规；通过自查年末资产清查和固定资产盘点资料，单位固定资产账实相符，资产保存完整、资产配置合理。 截至</w:t>
      </w:r>
      <w:r>
        <w:rPr>
          <w:rFonts w:hint="default" w:ascii="Times New Roman" w:hAnsi="Times New Roman" w:eastAsia="仿宋_GB2312" w:cs="Times New Roman"/>
          <w:kern w:val="0"/>
          <w:sz w:val="32"/>
          <w:szCs w:val="32"/>
        </w:rPr>
        <w:t>2024</w:t>
      </w:r>
      <w:r>
        <w:rPr>
          <w:rFonts w:hint="eastAsia" w:ascii="仿宋_GB2312" w:hAnsi="仿宋_GB2312" w:eastAsia="仿宋_GB2312" w:cs="仿宋_GB2312"/>
          <w:kern w:val="0"/>
          <w:sz w:val="32"/>
          <w:szCs w:val="32"/>
        </w:rPr>
        <w:t>年</w:t>
      </w:r>
      <w:r>
        <w:rPr>
          <w:rFonts w:hint="default" w:ascii="Times New Roman" w:hAnsi="Times New Roman" w:eastAsia="仿宋_GB2312" w:cs="Times New Roman"/>
          <w:kern w:val="0"/>
          <w:sz w:val="32"/>
          <w:szCs w:val="32"/>
        </w:rPr>
        <w:t>12</w:t>
      </w:r>
      <w:r>
        <w:rPr>
          <w:rFonts w:hint="eastAsia" w:ascii="仿宋_GB2312" w:hAnsi="仿宋_GB2312" w:eastAsia="仿宋_GB2312" w:cs="仿宋_GB2312"/>
          <w:kern w:val="0"/>
          <w:sz w:val="32"/>
          <w:szCs w:val="32"/>
        </w:rPr>
        <w:t>月</w:t>
      </w:r>
      <w:r>
        <w:rPr>
          <w:rFonts w:hint="default" w:ascii="Times New Roman" w:hAnsi="Times New Roman" w:eastAsia="仿宋_GB2312" w:cs="Times New Roman"/>
          <w:kern w:val="0"/>
          <w:sz w:val="32"/>
          <w:szCs w:val="32"/>
        </w:rPr>
        <w:t>31</w:t>
      </w:r>
      <w:r>
        <w:rPr>
          <w:rFonts w:hint="eastAsia" w:ascii="仿宋_GB2312" w:hAnsi="仿宋_GB2312" w:eastAsia="仿宋_GB2312" w:cs="仿宋_GB2312"/>
          <w:kern w:val="0"/>
          <w:sz w:val="32"/>
          <w:szCs w:val="32"/>
        </w:rPr>
        <w:t>日，</w:t>
      </w:r>
      <w:r>
        <w:rPr>
          <w:rFonts w:hint="eastAsia" w:ascii="仿宋_GB2312" w:hAnsi="仿宋_GB2312" w:eastAsia="仿宋_GB2312" w:cs="仿宋_GB2312"/>
          <w:kern w:val="0"/>
          <w:sz w:val="32"/>
          <w:szCs w:val="32"/>
          <w:lang w:eastAsia="zh-CN"/>
        </w:rPr>
        <w:t>富民县卫生健康局</w:t>
      </w:r>
      <w:r>
        <w:rPr>
          <w:rFonts w:hint="eastAsia" w:ascii="仿宋_GB2312" w:hAnsi="仿宋_GB2312" w:eastAsia="仿宋_GB2312" w:cs="仿宋_GB2312"/>
          <w:kern w:val="0"/>
          <w:sz w:val="32"/>
          <w:szCs w:val="32"/>
        </w:rPr>
        <w:t>资产总额</w:t>
      </w:r>
      <w:r>
        <w:rPr>
          <w:rFonts w:hint="default" w:ascii="Times New Roman" w:hAnsi="Times New Roman" w:eastAsia="仿宋_GB2312" w:cs="Times New Roman"/>
          <w:kern w:val="0"/>
          <w:sz w:val="32"/>
          <w:szCs w:val="32"/>
          <w:lang w:val="en-US" w:eastAsia="zh-CN"/>
        </w:rPr>
        <w:t>160,206,648.65</w:t>
      </w:r>
      <w:r>
        <w:rPr>
          <w:rFonts w:hint="eastAsia" w:ascii="仿宋_GB2312" w:hAnsi="仿宋_GB2312" w:eastAsia="仿宋_GB2312" w:cs="仿宋_GB2312"/>
          <w:kern w:val="0"/>
          <w:sz w:val="32"/>
          <w:szCs w:val="32"/>
        </w:rPr>
        <w:t>元，其中，流动资产</w:t>
      </w:r>
      <w:r>
        <w:rPr>
          <w:rFonts w:hint="default" w:ascii="Times New Roman" w:hAnsi="Times New Roman" w:eastAsia="仿宋_GB2312" w:cs="Times New Roman"/>
          <w:kern w:val="0"/>
          <w:sz w:val="32"/>
          <w:szCs w:val="32"/>
          <w:lang w:val="en-US" w:eastAsia="zh-CN"/>
        </w:rPr>
        <w:t>86,635,955.32</w:t>
      </w:r>
      <w:r>
        <w:rPr>
          <w:rFonts w:hint="eastAsia" w:ascii="仿宋_GB2312" w:hAnsi="仿宋_GB2312" w:eastAsia="仿宋_GB2312" w:cs="仿宋_GB2312"/>
          <w:kern w:val="0"/>
          <w:sz w:val="32"/>
          <w:szCs w:val="32"/>
        </w:rPr>
        <w:t>元，固定资产</w:t>
      </w:r>
      <w:r>
        <w:rPr>
          <w:rFonts w:hint="eastAsia" w:ascii="仿宋_GB2312" w:hAnsi="仿宋_GB2312" w:eastAsia="仿宋_GB2312" w:cs="仿宋_GB2312"/>
          <w:kern w:val="0"/>
          <w:sz w:val="32"/>
          <w:szCs w:val="32"/>
          <w:lang w:eastAsia="zh-CN"/>
        </w:rPr>
        <w:t>净值</w:t>
      </w:r>
      <w:r>
        <w:rPr>
          <w:rFonts w:hint="default" w:ascii="Times New Roman" w:hAnsi="Times New Roman" w:eastAsia="仿宋_GB2312" w:cs="Times New Roman"/>
          <w:kern w:val="0"/>
          <w:sz w:val="32"/>
          <w:szCs w:val="32"/>
          <w:lang w:val="en-US" w:eastAsia="zh-CN"/>
        </w:rPr>
        <w:t>59,238,475.1</w:t>
      </w:r>
      <w:r>
        <w:rPr>
          <w:rFonts w:hint="eastAsia" w:ascii="Times New Roman" w:hAnsi="Times New Roman" w:eastAsia="仿宋_GB2312" w:cs="Times New Roman"/>
          <w:kern w:val="0"/>
          <w:sz w:val="32"/>
          <w:szCs w:val="32"/>
          <w:lang w:val="en-US" w:eastAsia="zh-CN"/>
        </w:rPr>
        <w:t>0</w:t>
      </w:r>
      <w:r>
        <w:rPr>
          <w:rFonts w:hint="eastAsia" w:ascii="仿宋_GB2312" w:hAnsi="仿宋_GB2312" w:eastAsia="仿宋_GB2312" w:cs="仿宋_GB2312"/>
          <w:kern w:val="0"/>
          <w:sz w:val="32"/>
          <w:szCs w:val="32"/>
        </w:rPr>
        <w:t>元，对外投资及有价证券</w:t>
      </w:r>
      <w:r>
        <w:rPr>
          <w:rFonts w:hint="default" w:ascii="Times New Roman" w:hAnsi="Times New Roman" w:eastAsia="仿宋_GB2312" w:cs="Times New Roman"/>
          <w:kern w:val="0"/>
          <w:sz w:val="32"/>
          <w:szCs w:val="32"/>
          <w:lang w:val="en-US" w:eastAsia="zh-CN"/>
        </w:rPr>
        <w:t>0</w:t>
      </w:r>
      <w:r>
        <w:rPr>
          <w:rFonts w:hint="eastAsia" w:ascii="仿宋_GB2312" w:hAnsi="仿宋_GB2312" w:eastAsia="仿宋_GB2312" w:cs="仿宋_GB2312"/>
          <w:kern w:val="0"/>
          <w:sz w:val="32"/>
          <w:szCs w:val="32"/>
        </w:rPr>
        <w:t>元，在建工程</w:t>
      </w:r>
      <w:r>
        <w:rPr>
          <w:rFonts w:hint="default" w:ascii="Times New Roman" w:hAnsi="Times New Roman" w:eastAsia="仿宋_GB2312" w:cs="Times New Roman"/>
          <w:kern w:val="0"/>
          <w:sz w:val="32"/>
          <w:szCs w:val="32"/>
          <w:lang w:val="en-US" w:eastAsia="zh-CN"/>
        </w:rPr>
        <w:t>0</w:t>
      </w:r>
      <w:r>
        <w:rPr>
          <w:rFonts w:hint="eastAsia" w:ascii="仿宋_GB2312" w:hAnsi="仿宋_GB2312" w:eastAsia="仿宋_GB2312" w:cs="仿宋_GB2312"/>
          <w:kern w:val="0"/>
          <w:sz w:val="32"/>
          <w:szCs w:val="32"/>
        </w:rPr>
        <w:t>元，无形资产</w:t>
      </w:r>
      <w:r>
        <w:rPr>
          <w:rFonts w:hint="eastAsia" w:ascii="仿宋_GB2312" w:hAnsi="仿宋_GB2312" w:eastAsia="仿宋_GB2312" w:cs="仿宋_GB2312"/>
          <w:kern w:val="0"/>
          <w:sz w:val="32"/>
          <w:szCs w:val="32"/>
          <w:lang w:eastAsia="zh-CN"/>
        </w:rPr>
        <w:t>净值</w:t>
      </w:r>
      <w:r>
        <w:rPr>
          <w:rFonts w:hint="default" w:ascii="Times New Roman" w:hAnsi="Times New Roman" w:eastAsia="仿宋_GB2312" w:cs="Times New Roman"/>
          <w:kern w:val="0"/>
          <w:sz w:val="32"/>
          <w:szCs w:val="32"/>
          <w:lang w:val="en-US" w:eastAsia="zh-CN"/>
        </w:rPr>
        <w:t>14,257,218.23</w:t>
      </w:r>
      <w:r>
        <w:rPr>
          <w:rFonts w:hint="eastAsia" w:ascii="仿宋_GB2312" w:hAnsi="仿宋_GB2312" w:eastAsia="仿宋_GB2312" w:cs="仿宋_GB2312"/>
          <w:kern w:val="0"/>
          <w:sz w:val="32"/>
          <w:szCs w:val="32"/>
        </w:rPr>
        <w:t>元，其他资产</w:t>
      </w:r>
      <w:r>
        <w:rPr>
          <w:rFonts w:hint="default" w:ascii="Times New Roman" w:hAnsi="Times New Roman" w:eastAsia="仿宋_GB2312" w:cs="Times New Roman"/>
          <w:kern w:val="0"/>
          <w:sz w:val="32"/>
          <w:szCs w:val="32"/>
          <w:lang w:val="en-US" w:eastAsia="zh-CN"/>
        </w:rPr>
        <w:t>0</w:t>
      </w:r>
      <w:r>
        <w:rPr>
          <w:rFonts w:hint="eastAsia" w:ascii="仿宋_GB2312" w:hAnsi="仿宋_GB2312" w:eastAsia="仿宋_GB2312" w:cs="仿宋_GB2312"/>
          <w:kern w:val="0"/>
          <w:sz w:val="32"/>
          <w:szCs w:val="32"/>
        </w:rPr>
        <w:t>元。与上年相比，本年资产总额</w:t>
      </w:r>
      <w:r>
        <w:rPr>
          <w:rFonts w:hint="eastAsia" w:ascii="仿宋_GB2312" w:hAnsi="仿宋_GB2312" w:eastAsia="仿宋_GB2312" w:cs="仿宋_GB2312"/>
          <w:kern w:val="0"/>
          <w:sz w:val="32"/>
          <w:szCs w:val="32"/>
          <w:lang w:eastAsia="zh-CN"/>
        </w:rPr>
        <w:t>减少</w:t>
      </w:r>
      <w:r>
        <w:rPr>
          <w:rFonts w:hint="default" w:ascii="Times New Roman" w:hAnsi="Times New Roman" w:eastAsia="仿宋_GB2312" w:cs="Times New Roman"/>
          <w:kern w:val="0"/>
          <w:sz w:val="32"/>
          <w:szCs w:val="32"/>
          <w:lang w:val="en-US" w:eastAsia="zh-CN"/>
        </w:rPr>
        <w:t>29,564,002.12</w:t>
      </w:r>
      <w:r>
        <w:rPr>
          <w:rFonts w:hint="eastAsia" w:ascii="仿宋_GB2312" w:hAnsi="仿宋_GB2312" w:eastAsia="仿宋_GB2312" w:cs="仿宋_GB2312"/>
          <w:kern w:val="0"/>
          <w:sz w:val="32"/>
          <w:szCs w:val="32"/>
        </w:rPr>
        <w:t>元，其中固定资产</w:t>
      </w:r>
      <w:r>
        <w:rPr>
          <w:rFonts w:hint="eastAsia" w:ascii="仿宋_GB2312" w:hAnsi="仿宋_GB2312" w:eastAsia="仿宋_GB2312" w:cs="仿宋_GB2312"/>
          <w:kern w:val="0"/>
          <w:sz w:val="32"/>
          <w:szCs w:val="32"/>
          <w:lang w:eastAsia="zh-CN"/>
        </w:rPr>
        <w:t>减少</w:t>
      </w:r>
      <w:r>
        <w:rPr>
          <w:rFonts w:hint="default" w:ascii="Times New Roman" w:hAnsi="Times New Roman" w:eastAsia="仿宋_GB2312" w:cs="Times New Roman"/>
          <w:kern w:val="0"/>
          <w:sz w:val="32"/>
          <w:szCs w:val="32"/>
          <w:lang w:val="en-US" w:eastAsia="zh-CN"/>
        </w:rPr>
        <w:t>6,403,712.82</w:t>
      </w:r>
      <w:r>
        <w:rPr>
          <w:rFonts w:hint="eastAsia" w:ascii="仿宋_GB2312" w:hAnsi="仿宋_GB2312" w:eastAsia="仿宋_GB2312" w:cs="仿宋_GB2312"/>
          <w:kern w:val="0"/>
          <w:sz w:val="32"/>
          <w:szCs w:val="32"/>
        </w:rPr>
        <w:t>元。处置房屋建筑物</w:t>
      </w:r>
      <w:r>
        <w:rPr>
          <w:rFonts w:hint="default" w:ascii="Times New Roman" w:hAnsi="Times New Roman" w:eastAsia="仿宋_GB2312" w:cs="Times New Roman"/>
          <w:kern w:val="0"/>
          <w:sz w:val="32"/>
          <w:szCs w:val="32"/>
          <w:lang w:val="en-US" w:eastAsia="zh-CN"/>
        </w:rPr>
        <w:t>0</w:t>
      </w:r>
      <w:r>
        <w:rPr>
          <w:rFonts w:hint="eastAsia" w:ascii="仿宋_GB2312" w:hAnsi="仿宋_GB2312" w:eastAsia="仿宋_GB2312" w:cs="仿宋_GB2312"/>
          <w:kern w:val="0"/>
          <w:sz w:val="32"/>
          <w:szCs w:val="32"/>
        </w:rPr>
        <w:t>平方米，账面原值</w:t>
      </w:r>
      <w:r>
        <w:rPr>
          <w:rFonts w:hint="default" w:ascii="Times New Roman" w:hAnsi="Times New Roman" w:eastAsia="仿宋_GB2312" w:cs="Times New Roman"/>
          <w:kern w:val="0"/>
          <w:sz w:val="32"/>
          <w:szCs w:val="32"/>
          <w:lang w:val="en-US" w:eastAsia="zh-CN"/>
        </w:rPr>
        <w:t>0</w:t>
      </w:r>
      <w:r>
        <w:rPr>
          <w:rFonts w:hint="eastAsia" w:ascii="仿宋_GB2312" w:hAnsi="仿宋_GB2312" w:eastAsia="仿宋_GB2312" w:cs="仿宋_GB2312"/>
          <w:kern w:val="0"/>
          <w:sz w:val="32"/>
          <w:szCs w:val="32"/>
        </w:rPr>
        <w:t>元；处置车辆</w:t>
      </w:r>
      <w:r>
        <w:rPr>
          <w:rFonts w:hint="default" w:ascii="Times New Roman" w:hAnsi="Times New Roman" w:eastAsia="仿宋_GB2312" w:cs="Times New Roman"/>
          <w:kern w:val="0"/>
          <w:sz w:val="32"/>
          <w:szCs w:val="32"/>
          <w:lang w:val="en-US" w:eastAsia="zh-CN"/>
        </w:rPr>
        <w:t>0</w:t>
      </w:r>
      <w:r>
        <w:rPr>
          <w:rFonts w:hint="eastAsia" w:ascii="仿宋_GB2312" w:hAnsi="仿宋_GB2312" w:eastAsia="仿宋_GB2312" w:cs="仿宋_GB2312"/>
          <w:kern w:val="0"/>
          <w:sz w:val="32"/>
          <w:szCs w:val="32"/>
        </w:rPr>
        <w:t>辆，账面原值</w:t>
      </w:r>
      <w:r>
        <w:rPr>
          <w:rFonts w:hint="default" w:ascii="Times New Roman" w:hAnsi="Times New Roman" w:eastAsia="仿宋_GB2312" w:cs="Times New Roman"/>
          <w:kern w:val="0"/>
          <w:sz w:val="32"/>
          <w:szCs w:val="32"/>
          <w:lang w:val="en-US" w:eastAsia="zh-CN"/>
        </w:rPr>
        <w:t>0</w:t>
      </w:r>
      <w:r>
        <w:rPr>
          <w:rFonts w:hint="eastAsia" w:ascii="仿宋_GB2312" w:hAnsi="仿宋_GB2312" w:eastAsia="仿宋_GB2312" w:cs="仿宋_GB2312"/>
          <w:kern w:val="0"/>
          <w:sz w:val="32"/>
          <w:szCs w:val="32"/>
        </w:rPr>
        <w:t>元；报废报损资产</w:t>
      </w:r>
      <w:r>
        <w:rPr>
          <w:rFonts w:hint="default" w:ascii="Times New Roman" w:hAnsi="Times New Roman" w:eastAsia="仿宋_GB2312" w:cs="Times New Roman"/>
          <w:kern w:val="0"/>
          <w:sz w:val="32"/>
          <w:szCs w:val="32"/>
          <w:lang w:val="en-US" w:eastAsia="zh-CN"/>
        </w:rPr>
        <w:t>10</w:t>
      </w:r>
      <w:r>
        <w:rPr>
          <w:rFonts w:hint="eastAsia" w:ascii="仿宋_GB2312" w:hAnsi="仿宋_GB2312" w:eastAsia="仿宋_GB2312" w:cs="仿宋_GB2312"/>
          <w:kern w:val="0"/>
          <w:sz w:val="32"/>
          <w:szCs w:val="32"/>
        </w:rPr>
        <w:t>项，账面原值</w:t>
      </w:r>
      <w:r>
        <w:rPr>
          <w:rFonts w:hint="default" w:ascii="Times New Roman" w:hAnsi="Times New Roman" w:eastAsia="仿宋_GB2312" w:cs="Times New Roman"/>
          <w:kern w:val="0"/>
          <w:sz w:val="32"/>
          <w:szCs w:val="32"/>
          <w:lang w:val="en-US" w:eastAsia="zh-CN"/>
        </w:rPr>
        <w:t>47,890</w:t>
      </w:r>
      <w:r>
        <w:rPr>
          <w:rFonts w:hint="eastAsia" w:ascii="Times New Roman" w:hAnsi="Times New Roman" w:eastAsia="仿宋_GB2312" w:cs="Times New Roman"/>
          <w:kern w:val="0"/>
          <w:sz w:val="32"/>
          <w:szCs w:val="32"/>
          <w:lang w:val="en-US" w:eastAsia="zh-CN"/>
        </w:rPr>
        <w:t>.00</w:t>
      </w:r>
      <w:r>
        <w:rPr>
          <w:rFonts w:hint="eastAsia" w:ascii="仿宋_GB2312" w:hAnsi="仿宋_GB2312" w:eastAsia="仿宋_GB2312" w:cs="仿宋_GB2312"/>
          <w:kern w:val="0"/>
          <w:sz w:val="32"/>
          <w:szCs w:val="32"/>
        </w:rPr>
        <w:t>元，实现资产处置收入</w:t>
      </w:r>
      <w:r>
        <w:rPr>
          <w:rFonts w:hint="default" w:ascii="Times New Roman" w:hAnsi="Times New Roman" w:eastAsia="仿宋_GB2312" w:cs="Times New Roman"/>
          <w:kern w:val="0"/>
          <w:sz w:val="32"/>
          <w:szCs w:val="32"/>
          <w:lang w:val="en-US" w:eastAsia="zh-CN"/>
        </w:rPr>
        <w:t>0</w:t>
      </w:r>
      <w:r>
        <w:rPr>
          <w:rFonts w:hint="eastAsia" w:ascii="仿宋_GB2312" w:hAnsi="仿宋_GB2312" w:eastAsia="仿宋_GB2312" w:cs="仿宋_GB2312"/>
          <w:kern w:val="0"/>
          <w:sz w:val="32"/>
          <w:szCs w:val="32"/>
        </w:rPr>
        <w:t>元；资产使用收入</w:t>
      </w:r>
      <w:r>
        <w:rPr>
          <w:rFonts w:hint="default" w:ascii="Times New Roman" w:hAnsi="Times New Roman" w:eastAsia="仿宋_GB2312" w:cs="Times New Roman"/>
          <w:kern w:val="0"/>
          <w:sz w:val="32"/>
          <w:szCs w:val="32"/>
          <w:lang w:val="en-US" w:eastAsia="zh-CN"/>
        </w:rPr>
        <w:t>0</w:t>
      </w:r>
      <w:r>
        <w:rPr>
          <w:rFonts w:hint="eastAsia" w:ascii="仿宋_GB2312" w:hAnsi="仿宋_GB2312" w:eastAsia="仿宋_GB2312" w:cs="仿宋_GB2312"/>
          <w:kern w:val="0"/>
          <w:sz w:val="32"/>
          <w:szCs w:val="32"/>
        </w:rPr>
        <w:t>元，其中出租资产</w:t>
      </w:r>
      <w:r>
        <w:rPr>
          <w:rFonts w:hint="default" w:ascii="Times New Roman" w:hAnsi="Times New Roman" w:eastAsia="仿宋_GB2312" w:cs="Times New Roman"/>
          <w:kern w:val="0"/>
          <w:sz w:val="32"/>
          <w:szCs w:val="32"/>
          <w:lang w:val="en-US" w:eastAsia="zh-CN"/>
        </w:rPr>
        <w:t>0</w:t>
      </w:r>
      <w:r>
        <w:rPr>
          <w:rFonts w:hint="eastAsia" w:ascii="仿宋_GB2312" w:hAnsi="仿宋_GB2312" w:eastAsia="仿宋_GB2312" w:cs="仿宋_GB2312"/>
          <w:kern w:val="0"/>
          <w:sz w:val="32"/>
          <w:szCs w:val="32"/>
        </w:rPr>
        <w:t>平方米，资产出租收入</w:t>
      </w:r>
      <w:r>
        <w:rPr>
          <w:rFonts w:hint="default" w:ascii="Times New Roman" w:hAnsi="Times New Roman" w:eastAsia="仿宋_GB2312" w:cs="Times New Roman"/>
          <w:kern w:val="0"/>
          <w:sz w:val="32"/>
          <w:szCs w:val="32"/>
          <w:lang w:val="en-US" w:eastAsia="zh-CN"/>
        </w:rPr>
        <w:t>0</w:t>
      </w:r>
      <w:r>
        <w:rPr>
          <w:rFonts w:hint="eastAsia" w:ascii="仿宋_GB2312" w:hAnsi="仿宋_GB2312" w:eastAsia="仿宋_GB2312" w:cs="仿宋_GB2312"/>
          <w:kern w:val="0"/>
          <w:sz w:val="32"/>
          <w:szCs w:val="32"/>
        </w:rPr>
        <w:t>元。</w:t>
      </w:r>
    </w:p>
    <w:p w14:paraId="70F35C99">
      <w:pPr>
        <w:pStyle w:val="10"/>
      </w:pPr>
    </w:p>
    <w:p w14:paraId="3D6C0ECB">
      <w:pPr>
        <w:topLinePunct/>
        <w:spacing w:line="560" w:lineRule="exact"/>
        <w:ind w:firstLine="640" w:firstLineChars="200"/>
        <w:jc w:val="left"/>
        <w:rPr>
          <w:rFonts w:ascii="黑体" w:hAnsi="黑体" w:eastAsia="黑体"/>
          <w:sz w:val="32"/>
          <w:szCs w:val="32"/>
        </w:rPr>
      </w:pPr>
      <w:r>
        <w:rPr>
          <w:rFonts w:hint="eastAsia" w:ascii="黑体" w:hAnsi="黑体" w:eastAsia="黑体"/>
          <w:sz w:val="32"/>
          <w:szCs w:val="32"/>
        </w:rPr>
        <w:t>二、绩效目标</w:t>
      </w:r>
    </w:p>
    <w:p w14:paraId="610AD2CB">
      <w:pPr>
        <w:topLinePunct/>
        <w:spacing w:line="560" w:lineRule="exact"/>
        <w:ind w:firstLine="640" w:firstLineChars="200"/>
        <w:jc w:val="left"/>
        <w:rPr>
          <w:rFonts w:hint="eastAsia" w:ascii="楷体_GB2312" w:hAnsi="楷体" w:eastAsia="楷体_GB2312"/>
          <w:sz w:val="32"/>
          <w:szCs w:val="32"/>
        </w:rPr>
      </w:pPr>
      <w:r>
        <w:rPr>
          <w:rFonts w:hint="eastAsia" w:ascii="楷体_GB2312" w:hAnsi="楷体" w:eastAsia="楷体_GB2312"/>
          <w:sz w:val="32"/>
          <w:szCs w:val="32"/>
        </w:rPr>
        <w:t>（一）部门总目标。</w:t>
      </w:r>
    </w:p>
    <w:p w14:paraId="1FF30B9F">
      <w:pPr>
        <w:pStyle w:val="1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每月按时上报存量资金使用情况，按县财政局要求新增固定资产时向各部门报批，做好固定资产的管理及录入工作。三公经费控制在规定范围内，在我局内部管理制度中有系统的财务管理办法，直属及各卫生院财务遵照此办法执行。</w:t>
      </w:r>
    </w:p>
    <w:p w14:paraId="48D8D2BD">
      <w:pPr>
        <w:topLinePunct/>
        <w:spacing w:line="560" w:lineRule="exact"/>
        <w:ind w:firstLine="640" w:firstLineChars="200"/>
        <w:jc w:val="left"/>
        <w:rPr>
          <w:rFonts w:hint="eastAsia" w:ascii="楷体_GB2312" w:hAnsi="楷体" w:eastAsia="楷体_GB2312"/>
          <w:sz w:val="32"/>
          <w:szCs w:val="32"/>
        </w:rPr>
      </w:pPr>
      <w:r>
        <w:rPr>
          <w:rFonts w:hint="eastAsia" w:ascii="楷体_GB2312" w:hAnsi="楷体" w:eastAsia="楷体_GB2312"/>
          <w:sz w:val="32"/>
          <w:szCs w:val="32"/>
        </w:rPr>
        <w:t>（二）部门项目具体计划目标。</w:t>
      </w:r>
    </w:p>
    <w:p w14:paraId="761D99C1">
      <w:pPr>
        <w:topLinePunct/>
        <w:spacing w:line="560" w:lineRule="exact"/>
        <w:ind w:firstLine="640" w:firstLineChars="200"/>
        <w:jc w:val="left"/>
        <w:rPr>
          <w:rFonts w:ascii="楷体_GB2312" w:hAnsi="楷体" w:eastAsia="楷体_GB2312"/>
          <w:sz w:val="32"/>
          <w:szCs w:val="32"/>
        </w:rPr>
      </w:pPr>
      <w:r>
        <w:rPr>
          <w:rFonts w:hint="eastAsia" w:ascii="仿宋_GB2312" w:hAnsi="仿宋_GB2312" w:eastAsia="仿宋_GB2312" w:cs="仿宋_GB2312"/>
          <w:kern w:val="0"/>
          <w:sz w:val="32"/>
          <w:szCs w:val="32"/>
          <w:lang w:val="en-US" w:eastAsia="zh-CN" w:bidi="ar-SA"/>
        </w:rPr>
        <w:t>公开了2024年预算和决算相关表册，每月按时上报存量资金使用情况。按县财政局要求新增固定资产时向各部门报批，做好固定资产的管理及录入工作。三公经费控制在规定范围内。</w:t>
      </w:r>
    </w:p>
    <w:p w14:paraId="16AA3D81">
      <w:pPr>
        <w:topLinePunct/>
        <w:spacing w:line="560" w:lineRule="exact"/>
        <w:ind w:firstLine="640" w:firstLineChars="200"/>
        <w:jc w:val="left"/>
        <w:rPr>
          <w:rFonts w:ascii="黑体" w:hAnsi="黑体" w:eastAsia="黑体"/>
          <w:sz w:val="32"/>
          <w:szCs w:val="32"/>
        </w:rPr>
      </w:pPr>
      <w:r>
        <w:rPr>
          <w:rFonts w:hint="eastAsia" w:ascii="黑体" w:hAnsi="黑体" w:eastAsia="黑体"/>
          <w:sz w:val="32"/>
          <w:szCs w:val="32"/>
        </w:rPr>
        <w:t>三、评价结论</w:t>
      </w:r>
    </w:p>
    <w:p w14:paraId="1CB849CC">
      <w:pPr>
        <w:topLinePunct/>
        <w:spacing w:line="560" w:lineRule="exact"/>
        <w:ind w:firstLine="640" w:firstLineChars="200"/>
        <w:jc w:val="left"/>
        <w:rPr>
          <w:rFonts w:hint="eastAsia" w:ascii="楷体_GB2312" w:hAnsi="仿宋" w:eastAsia="楷体_GB2312"/>
          <w:sz w:val="32"/>
          <w:szCs w:val="32"/>
        </w:rPr>
      </w:pPr>
      <w:r>
        <w:rPr>
          <w:rFonts w:hint="eastAsia" w:ascii="楷体_GB2312" w:hAnsi="仿宋" w:eastAsia="楷体_GB2312"/>
          <w:sz w:val="32"/>
          <w:szCs w:val="32"/>
        </w:rPr>
        <w:t>（一）主要绩效。</w:t>
      </w:r>
    </w:p>
    <w:p w14:paraId="3443C985">
      <w:pPr>
        <w:pStyle w:val="10"/>
      </w:pPr>
      <w:r>
        <w:rPr>
          <w:rFonts w:hint="eastAsia" w:ascii="仿宋_GB2312" w:hAnsi="仿宋_GB2312" w:eastAsia="仿宋_GB2312" w:cs="仿宋_GB2312"/>
          <w:sz w:val="32"/>
          <w:szCs w:val="32"/>
        </w:rPr>
        <w:t>在20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中，我局认真按照县财政局的要求，通过年初的预算，财政局拨付的资金，及时的发放职工工资，按月缴纳医疗保险及生育工伤养老保险、公积金，合理的支出三公经费，没有超出预算，严格按照预算安排数采购固定资产，严格执行卫计系统财务管理办法，资金使用合理。</w:t>
      </w:r>
    </w:p>
    <w:p w14:paraId="25FED46F">
      <w:pPr>
        <w:topLinePunct/>
        <w:spacing w:line="560" w:lineRule="exact"/>
        <w:ind w:firstLine="640" w:firstLineChars="200"/>
        <w:jc w:val="left"/>
        <w:rPr>
          <w:rFonts w:hint="eastAsia" w:ascii="楷体_GB2312" w:hAnsi="仿宋" w:eastAsia="楷体_GB2312"/>
          <w:sz w:val="32"/>
          <w:szCs w:val="32"/>
        </w:rPr>
      </w:pPr>
      <w:r>
        <w:rPr>
          <w:rFonts w:hint="eastAsia" w:ascii="楷体_GB2312" w:hAnsi="仿宋" w:eastAsia="楷体_GB2312"/>
          <w:sz w:val="32"/>
          <w:szCs w:val="32"/>
        </w:rPr>
        <w:t>（二）评价结果。</w:t>
      </w:r>
    </w:p>
    <w:p w14:paraId="236C565D">
      <w:pPr>
        <w:pStyle w:val="1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年在</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的正确领导和各级有关部门的共同努力下，我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上下齐心，全面完成了年初绩效工作目标。</w:t>
      </w:r>
    </w:p>
    <w:p w14:paraId="0D76C61A">
      <w:pPr>
        <w:pStyle w:val="1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进一步加强预算绩效管理，强化支出责任，提高资金合理使用。</w:t>
      </w:r>
    </w:p>
    <w:p w14:paraId="1FD91755">
      <w:pPr>
        <w:topLinePunct/>
        <w:spacing w:line="560" w:lineRule="exact"/>
        <w:ind w:firstLine="640" w:firstLineChars="200"/>
        <w:jc w:val="left"/>
        <w:rPr>
          <w:rFonts w:hint="eastAsia" w:ascii="黑体" w:hAnsi="黑体" w:eastAsia="黑体"/>
          <w:sz w:val="32"/>
          <w:szCs w:val="32"/>
        </w:rPr>
      </w:pPr>
      <w:r>
        <w:rPr>
          <w:rFonts w:hint="eastAsia" w:ascii="黑体" w:hAnsi="黑体" w:eastAsia="黑体"/>
          <w:sz w:val="32"/>
          <w:szCs w:val="32"/>
        </w:rPr>
        <w:t>四、主要经验做法</w:t>
      </w:r>
    </w:p>
    <w:p w14:paraId="1ED623C5">
      <w:pPr>
        <w:pStyle w:val="1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建立严格的审批制度。明确各项支出的审批程序和支出手续，明确领导的审批权限;明确与支出有关的相关人员的签字手续等。明确重大支出项目的标准及应当集体讨论</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"http://gw.yjbys.com/jueding/"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决定</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的办法和程序。</w:t>
      </w:r>
    </w:p>
    <w:p w14:paraId="11BAD8F3">
      <w:pPr>
        <w:pStyle w:val="10"/>
      </w:pPr>
      <w:r>
        <w:rPr>
          <w:rFonts w:hint="eastAsia" w:ascii="仿宋_GB2312" w:hAnsi="仿宋_GB2312" w:eastAsia="仿宋_GB2312" w:cs="仿宋_GB2312"/>
          <w:sz w:val="32"/>
          <w:szCs w:val="32"/>
        </w:rPr>
        <w:t>建立严格的开支标准制度。对各项支出，国家有规定的应当严格执行国家规定，并明确因情况特殊超标准开支的处理程序;对国家无规定而由单位自定的，应当明确其报批的程序和标准，并报主管部门和财政部门备案。</w:t>
      </w:r>
    </w:p>
    <w:p w14:paraId="2B0FB4DF">
      <w:pPr>
        <w:topLinePunct/>
        <w:spacing w:line="560" w:lineRule="exact"/>
        <w:ind w:firstLine="640" w:firstLineChars="200"/>
        <w:jc w:val="left"/>
        <w:rPr>
          <w:rFonts w:hint="eastAsia" w:ascii="黑体" w:hAnsi="黑体" w:eastAsia="黑体"/>
          <w:sz w:val="32"/>
          <w:szCs w:val="32"/>
        </w:rPr>
      </w:pPr>
      <w:r>
        <w:rPr>
          <w:rFonts w:hint="eastAsia" w:ascii="黑体" w:hAnsi="黑体" w:eastAsia="黑体"/>
          <w:sz w:val="32"/>
          <w:szCs w:val="32"/>
        </w:rPr>
        <w:t>五、存在的问题</w:t>
      </w:r>
    </w:p>
    <w:p w14:paraId="1719789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1.费用支出缺乏有效控制</w:t>
      </w:r>
    </w:p>
    <w:p w14:paraId="772DCCC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单位对于行政经费的支出，特别是招待费、办公费、会议费、水电费等，普遍缺乏严格的控制标准;即使制定了内部经费开支标准，但仍较多采用实报实销制。</w:t>
      </w:r>
    </w:p>
    <w:p w14:paraId="5541BC4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2.固定资产控制薄弱</w:t>
      </w:r>
    </w:p>
    <w:p w14:paraId="345602C0">
      <w:pPr>
        <w:pStyle w:val="10"/>
      </w:pPr>
      <w:r>
        <w:rPr>
          <w:rFonts w:hint="eastAsia" w:ascii="仿宋_GB2312" w:hAnsi="仿宋_GB2312" w:eastAsia="仿宋_GB2312" w:cs="仿宋_GB2312"/>
          <w:sz w:val="32"/>
          <w:szCs w:val="32"/>
        </w:rPr>
        <w:t>实行政府集中采购制度以后，行政事业单位固定资产的购得到了有效控制，但使用管理仍缺乏相关的内部控制，重购轻管现象比较普遍。如未按规定建立起定期财产盘点制度，购的固定资产未能及时登记入账。</w:t>
      </w:r>
    </w:p>
    <w:p w14:paraId="69BF4B3F">
      <w:pPr>
        <w:topLinePunct/>
        <w:spacing w:line="560" w:lineRule="exact"/>
        <w:ind w:firstLine="640" w:firstLineChars="200"/>
        <w:jc w:val="left"/>
        <w:rPr>
          <w:rFonts w:hint="eastAsia" w:ascii="黑体" w:hAnsi="黑体" w:eastAsia="黑体"/>
          <w:sz w:val="32"/>
          <w:szCs w:val="32"/>
        </w:rPr>
      </w:pPr>
      <w:r>
        <w:rPr>
          <w:rFonts w:hint="eastAsia" w:ascii="黑体" w:hAnsi="黑体" w:eastAsia="黑体"/>
          <w:sz w:val="32"/>
          <w:szCs w:val="32"/>
        </w:rPr>
        <w:t>六、改进措施及建议</w:t>
      </w:r>
    </w:p>
    <w:p w14:paraId="4E48479F">
      <w:pPr>
        <w:pStyle w:val="1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加强绩效制度建设。完善绩效管理和评价制度，为资金资产的合理配置提供有效依据。强预算编制的前瞻性，建议按照新《预算法》及其实施条例的相关规定，按政策规定及本部门的发展规划，结合上一年度预算执行情况和本年度预算收支变化因素，科学、合理地编制本年预算草案。</w:t>
      </w:r>
    </w:p>
    <w:p w14:paraId="26904296">
      <w:pPr>
        <w:pStyle w:val="1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强化绩效目标管理。把绩效目标作为项目实施的前置条件，提高资金使用的合理性和科学性。严格《会计法》、《事业单位会计制度》、《事业单位财务规定》等规定执行财务核算，并结合实际情况，完成、准确地披露相关信息，尽可能地做到决算与预算相衔接。</w:t>
      </w:r>
    </w:p>
    <w:p w14:paraId="0AFE0723">
      <w:pPr>
        <w:pStyle w:val="1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三是加强绩效运行监管。加强重大项目的事前、事中、事后监督管理，将资金同项目实施质量挂钩，提升资金的使用效能。加强新事业单位会计制度和新预算法学习。</w:t>
      </w:r>
    </w:p>
    <w:p w14:paraId="709F667A">
      <w:pPr>
        <w:pStyle w:val="1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富民县卫生健康局</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年度部门整体支出绩效评价指标体系及打分表</w:t>
      </w:r>
    </w:p>
    <w:p w14:paraId="371C21AD">
      <w:pPr>
        <w:spacing w:line="560" w:lineRule="exact"/>
        <w:ind w:firstLine="640" w:firstLineChars="200"/>
        <w:jc w:val="left"/>
        <w:rPr>
          <w:sz w:val="32"/>
          <w:szCs w:val="32"/>
        </w:rPr>
      </w:pPr>
    </w:p>
    <w:p w14:paraId="71E1B27D">
      <w:pPr>
        <w:pStyle w:val="10"/>
        <w:rPr>
          <w:sz w:val="32"/>
          <w:szCs w:val="32"/>
        </w:rPr>
      </w:pPr>
    </w:p>
    <w:p w14:paraId="0795A70D">
      <w:pPr>
        <w:pStyle w:val="1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富民县卫生健康局</w:t>
      </w:r>
    </w:p>
    <w:p w14:paraId="4540EF3D">
      <w:pPr>
        <w:pStyle w:val="10"/>
        <w:jc w:val="right"/>
        <w:rPr>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2024年12月31日</w:t>
      </w:r>
    </w:p>
    <w:p w14:paraId="2F8B26B6">
      <w:pPr>
        <w:textAlignment w:val="center"/>
        <w:rPr>
          <w:rFonts w:ascii="仿宋_GB2312" w:hAnsi="等线 Light" w:eastAsia="仿宋_GB2312" w:cs="Cambria Math"/>
          <w:bCs/>
          <w:sz w:val="28"/>
          <w:szCs w:val="28"/>
        </w:rPr>
      </w:pPr>
      <w:r>
        <w:rPr>
          <w:rFonts w:hint="eastAsia" w:ascii="仿宋_GB2312" w:hAnsi="等线 Light" w:eastAsia="仿宋_GB2312" w:cs="Cambria Math"/>
          <w:bCs/>
          <w:sz w:val="28"/>
          <w:szCs w:val="28"/>
        </w:rPr>
        <w:t>附件1</w:t>
      </w:r>
    </w:p>
    <w:p w14:paraId="14149A84">
      <w:pPr>
        <w:pStyle w:val="2"/>
        <w:widowControl w:val="0"/>
        <w:overflowPunct/>
        <w:autoSpaceDE/>
        <w:autoSpaceDN/>
        <w:adjustRightInd/>
        <w:spacing w:before="120" w:after="120" w:line="415" w:lineRule="auto"/>
        <w:jc w:val="center"/>
        <w:rPr>
          <w:rFonts w:ascii="仿宋_GB2312" w:hAnsi="等线 Light" w:eastAsia="仿宋_GB2312"/>
          <w:kern w:val="2"/>
        </w:rPr>
      </w:pPr>
      <w:bookmarkStart w:id="0" w:name="_Toc72920347"/>
      <w:bookmarkStart w:id="1" w:name="_Toc72920232"/>
      <w:r>
        <w:rPr>
          <w:rFonts w:hint="eastAsia" w:ascii="仿宋_GB2312" w:hAnsi="黑体" w:eastAsia="仿宋_GB2312"/>
          <w:spacing w:val="-20"/>
          <w:lang w:eastAsia="zh-CN"/>
        </w:rPr>
        <w:t>富民县卫生健康局（汇总）</w:t>
      </w:r>
      <w:r>
        <w:rPr>
          <w:rFonts w:hint="eastAsia" w:ascii="仿宋_GB2312" w:eastAsia="仿宋_GB2312" w:cs="仿宋_GB2312"/>
        </w:rPr>
        <w:t>202</w:t>
      </w:r>
      <w:r>
        <w:rPr>
          <w:rFonts w:hint="eastAsia" w:ascii="仿宋_GB2312" w:eastAsia="仿宋_GB2312" w:cs="仿宋_GB2312"/>
          <w:lang w:val="en-US" w:eastAsia="zh-CN"/>
        </w:rPr>
        <w:t>4</w:t>
      </w:r>
      <w:r>
        <w:rPr>
          <w:rFonts w:hint="eastAsia" w:ascii="仿宋_GB2312" w:eastAsia="仿宋_GB2312" w:cs="仿宋_GB2312"/>
        </w:rPr>
        <w:t>年度</w:t>
      </w:r>
      <w:r>
        <w:rPr>
          <w:rFonts w:hint="eastAsia" w:ascii="仿宋_GB2312" w:eastAsia="仿宋_GB2312"/>
          <w:kern w:val="2"/>
        </w:rPr>
        <w:t>部门整体支出绩效评价指标体系及打分表</w:t>
      </w:r>
      <w:bookmarkEnd w:id="0"/>
      <w:bookmarkEnd w:id="1"/>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952"/>
        <w:gridCol w:w="1494"/>
        <w:gridCol w:w="680"/>
        <w:gridCol w:w="1902"/>
        <w:gridCol w:w="2180"/>
        <w:gridCol w:w="1497"/>
        <w:gridCol w:w="712"/>
        <w:gridCol w:w="712"/>
        <w:gridCol w:w="3127"/>
      </w:tblGrid>
      <w:tr w14:paraId="37C7D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blHeader/>
          <w:jc w:val="center"/>
        </w:trPr>
        <w:tc>
          <w:tcPr>
            <w:tcW w:w="324" w:type="pct"/>
            <w:shd w:val="clear" w:color="auto" w:fill="auto"/>
            <w:vAlign w:val="center"/>
          </w:tcPr>
          <w:p w14:paraId="1DC81521">
            <w:pPr>
              <w:overflowPunct/>
              <w:autoSpaceDE/>
              <w:autoSpaceDN/>
              <w:adjustRightInd/>
              <w:jc w:val="center"/>
              <w:rPr>
                <w:rFonts w:ascii="宋体" w:hAnsi="宋体" w:eastAsia="宋体" w:cs="Calibri"/>
                <w:b/>
                <w:bCs/>
                <w:sz w:val="15"/>
                <w:szCs w:val="15"/>
              </w:rPr>
            </w:pPr>
            <w:r>
              <w:rPr>
                <w:rFonts w:hint="eastAsia" w:ascii="宋体" w:hAnsi="宋体" w:eastAsia="宋体" w:cs="Calibri"/>
                <w:b/>
                <w:bCs/>
                <w:sz w:val="15"/>
                <w:szCs w:val="15"/>
              </w:rPr>
              <w:t>一级指标</w:t>
            </w:r>
          </w:p>
        </w:tc>
        <w:tc>
          <w:tcPr>
            <w:tcW w:w="336" w:type="pct"/>
            <w:shd w:val="clear" w:color="auto" w:fill="auto"/>
            <w:vAlign w:val="center"/>
          </w:tcPr>
          <w:p w14:paraId="6186548D">
            <w:pPr>
              <w:overflowPunct/>
              <w:autoSpaceDE/>
              <w:autoSpaceDN/>
              <w:adjustRightInd/>
              <w:jc w:val="center"/>
              <w:rPr>
                <w:rFonts w:ascii="宋体" w:hAnsi="宋体" w:eastAsia="宋体" w:cs="Calibri"/>
                <w:b/>
                <w:bCs/>
                <w:sz w:val="15"/>
                <w:szCs w:val="15"/>
              </w:rPr>
            </w:pPr>
            <w:r>
              <w:rPr>
                <w:rFonts w:hint="eastAsia" w:ascii="宋体" w:hAnsi="宋体" w:eastAsia="宋体" w:cs="Calibri"/>
                <w:b/>
                <w:bCs/>
                <w:sz w:val="15"/>
                <w:szCs w:val="15"/>
              </w:rPr>
              <w:t>二级指标</w:t>
            </w:r>
          </w:p>
        </w:tc>
        <w:tc>
          <w:tcPr>
            <w:tcW w:w="527" w:type="pct"/>
            <w:shd w:val="clear" w:color="auto" w:fill="auto"/>
            <w:vAlign w:val="center"/>
          </w:tcPr>
          <w:p w14:paraId="2D899F9C">
            <w:pPr>
              <w:overflowPunct/>
              <w:autoSpaceDE/>
              <w:autoSpaceDN/>
              <w:adjustRightInd/>
              <w:jc w:val="center"/>
              <w:rPr>
                <w:rFonts w:ascii="宋体" w:hAnsi="宋体" w:eastAsia="宋体" w:cs="Calibri"/>
                <w:b/>
                <w:bCs/>
                <w:sz w:val="15"/>
                <w:szCs w:val="15"/>
              </w:rPr>
            </w:pPr>
            <w:r>
              <w:rPr>
                <w:rFonts w:hint="eastAsia" w:ascii="宋体" w:hAnsi="宋体" w:eastAsia="宋体" w:cs="Calibri"/>
                <w:b/>
                <w:bCs/>
                <w:sz w:val="15"/>
                <w:szCs w:val="15"/>
              </w:rPr>
              <w:t>三级指标</w:t>
            </w:r>
          </w:p>
        </w:tc>
        <w:tc>
          <w:tcPr>
            <w:tcW w:w="240" w:type="pct"/>
            <w:shd w:val="clear" w:color="auto" w:fill="auto"/>
            <w:vAlign w:val="center"/>
          </w:tcPr>
          <w:p w14:paraId="0F9AD044">
            <w:pPr>
              <w:overflowPunct/>
              <w:autoSpaceDE/>
              <w:autoSpaceDN/>
              <w:adjustRightInd/>
              <w:jc w:val="center"/>
              <w:rPr>
                <w:rFonts w:ascii="宋体" w:hAnsi="宋体" w:eastAsia="宋体" w:cs="Calibri"/>
                <w:b/>
                <w:bCs/>
                <w:sz w:val="15"/>
                <w:szCs w:val="15"/>
              </w:rPr>
            </w:pPr>
            <w:r>
              <w:rPr>
                <w:rFonts w:hint="eastAsia" w:ascii="宋体" w:hAnsi="宋体" w:eastAsia="宋体" w:cs="Calibri"/>
                <w:b/>
                <w:bCs/>
                <w:sz w:val="15"/>
                <w:szCs w:val="15"/>
              </w:rPr>
              <w:t>分值</w:t>
            </w:r>
          </w:p>
        </w:tc>
        <w:tc>
          <w:tcPr>
            <w:tcW w:w="671" w:type="pct"/>
            <w:shd w:val="clear" w:color="auto" w:fill="auto"/>
            <w:vAlign w:val="center"/>
          </w:tcPr>
          <w:p w14:paraId="5B0FAB4D">
            <w:pPr>
              <w:overflowPunct/>
              <w:autoSpaceDE/>
              <w:autoSpaceDN/>
              <w:adjustRightInd/>
              <w:jc w:val="center"/>
              <w:rPr>
                <w:rFonts w:ascii="宋体" w:hAnsi="宋体" w:eastAsia="宋体" w:cs="Calibri"/>
                <w:b/>
                <w:bCs/>
                <w:sz w:val="15"/>
                <w:szCs w:val="15"/>
              </w:rPr>
            </w:pPr>
            <w:r>
              <w:rPr>
                <w:rFonts w:hint="eastAsia" w:ascii="宋体" w:hAnsi="宋体" w:eastAsia="宋体" w:cs="Calibri"/>
                <w:b/>
                <w:bCs/>
                <w:sz w:val="15"/>
                <w:szCs w:val="15"/>
              </w:rPr>
              <w:t>指标解释</w:t>
            </w:r>
          </w:p>
        </w:tc>
        <w:tc>
          <w:tcPr>
            <w:tcW w:w="769" w:type="pct"/>
            <w:shd w:val="clear" w:color="auto" w:fill="auto"/>
            <w:vAlign w:val="center"/>
          </w:tcPr>
          <w:p w14:paraId="00DF8FD1">
            <w:pPr>
              <w:overflowPunct/>
              <w:autoSpaceDE/>
              <w:autoSpaceDN/>
              <w:adjustRightInd/>
              <w:jc w:val="center"/>
              <w:rPr>
                <w:rFonts w:ascii="宋体" w:hAnsi="宋体" w:eastAsia="宋体" w:cs="Calibri"/>
                <w:b/>
                <w:bCs/>
                <w:sz w:val="15"/>
                <w:szCs w:val="15"/>
              </w:rPr>
            </w:pPr>
            <w:r>
              <w:rPr>
                <w:rFonts w:hint="eastAsia" w:ascii="宋体" w:hAnsi="宋体" w:eastAsia="宋体" w:cs="Calibri"/>
                <w:b/>
                <w:bCs/>
                <w:sz w:val="15"/>
                <w:szCs w:val="15"/>
              </w:rPr>
              <w:t>指标评分细则</w:t>
            </w:r>
          </w:p>
        </w:tc>
        <w:tc>
          <w:tcPr>
            <w:tcW w:w="528" w:type="pct"/>
            <w:shd w:val="clear" w:color="auto" w:fill="auto"/>
            <w:vAlign w:val="center"/>
          </w:tcPr>
          <w:p w14:paraId="251EA2DD">
            <w:pPr>
              <w:overflowPunct/>
              <w:autoSpaceDE/>
              <w:autoSpaceDN/>
              <w:adjustRightInd/>
              <w:jc w:val="center"/>
              <w:rPr>
                <w:rFonts w:ascii="宋体" w:hAnsi="宋体" w:eastAsia="宋体" w:cs="Calibri"/>
                <w:b/>
                <w:bCs/>
                <w:sz w:val="15"/>
                <w:szCs w:val="15"/>
              </w:rPr>
            </w:pPr>
            <w:r>
              <w:rPr>
                <w:rFonts w:hint="eastAsia" w:ascii="宋体" w:hAnsi="宋体" w:eastAsia="宋体" w:cs="Calibri"/>
                <w:b/>
                <w:bCs/>
                <w:sz w:val="15"/>
                <w:szCs w:val="15"/>
              </w:rPr>
              <w:t>数据来源</w:t>
            </w:r>
          </w:p>
        </w:tc>
        <w:tc>
          <w:tcPr>
            <w:tcW w:w="251" w:type="pct"/>
            <w:shd w:val="clear" w:color="auto" w:fill="auto"/>
            <w:vAlign w:val="center"/>
          </w:tcPr>
          <w:p w14:paraId="623C8B8F">
            <w:pPr>
              <w:overflowPunct/>
              <w:autoSpaceDE/>
              <w:autoSpaceDN/>
              <w:adjustRightInd/>
              <w:jc w:val="center"/>
              <w:rPr>
                <w:rFonts w:ascii="宋体" w:hAnsi="宋体" w:eastAsia="宋体" w:cs="Calibri"/>
                <w:b/>
                <w:bCs/>
                <w:sz w:val="15"/>
                <w:szCs w:val="15"/>
              </w:rPr>
            </w:pPr>
            <w:r>
              <w:rPr>
                <w:rFonts w:hint="eastAsia" w:ascii="宋体" w:hAnsi="宋体" w:eastAsia="宋体" w:cs="Calibri"/>
                <w:b/>
                <w:bCs/>
                <w:sz w:val="15"/>
                <w:szCs w:val="15"/>
              </w:rPr>
              <w:t>评价得分</w:t>
            </w:r>
          </w:p>
        </w:tc>
        <w:tc>
          <w:tcPr>
            <w:tcW w:w="251" w:type="pct"/>
            <w:shd w:val="clear" w:color="auto" w:fill="auto"/>
            <w:vAlign w:val="center"/>
          </w:tcPr>
          <w:p w14:paraId="2BFEA38F">
            <w:pPr>
              <w:overflowPunct/>
              <w:autoSpaceDE/>
              <w:autoSpaceDN/>
              <w:adjustRightInd/>
              <w:jc w:val="center"/>
              <w:rPr>
                <w:rFonts w:ascii="宋体" w:hAnsi="宋体" w:eastAsia="宋体" w:cs="Calibri"/>
                <w:b/>
                <w:bCs/>
                <w:sz w:val="15"/>
                <w:szCs w:val="15"/>
              </w:rPr>
            </w:pPr>
            <w:r>
              <w:rPr>
                <w:rFonts w:hint="eastAsia" w:ascii="宋体" w:hAnsi="宋体" w:eastAsia="宋体" w:cs="Calibri"/>
                <w:b/>
                <w:bCs/>
                <w:sz w:val="15"/>
                <w:szCs w:val="15"/>
              </w:rPr>
              <w:t>扣分情况</w:t>
            </w:r>
          </w:p>
        </w:tc>
        <w:tc>
          <w:tcPr>
            <w:tcW w:w="1103" w:type="pct"/>
            <w:shd w:val="clear" w:color="auto" w:fill="auto"/>
            <w:vAlign w:val="center"/>
          </w:tcPr>
          <w:p w14:paraId="00E1B82C">
            <w:pPr>
              <w:overflowPunct/>
              <w:autoSpaceDE/>
              <w:autoSpaceDN/>
              <w:adjustRightInd/>
              <w:jc w:val="center"/>
              <w:rPr>
                <w:rFonts w:ascii="宋体" w:hAnsi="宋体" w:eastAsia="宋体" w:cs="Calibri"/>
                <w:b/>
                <w:bCs/>
                <w:sz w:val="15"/>
                <w:szCs w:val="15"/>
              </w:rPr>
            </w:pPr>
            <w:r>
              <w:rPr>
                <w:rFonts w:hint="eastAsia" w:ascii="宋体" w:hAnsi="宋体" w:eastAsia="宋体" w:cs="Calibri"/>
                <w:b/>
                <w:bCs/>
                <w:sz w:val="15"/>
                <w:szCs w:val="15"/>
              </w:rPr>
              <w:t>扣分原因</w:t>
            </w:r>
          </w:p>
        </w:tc>
      </w:tr>
      <w:tr w14:paraId="6995C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324" w:type="pct"/>
            <w:vMerge w:val="restart"/>
            <w:shd w:val="clear" w:color="auto" w:fill="auto"/>
            <w:vAlign w:val="center"/>
          </w:tcPr>
          <w:p w14:paraId="7F405206">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一、部门决策（35分）</w:t>
            </w:r>
          </w:p>
        </w:tc>
        <w:tc>
          <w:tcPr>
            <w:tcW w:w="336" w:type="pct"/>
            <w:vMerge w:val="restart"/>
            <w:shd w:val="clear" w:color="auto" w:fill="auto"/>
            <w:vAlign w:val="center"/>
          </w:tcPr>
          <w:p w14:paraId="78F17059">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1.部门目标（20分）</w:t>
            </w:r>
          </w:p>
        </w:tc>
        <w:tc>
          <w:tcPr>
            <w:tcW w:w="527" w:type="pct"/>
            <w:shd w:val="clear" w:color="auto" w:fill="auto"/>
            <w:vAlign w:val="center"/>
          </w:tcPr>
          <w:p w14:paraId="2EC47FFC">
            <w:pPr>
              <w:overflowPunct/>
              <w:autoSpaceDE/>
              <w:autoSpaceDN/>
              <w:adjustRightInd/>
              <w:rPr>
                <w:rFonts w:ascii="宋体" w:hAnsi="宋体" w:eastAsia="宋体" w:cs="Calibri"/>
                <w:sz w:val="15"/>
                <w:szCs w:val="15"/>
              </w:rPr>
            </w:pPr>
            <w:r>
              <w:rPr>
                <w:rFonts w:hint="eastAsia" w:ascii="宋体" w:hAnsi="宋体" w:eastAsia="宋体" w:cs="Calibri"/>
                <w:sz w:val="15"/>
                <w:szCs w:val="15"/>
              </w:rPr>
              <w:t>1.年度工作目标的明确性与合理性（6分）</w:t>
            </w:r>
          </w:p>
        </w:tc>
        <w:tc>
          <w:tcPr>
            <w:tcW w:w="240" w:type="pct"/>
            <w:shd w:val="clear" w:color="auto" w:fill="auto"/>
            <w:vAlign w:val="center"/>
          </w:tcPr>
          <w:p w14:paraId="395D81D5">
            <w:pPr>
              <w:overflowPunct/>
              <w:autoSpaceDE/>
              <w:autoSpaceDN/>
              <w:adjustRightInd/>
              <w:jc w:val="center"/>
              <w:rPr>
                <w:rFonts w:ascii="宋体" w:hAnsi="宋体" w:eastAsia="宋体" w:cs="Calibri"/>
                <w:sz w:val="18"/>
                <w:szCs w:val="18"/>
              </w:rPr>
            </w:pPr>
            <w:r>
              <w:rPr>
                <w:rFonts w:hint="eastAsia" w:ascii="宋体" w:hAnsi="宋体" w:eastAsia="宋体" w:cs="Calibri"/>
                <w:sz w:val="18"/>
                <w:szCs w:val="18"/>
              </w:rPr>
              <w:t>6</w:t>
            </w:r>
          </w:p>
        </w:tc>
        <w:tc>
          <w:tcPr>
            <w:tcW w:w="671" w:type="pct"/>
            <w:shd w:val="clear" w:color="auto" w:fill="auto"/>
            <w:vAlign w:val="center"/>
          </w:tcPr>
          <w:p w14:paraId="5DC94328">
            <w:pPr>
              <w:overflowPunct/>
              <w:autoSpaceDE/>
              <w:autoSpaceDN/>
              <w:adjustRightInd/>
              <w:rPr>
                <w:rFonts w:ascii="宋体" w:hAnsi="宋体" w:eastAsia="宋体" w:cs="Calibri"/>
                <w:sz w:val="15"/>
                <w:szCs w:val="15"/>
              </w:rPr>
            </w:pPr>
            <w:r>
              <w:rPr>
                <w:rFonts w:hint="eastAsia" w:ascii="宋体" w:hAnsi="宋体" w:eastAsia="宋体" w:cs="Calibri"/>
                <w:sz w:val="15"/>
                <w:szCs w:val="15"/>
              </w:rPr>
              <w:t>部门年度工作目标的设定是否明确合理</w:t>
            </w:r>
          </w:p>
        </w:tc>
        <w:tc>
          <w:tcPr>
            <w:tcW w:w="769" w:type="pct"/>
            <w:shd w:val="clear" w:color="auto" w:fill="auto"/>
            <w:vAlign w:val="center"/>
          </w:tcPr>
          <w:p w14:paraId="5E70C403">
            <w:pPr>
              <w:overflowPunct/>
              <w:autoSpaceDE/>
              <w:autoSpaceDN/>
              <w:adjustRightInd/>
              <w:rPr>
                <w:rFonts w:ascii="宋体" w:hAnsi="宋体" w:eastAsia="宋体" w:cs="Calibri"/>
                <w:sz w:val="15"/>
                <w:szCs w:val="15"/>
              </w:rPr>
            </w:pPr>
            <w:r>
              <w:rPr>
                <w:rFonts w:hint="eastAsia" w:ascii="宋体" w:hAnsi="宋体" w:eastAsia="宋体" w:cs="Calibri"/>
                <w:sz w:val="15"/>
                <w:szCs w:val="15"/>
              </w:rPr>
              <w:t>①部门年度工作目标是否明确设定，得3分；②年度工作目标与部门中长期规划目标一致，得3分。</w:t>
            </w:r>
          </w:p>
        </w:tc>
        <w:tc>
          <w:tcPr>
            <w:tcW w:w="528" w:type="pct"/>
            <w:shd w:val="clear" w:color="auto" w:fill="auto"/>
            <w:vAlign w:val="center"/>
          </w:tcPr>
          <w:p w14:paraId="0605396B">
            <w:pPr>
              <w:overflowPunct/>
              <w:autoSpaceDE/>
              <w:autoSpaceDN/>
              <w:adjustRightInd/>
              <w:rPr>
                <w:rFonts w:ascii="宋体" w:hAnsi="宋体" w:eastAsia="宋体" w:cs="Calibri"/>
                <w:sz w:val="15"/>
                <w:szCs w:val="15"/>
              </w:rPr>
            </w:pPr>
            <w:r>
              <w:rPr>
                <w:rFonts w:hint="eastAsia" w:ascii="宋体" w:hAnsi="宋体" w:eastAsia="宋体" w:cs="Calibri"/>
                <w:sz w:val="15"/>
                <w:szCs w:val="15"/>
              </w:rPr>
              <w:t>年度工作目标与部门中长期规划文件</w:t>
            </w:r>
          </w:p>
        </w:tc>
        <w:tc>
          <w:tcPr>
            <w:tcW w:w="712" w:type="dxa"/>
            <w:shd w:val="clear" w:color="auto" w:fill="auto"/>
            <w:vAlign w:val="center"/>
          </w:tcPr>
          <w:p w14:paraId="44D0B577">
            <w:pPr>
              <w:overflowPunct/>
              <w:autoSpaceDE/>
              <w:autoSpaceDN/>
              <w:adjustRightInd/>
              <w:jc w:val="center"/>
              <w:rPr>
                <w:rFonts w:ascii="宋体" w:hAnsi="宋体" w:eastAsia="宋体" w:cs="Calibri"/>
                <w:sz w:val="15"/>
                <w:szCs w:val="15"/>
              </w:rPr>
            </w:pPr>
            <w:r>
              <w:rPr>
                <w:rFonts w:hint="eastAsia" w:ascii="宋体" w:hAnsi="宋体" w:eastAsia="宋体" w:cs="Calibri"/>
                <w:sz w:val="15"/>
                <w:szCs w:val="15"/>
                <w:lang w:val="en-US" w:eastAsia="zh-CN"/>
              </w:rPr>
              <w:t>6</w:t>
            </w:r>
          </w:p>
        </w:tc>
        <w:tc>
          <w:tcPr>
            <w:tcW w:w="712" w:type="dxa"/>
            <w:shd w:val="clear" w:color="auto" w:fill="auto"/>
            <w:vAlign w:val="center"/>
          </w:tcPr>
          <w:p w14:paraId="78AE56E8">
            <w:pPr>
              <w:overflowPunct/>
              <w:autoSpaceDE/>
              <w:autoSpaceDN/>
              <w:adjustRightInd/>
              <w:jc w:val="center"/>
              <w:rPr>
                <w:rFonts w:ascii="宋体" w:hAnsi="宋体" w:eastAsia="宋体" w:cs="Calibri"/>
                <w:sz w:val="15"/>
                <w:szCs w:val="15"/>
              </w:rPr>
            </w:pPr>
          </w:p>
        </w:tc>
        <w:tc>
          <w:tcPr>
            <w:tcW w:w="3127" w:type="dxa"/>
            <w:shd w:val="clear" w:color="auto" w:fill="auto"/>
            <w:vAlign w:val="center"/>
          </w:tcPr>
          <w:p w14:paraId="76296C5B">
            <w:pPr>
              <w:overflowPunct/>
              <w:autoSpaceDE/>
              <w:autoSpaceDN/>
              <w:adjustRightInd/>
              <w:jc w:val="left"/>
              <w:rPr>
                <w:rFonts w:ascii="宋体" w:hAnsi="宋体" w:eastAsia="宋体" w:cs="Calibri"/>
                <w:sz w:val="15"/>
                <w:szCs w:val="15"/>
              </w:rPr>
            </w:pPr>
          </w:p>
        </w:tc>
      </w:tr>
      <w:tr w14:paraId="15AB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324" w:type="pct"/>
            <w:vMerge w:val="continue"/>
            <w:vAlign w:val="center"/>
          </w:tcPr>
          <w:p w14:paraId="3965042B">
            <w:pPr>
              <w:overflowPunct/>
              <w:autoSpaceDE/>
              <w:autoSpaceDN/>
              <w:adjustRightInd/>
              <w:jc w:val="left"/>
              <w:rPr>
                <w:rFonts w:ascii="宋体" w:hAnsi="宋体" w:eastAsia="宋体" w:cs="Calibri"/>
                <w:sz w:val="15"/>
                <w:szCs w:val="15"/>
              </w:rPr>
            </w:pPr>
          </w:p>
        </w:tc>
        <w:tc>
          <w:tcPr>
            <w:tcW w:w="336" w:type="pct"/>
            <w:vMerge w:val="continue"/>
            <w:vAlign w:val="center"/>
          </w:tcPr>
          <w:p w14:paraId="11B20735">
            <w:pPr>
              <w:overflowPunct/>
              <w:autoSpaceDE/>
              <w:autoSpaceDN/>
              <w:adjustRightInd/>
              <w:jc w:val="left"/>
              <w:rPr>
                <w:rFonts w:ascii="宋体" w:hAnsi="宋体" w:eastAsia="宋体" w:cs="Calibri"/>
                <w:sz w:val="15"/>
                <w:szCs w:val="15"/>
              </w:rPr>
            </w:pPr>
          </w:p>
        </w:tc>
        <w:tc>
          <w:tcPr>
            <w:tcW w:w="527" w:type="pct"/>
            <w:shd w:val="clear" w:color="auto" w:fill="auto"/>
            <w:vAlign w:val="center"/>
          </w:tcPr>
          <w:p w14:paraId="5E3805CC">
            <w:pPr>
              <w:overflowPunct/>
              <w:autoSpaceDE/>
              <w:autoSpaceDN/>
              <w:adjustRightInd/>
              <w:rPr>
                <w:rFonts w:ascii="宋体" w:hAnsi="宋体" w:eastAsia="宋体" w:cs="Calibri"/>
                <w:sz w:val="15"/>
                <w:szCs w:val="15"/>
              </w:rPr>
            </w:pPr>
            <w:r>
              <w:rPr>
                <w:rFonts w:hint="eastAsia" w:ascii="宋体" w:hAnsi="宋体" w:eastAsia="宋体" w:cs="Calibri"/>
                <w:sz w:val="15"/>
                <w:szCs w:val="15"/>
              </w:rPr>
              <w:t>2.绩效目标合理性（6分）</w:t>
            </w:r>
          </w:p>
        </w:tc>
        <w:tc>
          <w:tcPr>
            <w:tcW w:w="240" w:type="pct"/>
            <w:shd w:val="clear" w:color="auto" w:fill="auto"/>
            <w:vAlign w:val="center"/>
          </w:tcPr>
          <w:p w14:paraId="4D313CAC">
            <w:pPr>
              <w:overflowPunct/>
              <w:autoSpaceDE/>
              <w:autoSpaceDN/>
              <w:adjustRightInd/>
              <w:jc w:val="center"/>
              <w:rPr>
                <w:rFonts w:ascii="宋体" w:hAnsi="宋体" w:eastAsia="宋体" w:cs="Calibri"/>
                <w:sz w:val="18"/>
                <w:szCs w:val="18"/>
              </w:rPr>
            </w:pPr>
            <w:r>
              <w:rPr>
                <w:rFonts w:hint="eastAsia" w:ascii="宋体" w:hAnsi="宋体" w:eastAsia="宋体" w:cs="Calibri"/>
                <w:sz w:val="18"/>
                <w:szCs w:val="18"/>
              </w:rPr>
              <w:t>6</w:t>
            </w:r>
          </w:p>
        </w:tc>
        <w:tc>
          <w:tcPr>
            <w:tcW w:w="671" w:type="pct"/>
            <w:shd w:val="clear" w:color="auto" w:fill="auto"/>
            <w:vAlign w:val="center"/>
          </w:tcPr>
          <w:p w14:paraId="3E803ABB">
            <w:pPr>
              <w:overflowPunct/>
              <w:autoSpaceDE/>
              <w:autoSpaceDN/>
              <w:adjustRightInd/>
              <w:rPr>
                <w:rFonts w:ascii="宋体" w:hAnsi="宋体" w:eastAsia="宋体" w:cs="Calibri"/>
                <w:sz w:val="15"/>
                <w:szCs w:val="15"/>
              </w:rPr>
            </w:pPr>
            <w:r>
              <w:rPr>
                <w:rFonts w:hint="eastAsia" w:ascii="宋体" w:hAnsi="宋体" w:eastAsia="宋体" w:cs="Calibri"/>
                <w:sz w:val="15"/>
                <w:szCs w:val="15"/>
              </w:rPr>
              <w:t>用以反映和考核部门整体绩效目标与部门职能、年度工作目标的一致性。</w:t>
            </w:r>
          </w:p>
        </w:tc>
        <w:tc>
          <w:tcPr>
            <w:tcW w:w="769" w:type="pct"/>
            <w:shd w:val="clear" w:color="auto" w:fill="auto"/>
            <w:vAlign w:val="center"/>
          </w:tcPr>
          <w:p w14:paraId="679D0466">
            <w:pPr>
              <w:overflowPunct/>
              <w:autoSpaceDE/>
              <w:autoSpaceDN/>
              <w:adjustRightInd/>
              <w:rPr>
                <w:rFonts w:ascii="宋体" w:hAnsi="宋体" w:eastAsia="宋体" w:cs="Calibri"/>
                <w:sz w:val="15"/>
                <w:szCs w:val="15"/>
              </w:rPr>
            </w:pPr>
            <w:r>
              <w:rPr>
                <w:rFonts w:hint="eastAsia" w:ascii="宋体" w:hAnsi="宋体" w:eastAsia="宋体" w:cs="Calibri"/>
                <w:sz w:val="15"/>
                <w:szCs w:val="15"/>
              </w:rPr>
              <w:t>①符合部门制定的中长期实施规划计2分；②符合部门“三定”方案确定的职责计2分；③与部门年度工作目标、任务相一致计2分。</w:t>
            </w:r>
          </w:p>
        </w:tc>
        <w:tc>
          <w:tcPr>
            <w:tcW w:w="528" w:type="pct"/>
            <w:shd w:val="clear" w:color="auto" w:fill="auto"/>
            <w:vAlign w:val="center"/>
          </w:tcPr>
          <w:p w14:paraId="42C40944">
            <w:pPr>
              <w:overflowPunct/>
              <w:autoSpaceDE/>
              <w:autoSpaceDN/>
              <w:adjustRightInd/>
              <w:rPr>
                <w:rFonts w:ascii="宋体" w:hAnsi="宋体" w:eastAsia="宋体" w:cs="Calibri"/>
                <w:sz w:val="15"/>
                <w:szCs w:val="15"/>
              </w:rPr>
            </w:pPr>
            <w:r>
              <w:rPr>
                <w:rFonts w:hint="eastAsia" w:ascii="宋体" w:hAnsi="宋体" w:eastAsia="宋体" w:cs="Calibri"/>
                <w:sz w:val="15"/>
                <w:szCs w:val="15"/>
              </w:rPr>
              <w:t>部门中长期规划、部门“三定”方案、年度重点工作任务与工作计划</w:t>
            </w:r>
          </w:p>
        </w:tc>
        <w:tc>
          <w:tcPr>
            <w:tcW w:w="712" w:type="dxa"/>
            <w:shd w:val="clear" w:color="auto" w:fill="auto"/>
            <w:vAlign w:val="center"/>
          </w:tcPr>
          <w:p w14:paraId="0E02D635">
            <w:pPr>
              <w:overflowPunct/>
              <w:autoSpaceDE/>
              <w:autoSpaceDN/>
              <w:adjustRightInd/>
              <w:jc w:val="center"/>
              <w:rPr>
                <w:rFonts w:ascii="宋体" w:hAnsi="宋体" w:eastAsia="宋体" w:cs="Calibri"/>
                <w:sz w:val="15"/>
                <w:szCs w:val="15"/>
              </w:rPr>
            </w:pPr>
            <w:r>
              <w:rPr>
                <w:rFonts w:hint="eastAsia" w:ascii="宋体" w:hAnsi="宋体" w:eastAsia="宋体" w:cs="Calibri"/>
                <w:sz w:val="15"/>
                <w:szCs w:val="15"/>
                <w:lang w:val="en-US" w:eastAsia="zh-CN"/>
              </w:rPr>
              <w:t>6</w:t>
            </w:r>
          </w:p>
        </w:tc>
        <w:tc>
          <w:tcPr>
            <w:tcW w:w="712" w:type="dxa"/>
            <w:shd w:val="clear" w:color="auto" w:fill="auto"/>
            <w:vAlign w:val="center"/>
          </w:tcPr>
          <w:p w14:paraId="3E0A1E94">
            <w:pPr>
              <w:overflowPunct/>
              <w:autoSpaceDE/>
              <w:autoSpaceDN/>
              <w:adjustRightInd/>
              <w:jc w:val="center"/>
              <w:rPr>
                <w:rFonts w:ascii="宋体" w:hAnsi="宋体" w:eastAsia="宋体" w:cs="Calibri"/>
                <w:sz w:val="15"/>
                <w:szCs w:val="15"/>
              </w:rPr>
            </w:pPr>
          </w:p>
        </w:tc>
        <w:tc>
          <w:tcPr>
            <w:tcW w:w="3127" w:type="dxa"/>
            <w:shd w:val="clear" w:color="auto" w:fill="auto"/>
            <w:vAlign w:val="center"/>
          </w:tcPr>
          <w:p w14:paraId="6D1D30C3">
            <w:pPr>
              <w:overflowPunct/>
              <w:autoSpaceDE/>
              <w:autoSpaceDN/>
              <w:adjustRightInd/>
              <w:jc w:val="left"/>
              <w:rPr>
                <w:rFonts w:ascii="宋体" w:hAnsi="宋体" w:eastAsia="宋体" w:cs="Calibri"/>
                <w:sz w:val="15"/>
                <w:szCs w:val="15"/>
              </w:rPr>
            </w:pPr>
          </w:p>
        </w:tc>
      </w:tr>
      <w:tr w14:paraId="05E0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324" w:type="pct"/>
            <w:vMerge w:val="continue"/>
            <w:vAlign w:val="center"/>
          </w:tcPr>
          <w:p w14:paraId="55C97510">
            <w:pPr>
              <w:overflowPunct/>
              <w:autoSpaceDE/>
              <w:autoSpaceDN/>
              <w:adjustRightInd/>
              <w:jc w:val="left"/>
              <w:rPr>
                <w:rFonts w:ascii="宋体" w:hAnsi="宋体" w:eastAsia="宋体" w:cs="Calibri"/>
                <w:sz w:val="15"/>
                <w:szCs w:val="15"/>
              </w:rPr>
            </w:pPr>
          </w:p>
        </w:tc>
        <w:tc>
          <w:tcPr>
            <w:tcW w:w="336" w:type="pct"/>
            <w:vMerge w:val="continue"/>
            <w:vAlign w:val="center"/>
          </w:tcPr>
          <w:p w14:paraId="2C8F7667">
            <w:pPr>
              <w:overflowPunct/>
              <w:autoSpaceDE/>
              <w:autoSpaceDN/>
              <w:adjustRightInd/>
              <w:jc w:val="left"/>
              <w:rPr>
                <w:rFonts w:ascii="宋体" w:hAnsi="宋体" w:eastAsia="宋体" w:cs="Calibri"/>
                <w:sz w:val="15"/>
                <w:szCs w:val="15"/>
              </w:rPr>
            </w:pPr>
          </w:p>
        </w:tc>
        <w:tc>
          <w:tcPr>
            <w:tcW w:w="527" w:type="pct"/>
            <w:shd w:val="clear" w:color="auto" w:fill="auto"/>
            <w:vAlign w:val="center"/>
          </w:tcPr>
          <w:p w14:paraId="46FE1B7E">
            <w:pPr>
              <w:overflowPunct/>
              <w:autoSpaceDE/>
              <w:autoSpaceDN/>
              <w:adjustRightInd/>
              <w:rPr>
                <w:rFonts w:ascii="宋体" w:hAnsi="宋体" w:eastAsia="宋体" w:cs="Calibri"/>
                <w:sz w:val="15"/>
                <w:szCs w:val="15"/>
              </w:rPr>
            </w:pPr>
            <w:r>
              <w:rPr>
                <w:rFonts w:hint="eastAsia" w:ascii="宋体" w:hAnsi="宋体" w:eastAsia="宋体" w:cs="Calibri"/>
                <w:sz w:val="15"/>
                <w:szCs w:val="15"/>
              </w:rPr>
              <w:t>3.绩效指标明确性（8分）</w:t>
            </w:r>
          </w:p>
        </w:tc>
        <w:tc>
          <w:tcPr>
            <w:tcW w:w="240" w:type="pct"/>
            <w:shd w:val="clear" w:color="auto" w:fill="auto"/>
            <w:vAlign w:val="center"/>
          </w:tcPr>
          <w:p w14:paraId="373B613B">
            <w:pPr>
              <w:overflowPunct/>
              <w:autoSpaceDE/>
              <w:autoSpaceDN/>
              <w:adjustRightInd/>
              <w:jc w:val="center"/>
              <w:rPr>
                <w:rFonts w:ascii="宋体" w:hAnsi="宋体" w:eastAsia="宋体" w:cs="Calibri"/>
                <w:sz w:val="18"/>
                <w:szCs w:val="18"/>
              </w:rPr>
            </w:pPr>
            <w:r>
              <w:rPr>
                <w:rFonts w:hint="eastAsia" w:ascii="宋体" w:hAnsi="宋体" w:eastAsia="宋体" w:cs="Calibri"/>
                <w:sz w:val="18"/>
                <w:szCs w:val="18"/>
              </w:rPr>
              <w:t>8</w:t>
            </w:r>
          </w:p>
        </w:tc>
        <w:tc>
          <w:tcPr>
            <w:tcW w:w="671" w:type="pct"/>
            <w:shd w:val="clear" w:color="auto" w:fill="auto"/>
            <w:vAlign w:val="center"/>
          </w:tcPr>
          <w:p w14:paraId="00860DD7">
            <w:pPr>
              <w:overflowPunct/>
              <w:autoSpaceDE/>
              <w:autoSpaceDN/>
              <w:adjustRightInd/>
              <w:rPr>
                <w:rFonts w:ascii="宋体" w:hAnsi="宋体" w:eastAsia="宋体" w:cs="Calibri"/>
                <w:sz w:val="15"/>
                <w:szCs w:val="15"/>
              </w:rPr>
            </w:pPr>
            <w:r>
              <w:rPr>
                <w:rFonts w:hint="eastAsia" w:ascii="宋体" w:hAnsi="宋体" w:eastAsia="宋体" w:cs="Calibri"/>
                <w:sz w:val="15"/>
                <w:szCs w:val="15"/>
              </w:rPr>
              <w:t>整体绩效目标所设定的绩效指标是否依据部门工作目标和工作任务进行细化、量化，绩效指标是否可衡量。</w:t>
            </w:r>
          </w:p>
        </w:tc>
        <w:tc>
          <w:tcPr>
            <w:tcW w:w="769" w:type="pct"/>
            <w:shd w:val="clear" w:color="auto" w:fill="auto"/>
            <w:vAlign w:val="center"/>
          </w:tcPr>
          <w:p w14:paraId="0E8A189B">
            <w:pPr>
              <w:overflowPunct/>
              <w:autoSpaceDE/>
              <w:autoSpaceDN/>
              <w:adjustRightInd/>
              <w:rPr>
                <w:rFonts w:ascii="宋体" w:hAnsi="宋体" w:eastAsia="宋体" w:cs="Calibri"/>
                <w:sz w:val="15"/>
                <w:szCs w:val="15"/>
              </w:rPr>
            </w:pPr>
            <w:r>
              <w:rPr>
                <w:rFonts w:hint="eastAsia" w:ascii="宋体" w:hAnsi="宋体" w:eastAsia="宋体" w:cs="Calibri"/>
                <w:sz w:val="15"/>
                <w:szCs w:val="15"/>
              </w:rPr>
              <w:t>①将部门整体的绩效目标细化分解为具体的工作任务计2分；②通过清晰、可衡量的指标值予以体现计2分。③与部门年度的任务数或计划数相对应计2分；④与本年度部门预算资金相匹配计2分。</w:t>
            </w:r>
          </w:p>
        </w:tc>
        <w:tc>
          <w:tcPr>
            <w:tcW w:w="528" w:type="pct"/>
            <w:shd w:val="clear" w:color="auto" w:fill="auto"/>
            <w:vAlign w:val="center"/>
          </w:tcPr>
          <w:p w14:paraId="019124E8">
            <w:pPr>
              <w:overflowPunct/>
              <w:autoSpaceDE/>
              <w:autoSpaceDN/>
              <w:adjustRightInd/>
              <w:rPr>
                <w:rFonts w:ascii="宋体" w:hAnsi="宋体" w:eastAsia="宋体" w:cs="Calibri"/>
                <w:sz w:val="15"/>
                <w:szCs w:val="15"/>
              </w:rPr>
            </w:pPr>
            <w:r>
              <w:rPr>
                <w:rFonts w:hint="eastAsia" w:ascii="宋体" w:hAnsi="宋体" w:eastAsia="宋体" w:cs="Calibri"/>
                <w:sz w:val="15"/>
                <w:szCs w:val="15"/>
              </w:rPr>
              <w:t>部门年度重点工作任务与工作计划。</w:t>
            </w:r>
          </w:p>
        </w:tc>
        <w:tc>
          <w:tcPr>
            <w:tcW w:w="712" w:type="dxa"/>
            <w:shd w:val="clear" w:color="auto" w:fill="auto"/>
            <w:vAlign w:val="center"/>
          </w:tcPr>
          <w:p w14:paraId="7A37693B">
            <w:pPr>
              <w:overflowPunct/>
              <w:autoSpaceDE/>
              <w:autoSpaceDN/>
              <w:adjustRightInd/>
              <w:jc w:val="center"/>
              <w:rPr>
                <w:rFonts w:ascii="宋体" w:hAnsi="宋体" w:eastAsia="宋体" w:cs="Calibri"/>
                <w:sz w:val="15"/>
                <w:szCs w:val="15"/>
              </w:rPr>
            </w:pPr>
            <w:r>
              <w:rPr>
                <w:rFonts w:hint="eastAsia" w:ascii="宋体" w:hAnsi="宋体" w:eastAsia="宋体" w:cs="Calibri"/>
                <w:sz w:val="15"/>
                <w:szCs w:val="15"/>
                <w:lang w:val="en-US" w:eastAsia="zh-CN"/>
              </w:rPr>
              <w:t>8</w:t>
            </w:r>
          </w:p>
        </w:tc>
        <w:tc>
          <w:tcPr>
            <w:tcW w:w="712" w:type="dxa"/>
            <w:shd w:val="clear" w:color="auto" w:fill="auto"/>
            <w:vAlign w:val="center"/>
          </w:tcPr>
          <w:p w14:paraId="34FB54D4">
            <w:pPr>
              <w:overflowPunct/>
              <w:autoSpaceDE/>
              <w:autoSpaceDN/>
              <w:adjustRightInd/>
              <w:jc w:val="center"/>
              <w:rPr>
                <w:rFonts w:ascii="宋体" w:hAnsi="宋体" w:eastAsia="宋体" w:cs="Calibri"/>
                <w:sz w:val="15"/>
                <w:szCs w:val="15"/>
              </w:rPr>
            </w:pPr>
          </w:p>
        </w:tc>
        <w:tc>
          <w:tcPr>
            <w:tcW w:w="3127" w:type="dxa"/>
            <w:shd w:val="clear" w:color="auto" w:fill="auto"/>
            <w:vAlign w:val="center"/>
          </w:tcPr>
          <w:p w14:paraId="11E17F1C">
            <w:pPr>
              <w:overflowPunct/>
              <w:autoSpaceDE/>
              <w:autoSpaceDN/>
              <w:adjustRightInd/>
              <w:jc w:val="left"/>
              <w:rPr>
                <w:rFonts w:ascii="宋体" w:hAnsi="宋体" w:eastAsia="宋体" w:cs="Calibri"/>
                <w:sz w:val="15"/>
                <w:szCs w:val="15"/>
              </w:rPr>
            </w:pPr>
          </w:p>
        </w:tc>
      </w:tr>
      <w:tr w14:paraId="18AFF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324" w:type="pct"/>
            <w:vMerge w:val="continue"/>
            <w:vAlign w:val="center"/>
          </w:tcPr>
          <w:p w14:paraId="6953A95C">
            <w:pPr>
              <w:overflowPunct/>
              <w:autoSpaceDE/>
              <w:autoSpaceDN/>
              <w:adjustRightInd/>
              <w:jc w:val="left"/>
              <w:rPr>
                <w:rFonts w:ascii="宋体" w:hAnsi="宋体" w:eastAsia="宋体" w:cs="Calibri"/>
                <w:sz w:val="15"/>
                <w:szCs w:val="15"/>
              </w:rPr>
            </w:pPr>
          </w:p>
        </w:tc>
        <w:tc>
          <w:tcPr>
            <w:tcW w:w="336" w:type="pct"/>
            <w:vMerge w:val="restart"/>
            <w:shd w:val="clear" w:color="auto" w:fill="auto"/>
            <w:vAlign w:val="center"/>
          </w:tcPr>
          <w:p w14:paraId="1BE5B337">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2.部门职能（15分）</w:t>
            </w:r>
          </w:p>
        </w:tc>
        <w:tc>
          <w:tcPr>
            <w:tcW w:w="527" w:type="pct"/>
            <w:shd w:val="clear" w:color="auto" w:fill="auto"/>
            <w:vAlign w:val="center"/>
          </w:tcPr>
          <w:p w14:paraId="2BF8352C">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1.部门职能的明确性与科学性（5分）</w:t>
            </w:r>
          </w:p>
        </w:tc>
        <w:tc>
          <w:tcPr>
            <w:tcW w:w="240" w:type="pct"/>
            <w:shd w:val="clear" w:color="auto" w:fill="auto"/>
            <w:vAlign w:val="center"/>
          </w:tcPr>
          <w:p w14:paraId="730FCCF5">
            <w:pPr>
              <w:overflowPunct/>
              <w:autoSpaceDE/>
              <w:autoSpaceDN/>
              <w:adjustRightInd/>
              <w:jc w:val="center"/>
              <w:rPr>
                <w:rFonts w:ascii="宋体" w:hAnsi="宋体" w:eastAsia="宋体" w:cs="Calibri"/>
                <w:sz w:val="18"/>
                <w:szCs w:val="18"/>
              </w:rPr>
            </w:pPr>
            <w:r>
              <w:rPr>
                <w:rFonts w:hint="eastAsia" w:ascii="宋体" w:hAnsi="宋体" w:eastAsia="宋体" w:cs="Calibri"/>
                <w:sz w:val="18"/>
                <w:szCs w:val="18"/>
              </w:rPr>
              <w:t>5</w:t>
            </w:r>
          </w:p>
        </w:tc>
        <w:tc>
          <w:tcPr>
            <w:tcW w:w="671" w:type="pct"/>
            <w:shd w:val="clear" w:color="auto" w:fill="auto"/>
            <w:vAlign w:val="center"/>
          </w:tcPr>
          <w:p w14:paraId="7E5050BD">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考察部门职能界定是否明确、科学，是否有相关文件。</w:t>
            </w:r>
          </w:p>
        </w:tc>
        <w:tc>
          <w:tcPr>
            <w:tcW w:w="769" w:type="pct"/>
            <w:shd w:val="clear" w:color="auto" w:fill="auto"/>
            <w:vAlign w:val="center"/>
          </w:tcPr>
          <w:p w14:paraId="296759D6">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①职能明确、设定依据充分，得5分；②有“三定”文件，但职能描述不明确，扣2分;③没有职能设定的文件依据且职能不清，扣3分</w:t>
            </w:r>
          </w:p>
        </w:tc>
        <w:tc>
          <w:tcPr>
            <w:tcW w:w="528" w:type="pct"/>
            <w:shd w:val="clear" w:color="auto" w:fill="auto"/>
            <w:vAlign w:val="center"/>
          </w:tcPr>
          <w:p w14:paraId="05258C7A">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部门职能描述、“三定”文件</w:t>
            </w:r>
          </w:p>
        </w:tc>
        <w:tc>
          <w:tcPr>
            <w:tcW w:w="712" w:type="dxa"/>
            <w:shd w:val="clear" w:color="auto" w:fill="auto"/>
            <w:vAlign w:val="center"/>
          </w:tcPr>
          <w:p w14:paraId="452CF330">
            <w:pPr>
              <w:overflowPunct/>
              <w:autoSpaceDE/>
              <w:autoSpaceDN/>
              <w:adjustRightInd/>
              <w:jc w:val="center"/>
              <w:rPr>
                <w:rFonts w:ascii="宋体" w:hAnsi="宋体" w:eastAsia="宋体" w:cs="Calibri"/>
                <w:sz w:val="15"/>
                <w:szCs w:val="15"/>
              </w:rPr>
            </w:pPr>
            <w:r>
              <w:rPr>
                <w:rFonts w:hint="eastAsia" w:ascii="宋体" w:hAnsi="宋体" w:eastAsia="宋体" w:cs="Calibri"/>
                <w:sz w:val="15"/>
                <w:szCs w:val="15"/>
                <w:lang w:val="en-US" w:eastAsia="zh-CN"/>
              </w:rPr>
              <w:t>5</w:t>
            </w:r>
          </w:p>
        </w:tc>
        <w:tc>
          <w:tcPr>
            <w:tcW w:w="712" w:type="dxa"/>
            <w:shd w:val="clear" w:color="auto" w:fill="auto"/>
            <w:vAlign w:val="center"/>
          </w:tcPr>
          <w:p w14:paraId="4BC7C3E8">
            <w:pPr>
              <w:overflowPunct/>
              <w:autoSpaceDE/>
              <w:autoSpaceDN/>
              <w:adjustRightInd/>
              <w:jc w:val="center"/>
              <w:rPr>
                <w:rFonts w:ascii="宋体" w:hAnsi="宋体" w:eastAsia="宋体" w:cs="Calibri"/>
                <w:sz w:val="15"/>
                <w:szCs w:val="15"/>
              </w:rPr>
            </w:pPr>
          </w:p>
        </w:tc>
        <w:tc>
          <w:tcPr>
            <w:tcW w:w="3127" w:type="dxa"/>
            <w:shd w:val="clear" w:color="auto" w:fill="auto"/>
            <w:vAlign w:val="center"/>
          </w:tcPr>
          <w:p w14:paraId="78C717E7">
            <w:pPr>
              <w:overflowPunct/>
              <w:autoSpaceDE/>
              <w:autoSpaceDN/>
              <w:adjustRightInd/>
              <w:jc w:val="left"/>
              <w:rPr>
                <w:rFonts w:ascii="宋体" w:hAnsi="宋体" w:eastAsia="宋体" w:cs="Calibri"/>
                <w:sz w:val="15"/>
                <w:szCs w:val="15"/>
              </w:rPr>
            </w:pPr>
          </w:p>
        </w:tc>
      </w:tr>
      <w:tr w14:paraId="33A55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4" w:type="pct"/>
            <w:vMerge w:val="continue"/>
            <w:vAlign w:val="center"/>
          </w:tcPr>
          <w:p w14:paraId="475457F8">
            <w:pPr>
              <w:overflowPunct/>
              <w:autoSpaceDE/>
              <w:autoSpaceDN/>
              <w:adjustRightInd/>
              <w:jc w:val="left"/>
              <w:rPr>
                <w:rFonts w:ascii="宋体" w:hAnsi="宋体" w:eastAsia="宋体" w:cs="Calibri"/>
                <w:sz w:val="15"/>
                <w:szCs w:val="15"/>
              </w:rPr>
            </w:pPr>
          </w:p>
        </w:tc>
        <w:tc>
          <w:tcPr>
            <w:tcW w:w="336" w:type="pct"/>
            <w:vMerge w:val="continue"/>
            <w:vAlign w:val="center"/>
          </w:tcPr>
          <w:p w14:paraId="3C2590AF">
            <w:pPr>
              <w:overflowPunct/>
              <w:autoSpaceDE/>
              <w:autoSpaceDN/>
              <w:adjustRightInd/>
              <w:jc w:val="left"/>
              <w:rPr>
                <w:rFonts w:ascii="宋体" w:hAnsi="宋体" w:eastAsia="宋体" w:cs="Calibri"/>
                <w:sz w:val="15"/>
                <w:szCs w:val="15"/>
              </w:rPr>
            </w:pPr>
          </w:p>
        </w:tc>
        <w:tc>
          <w:tcPr>
            <w:tcW w:w="527" w:type="pct"/>
            <w:shd w:val="clear" w:color="auto" w:fill="auto"/>
            <w:vAlign w:val="center"/>
          </w:tcPr>
          <w:p w14:paraId="46E0B883">
            <w:pPr>
              <w:overflowPunct/>
              <w:autoSpaceDE/>
              <w:autoSpaceDN/>
              <w:adjustRightInd/>
              <w:rPr>
                <w:rFonts w:ascii="宋体" w:hAnsi="宋体" w:eastAsia="宋体" w:cs="Calibri"/>
                <w:sz w:val="15"/>
                <w:szCs w:val="15"/>
              </w:rPr>
            </w:pPr>
            <w:r>
              <w:rPr>
                <w:rFonts w:hint="eastAsia" w:ascii="宋体" w:hAnsi="宋体" w:eastAsia="宋体" w:cs="Calibri"/>
                <w:sz w:val="15"/>
                <w:szCs w:val="15"/>
              </w:rPr>
              <w:t>2.年度具体工作与部门职能的匹配性（5分）</w:t>
            </w:r>
          </w:p>
        </w:tc>
        <w:tc>
          <w:tcPr>
            <w:tcW w:w="240" w:type="pct"/>
            <w:shd w:val="clear" w:color="auto" w:fill="auto"/>
            <w:vAlign w:val="center"/>
          </w:tcPr>
          <w:p w14:paraId="1F878FA8">
            <w:pPr>
              <w:overflowPunct/>
              <w:autoSpaceDE/>
              <w:autoSpaceDN/>
              <w:adjustRightInd/>
              <w:jc w:val="center"/>
              <w:rPr>
                <w:rFonts w:ascii="宋体" w:hAnsi="宋体" w:eastAsia="宋体" w:cs="Calibri"/>
                <w:sz w:val="18"/>
                <w:szCs w:val="18"/>
              </w:rPr>
            </w:pPr>
            <w:r>
              <w:rPr>
                <w:rFonts w:hint="eastAsia" w:ascii="宋体" w:hAnsi="宋体" w:eastAsia="宋体" w:cs="Calibri"/>
                <w:sz w:val="18"/>
                <w:szCs w:val="18"/>
              </w:rPr>
              <w:t>5</w:t>
            </w:r>
          </w:p>
        </w:tc>
        <w:tc>
          <w:tcPr>
            <w:tcW w:w="671" w:type="pct"/>
            <w:shd w:val="clear" w:color="auto" w:fill="auto"/>
            <w:vAlign w:val="center"/>
          </w:tcPr>
          <w:p w14:paraId="606963AD">
            <w:pPr>
              <w:overflowPunct/>
              <w:autoSpaceDE/>
              <w:autoSpaceDN/>
              <w:adjustRightInd/>
              <w:rPr>
                <w:rFonts w:ascii="宋体" w:hAnsi="宋体" w:eastAsia="宋体" w:cs="Calibri"/>
                <w:sz w:val="15"/>
                <w:szCs w:val="15"/>
              </w:rPr>
            </w:pPr>
            <w:r>
              <w:rPr>
                <w:rFonts w:hint="eastAsia" w:ascii="宋体" w:hAnsi="宋体" w:eastAsia="宋体" w:cs="Calibri"/>
                <w:sz w:val="15"/>
                <w:szCs w:val="15"/>
              </w:rPr>
              <w:t>部门年度各类具体工作是否与部门职能相匹配。</w:t>
            </w:r>
          </w:p>
        </w:tc>
        <w:tc>
          <w:tcPr>
            <w:tcW w:w="769" w:type="pct"/>
            <w:shd w:val="clear" w:color="auto" w:fill="auto"/>
            <w:vAlign w:val="center"/>
          </w:tcPr>
          <w:p w14:paraId="0800F649">
            <w:pPr>
              <w:overflowPunct/>
              <w:autoSpaceDE/>
              <w:autoSpaceDN/>
              <w:adjustRightInd/>
              <w:rPr>
                <w:rFonts w:ascii="宋体" w:hAnsi="宋体" w:eastAsia="宋体" w:cs="Calibri"/>
                <w:sz w:val="15"/>
                <w:szCs w:val="15"/>
              </w:rPr>
            </w:pPr>
            <w:r>
              <w:rPr>
                <w:rFonts w:hint="eastAsia" w:ascii="宋体" w:hAnsi="宋体" w:eastAsia="宋体" w:cs="Calibri"/>
                <w:sz w:val="15"/>
                <w:szCs w:val="15"/>
              </w:rPr>
              <w:t>将部门年度具体工作与部门职能对应匹配，视匹配情况酌情得0-5分。</w:t>
            </w:r>
          </w:p>
        </w:tc>
        <w:tc>
          <w:tcPr>
            <w:tcW w:w="528" w:type="pct"/>
            <w:shd w:val="clear" w:color="auto" w:fill="auto"/>
            <w:vAlign w:val="center"/>
          </w:tcPr>
          <w:p w14:paraId="08A83B54">
            <w:pPr>
              <w:overflowPunct/>
              <w:autoSpaceDE/>
              <w:autoSpaceDN/>
              <w:adjustRightInd/>
              <w:rPr>
                <w:rFonts w:ascii="宋体" w:hAnsi="宋体" w:eastAsia="宋体" w:cs="Calibri"/>
                <w:sz w:val="15"/>
                <w:szCs w:val="15"/>
              </w:rPr>
            </w:pPr>
            <w:r>
              <w:rPr>
                <w:rFonts w:hint="eastAsia" w:ascii="宋体" w:hAnsi="宋体" w:eastAsia="宋体" w:cs="Calibri"/>
                <w:sz w:val="15"/>
                <w:szCs w:val="15"/>
              </w:rPr>
              <w:t>部门年度各项具体工作，部门职能</w:t>
            </w:r>
          </w:p>
        </w:tc>
        <w:tc>
          <w:tcPr>
            <w:tcW w:w="712" w:type="dxa"/>
            <w:shd w:val="clear" w:color="auto" w:fill="auto"/>
            <w:vAlign w:val="center"/>
          </w:tcPr>
          <w:p w14:paraId="7E56D5E4">
            <w:pPr>
              <w:overflowPunct/>
              <w:autoSpaceDE/>
              <w:autoSpaceDN/>
              <w:adjustRightInd/>
              <w:jc w:val="center"/>
              <w:rPr>
                <w:rFonts w:ascii="宋体" w:hAnsi="宋体" w:eastAsia="宋体" w:cs="Calibri"/>
                <w:sz w:val="15"/>
                <w:szCs w:val="15"/>
              </w:rPr>
            </w:pPr>
            <w:r>
              <w:rPr>
                <w:rFonts w:hint="eastAsia" w:ascii="宋体" w:hAnsi="宋体" w:eastAsia="宋体" w:cs="Calibri"/>
                <w:sz w:val="15"/>
                <w:szCs w:val="15"/>
                <w:lang w:val="en-US" w:eastAsia="zh-CN"/>
              </w:rPr>
              <w:t>5</w:t>
            </w:r>
          </w:p>
        </w:tc>
        <w:tc>
          <w:tcPr>
            <w:tcW w:w="712" w:type="dxa"/>
            <w:shd w:val="clear" w:color="auto" w:fill="auto"/>
            <w:vAlign w:val="center"/>
          </w:tcPr>
          <w:p w14:paraId="557904ED">
            <w:pPr>
              <w:overflowPunct/>
              <w:autoSpaceDE/>
              <w:autoSpaceDN/>
              <w:adjustRightInd/>
              <w:jc w:val="center"/>
              <w:rPr>
                <w:rFonts w:ascii="宋体" w:hAnsi="宋体" w:eastAsia="宋体" w:cs="Calibri"/>
                <w:sz w:val="15"/>
                <w:szCs w:val="15"/>
              </w:rPr>
            </w:pPr>
          </w:p>
        </w:tc>
        <w:tc>
          <w:tcPr>
            <w:tcW w:w="3127" w:type="dxa"/>
            <w:shd w:val="clear" w:color="auto" w:fill="auto"/>
            <w:vAlign w:val="center"/>
          </w:tcPr>
          <w:p w14:paraId="19D9ADC0">
            <w:pPr>
              <w:overflowPunct/>
              <w:autoSpaceDE/>
              <w:autoSpaceDN/>
              <w:adjustRightInd/>
              <w:jc w:val="left"/>
              <w:rPr>
                <w:rFonts w:ascii="宋体" w:hAnsi="宋体" w:eastAsia="宋体" w:cs="Calibri"/>
                <w:sz w:val="15"/>
                <w:szCs w:val="15"/>
              </w:rPr>
            </w:pPr>
          </w:p>
        </w:tc>
      </w:tr>
      <w:tr w14:paraId="306D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24" w:type="pct"/>
            <w:vMerge w:val="continue"/>
            <w:vAlign w:val="center"/>
          </w:tcPr>
          <w:p w14:paraId="3D2C5FB1">
            <w:pPr>
              <w:overflowPunct/>
              <w:autoSpaceDE/>
              <w:autoSpaceDN/>
              <w:adjustRightInd/>
              <w:jc w:val="left"/>
              <w:rPr>
                <w:rFonts w:ascii="宋体" w:hAnsi="宋体" w:eastAsia="宋体" w:cs="Calibri"/>
                <w:sz w:val="15"/>
                <w:szCs w:val="15"/>
              </w:rPr>
            </w:pPr>
          </w:p>
        </w:tc>
        <w:tc>
          <w:tcPr>
            <w:tcW w:w="336" w:type="pct"/>
            <w:vMerge w:val="continue"/>
            <w:vAlign w:val="center"/>
          </w:tcPr>
          <w:p w14:paraId="40817691">
            <w:pPr>
              <w:overflowPunct/>
              <w:autoSpaceDE/>
              <w:autoSpaceDN/>
              <w:adjustRightInd/>
              <w:jc w:val="left"/>
              <w:rPr>
                <w:rFonts w:ascii="宋体" w:hAnsi="宋体" w:eastAsia="宋体" w:cs="Calibri"/>
                <w:sz w:val="15"/>
                <w:szCs w:val="15"/>
              </w:rPr>
            </w:pPr>
          </w:p>
        </w:tc>
        <w:tc>
          <w:tcPr>
            <w:tcW w:w="527" w:type="pct"/>
            <w:shd w:val="clear" w:color="auto" w:fill="auto"/>
            <w:vAlign w:val="center"/>
          </w:tcPr>
          <w:p w14:paraId="4E1E547F">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3.部门内设科室及下属单位职责的明确性（5分）</w:t>
            </w:r>
          </w:p>
        </w:tc>
        <w:tc>
          <w:tcPr>
            <w:tcW w:w="240" w:type="pct"/>
            <w:shd w:val="clear" w:color="auto" w:fill="auto"/>
            <w:vAlign w:val="center"/>
          </w:tcPr>
          <w:p w14:paraId="4D782533">
            <w:pPr>
              <w:overflowPunct/>
              <w:autoSpaceDE/>
              <w:autoSpaceDN/>
              <w:adjustRightInd/>
              <w:jc w:val="center"/>
              <w:rPr>
                <w:rFonts w:ascii="宋体" w:hAnsi="宋体" w:eastAsia="宋体" w:cs="Calibri"/>
                <w:sz w:val="18"/>
                <w:szCs w:val="18"/>
              </w:rPr>
            </w:pPr>
            <w:r>
              <w:rPr>
                <w:rFonts w:hint="eastAsia" w:ascii="宋体" w:hAnsi="宋体" w:eastAsia="宋体" w:cs="Calibri"/>
                <w:sz w:val="18"/>
                <w:szCs w:val="18"/>
              </w:rPr>
              <w:t>5</w:t>
            </w:r>
          </w:p>
        </w:tc>
        <w:tc>
          <w:tcPr>
            <w:tcW w:w="671" w:type="pct"/>
            <w:shd w:val="clear" w:color="auto" w:fill="auto"/>
            <w:vAlign w:val="center"/>
          </w:tcPr>
          <w:p w14:paraId="78302EFB">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部门内设科室及下属单位具体职责是否明确</w:t>
            </w:r>
          </w:p>
        </w:tc>
        <w:tc>
          <w:tcPr>
            <w:tcW w:w="769" w:type="pct"/>
            <w:shd w:val="clear" w:color="auto" w:fill="auto"/>
            <w:vAlign w:val="center"/>
          </w:tcPr>
          <w:p w14:paraId="52BEBD26">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①有职责文件制度规定部门各科室及下属单位具体职责，得3分；②具体职责明确，得2分</w:t>
            </w:r>
          </w:p>
        </w:tc>
        <w:tc>
          <w:tcPr>
            <w:tcW w:w="528" w:type="pct"/>
            <w:shd w:val="clear" w:color="auto" w:fill="auto"/>
            <w:vAlign w:val="center"/>
          </w:tcPr>
          <w:p w14:paraId="582AB10E">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内设科室及下属单位职责文件</w:t>
            </w:r>
          </w:p>
        </w:tc>
        <w:tc>
          <w:tcPr>
            <w:tcW w:w="712" w:type="dxa"/>
            <w:shd w:val="clear" w:color="auto" w:fill="auto"/>
            <w:vAlign w:val="center"/>
          </w:tcPr>
          <w:p w14:paraId="7C6812A0">
            <w:pPr>
              <w:overflowPunct/>
              <w:autoSpaceDE/>
              <w:autoSpaceDN/>
              <w:adjustRightInd/>
              <w:jc w:val="center"/>
              <w:rPr>
                <w:rFonts w:ascii="宋体" w:hAnsi="宋体" w:eastAsia="宋体" w:cs="Calibri"/>
                <w:sz w:val="15"/>
                <w:szCs w:val="15"/>
              </w:rPr>
            </w:pPr>
            <w:r>
              <w:rPr>
                <w:rFonts w:hint="eastAsia" w:ascii="宋体" w:hAnsi="宋体" w:eastAsia="宋体" w:cs="Calibri"/>
                <w:sz w:val="15"/>
                <w:szCs w:val="15"/>
                <w:lang w:val="en-US" w:eastAsia="zh-CN"/>
              </w:rPr>
              <w:t>5</w:t>
            </w:r>
          </w:p>
        </w:tc>
        <w:tc>
          <w:tcPr>
            <w:tcW w:w="712" w:type="dxa"/>
            <w:shd w:val="clear" w:color="auto" w:fill="auto"/>
            <w:vAlign w:val="center"/>
          </w:tcPr>
          <w:p w14:paraId="3F5D5DEE">
            <w:pPr>
              <w:overflowPunct/>
              <w:autoSpaceDE/>
              <w:autoSpaceDN/>
              <w:adjustRightInd/>
              <w:jc w:val="center"/>
              <w:rPr>
                <w:rFonts w:ascii="宋体" w:hAnsi="宋体" w:eastAsia="宋体" w:cs="Calibri"/>
                <w:sz w:val="15"/>
                <w:szCs w:val="15"/>
              </w:rPr>
            </w:pPr>
          </w:p>
        </w:tc>
        <w:tc>
          <w:tcPr>
            <w:tcW w:w="3127" w:type="dxa"/>
            <w:shd w:val="clear" w:color="auto" w:fill="auto"/>
            <w:vAlign w:val="center"/>
          </w:tcPr>
          <w:p w14:paraId="3EEEB6BC">
            <w:pPr>
              <w:overflowPunct/>
              <w:autoSpaceDE/>
              <w:autoSpaceDN/>
              <w:adjustRightInd/>
              <w:jc w:val="left"/>
              <w:rPr>
                <w:rFonts w:ascii="宋体" w:hAnsi="宋体" w:eastAsia="宋体" w:cs="Calibri"/>
                <w:sz w:val="15"/>
                <w:szCs w:val="15"/>
              </w:rPr>
            </w:pPr>
          </w:p>
        </w:tc>
      </w:tr>
      <w:tr w14:paraId="7206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324" w:type="pct"/>
            <w:vMerge w:val="restart"/>
            <w:shd w:val="clear" w:color="auto" w:fill="auto"/>
            <w:vAlign w:val="center"/>
          </w:tcPr>
          <w:p w14:paraId="78623624">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二、部门管理（20分）</w:t>
            </w:r>
          </w:p>
        </w:tc>
        <w:tc>
          <w:tcPr>
            <w:tcW w:w="336" w:type="pct"/>
            <w:vMerge w:val="restart"/>
            <w:shd w:val="clear" w:color="auto" w:fill="auto"/>
            <w:vAlign w:val="center"/>
          </w:tcPr>
          <w:p w14:paraId="56A4CF7D">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1.预算管理（5分）</w:t>
            </w:r>
          </w:p>
        </w:tc>
        <w:tc>
          <w:tcPr>
            <w:tcW w:w="527" w:type="pct"/>
            <w:shd w:val="clear" w:color="auto" w:fill="auto"/>
            <w:vAlign w:val="center"/>
          </w:tcPr>
          <w:p w14:paraId="79E47AF5">
            <w:pPr>
              <w:overflowPunct/>
              <w:autoSpaceDE/>
              <w:autoSpaceDN/>
              <w:adjustRightInd/>
              <w:jc w:val="center"/>
              <w:rPr>
                <w:rFonts w:ascii="宋体" w:hAnsi="宋体" w:eastAsia="宋体" w:cs="Calibri"/>
                <w:sz w:val="15"/>
                <w:szCs w:val="15"/>
              </w:rPr>
            </w:pPr>
            <w:r>
              <w:rPr>
                <w:rFonts w:hint="eastAsia" w:ascii="宋体" w:hAnsi="宋体" w:eastAsia="宋体" w:cs="Calibri"/>
                <w:sz w:val="15"/>
                <w:szCs w:val="15"/>
              </w:rPr>
              <w:t>1.基本支出预算执行率（2分）</w:t>
            </w:r>
          </w:p>
        </w:tc>
        <w:tc>
          <w:tcPr>
            <w:tcW w:w="240" w:type="pct"/>
            <w:shd w:val="clear" w:color="auto" w:fill="auto"/>
            <w:vAlign w:val="center"/>
          </w:tcPr>
          <w:p w14:paraId="71493D3A">
            <w:pPr>
              <w:overflowPunct/>
              <w:autoSpaceDE/>
              <w:autoSpaceDN/>
              <w:adjustRightInd/>
              <w:jc w:val="center"/>
              <w:rPr>
                <w:rFonts w:ascii="宋体" w:hAnsi="宋体" w:eastAsia="宋体" w:cs="Calibri"/>
                <w:sz w:val="18"/>
                <w:szCs w:val="18"/>
              </w:rPr>
            </w:pPr>
            <w:r>
              <w:rPr>
                <w:rFonts w:hint="eastAsia" w:ascii="宋体" w:hAnsi="宋体" w:eastAsia="宋体" w:cs="Calibri"/>
                <w:sz w:val="18"/>
                <w:szCs w:val="18"/>
              </w:rPr>
              <w:t>2</w:t>
            </w:r>
          </w:p>
        </w:tc>
        <w:tc>
          <w:tcPr>
            <w:tcW w:w="671" w:type="pct"/>
            <w:shd w:val="clear" w:color="auto" w:fill="auto"/>
            <w:vAlign w:val="center"/>
          </w:tcPr>
          <w:p w14:paraId="433070D0">
            <w:pPr>
              <w:overflowPunct/>
              <w:autoSpaceDE/>
              <w:autoSpaceDN/>
              <w:adjustRightInd/>
              <w:rPr>
                <w:rFonts w:ascii="宋体" w:hAnsi="宋体" w:eastAsia="宋体" w:cs="Calibri"/>
                <w:sz w:val="15"/>
                <w:szCs w:val="15"/>
              </w:rPr>
            </w:pPr>
            <w:r>
              <w:rPr>
                <w:rFonts w:hint="eastAsia" w:ascii="宋体" w:hAnsi="宋体" w:eastAsia="宋体" w:cs="Calibri"/>
                <w:sz w:val="15"/>
                <w:szCs w:val="15"/>
              </w:rPr>
              <w:t>部门基本支出本年度决算数与预算数的比率，用以反映和考核部门（单位）基本支出预算执行程度。</w:t>
            </w:r>
          </w:p>
        </w:tc>
        <w:tc>
          <w:tcPr>
            <w:tcW w:w="769" w:type="pct"/>
            <w:shd w:val="clear" w:color="auto" w:fill="auto"/>
            <w:vAlign w:val="center"/>
          </w:tcPr>
          <w:p w14:paraId="2A322B61">
            <w:pPr>
              <w:overflowPunct/>
              <w:autoSpaceDE/>
              <w:autoSpaceDN/>
              <w:adjustRightInd/>
              <w:rPr>
                <w:rFonts w:ascii="宋体" w:hAnsi="宋体" w:eastAsia="宋体" w:cs="Calibri"/>
                <w:sz w:val="15"/>
                <w:szCs w:val="15"/>
              </w:rPr>
            </w:pPr>
            <w:r>
              <w:rPr>
                <w:rFonts w:hint="eastAsia" w:ascii="宋体" w:hAnsi="宋体" w:eastAsia="宋体" w:cs="Calibri"/>
                <w:sz w:val="15"/>
                <w:szCs w:val="15"/>
              </w:rPr>
              <w:t>预算执行率=部门基本支出决算/部门基本支出预算×100%。预算执行率≥95%得满分，未达到的按权重进行扣分。</w:t>
            </w:r>
          </w:p>
        </w:tc>
        <w:tc>
          <w:tcPr>
            <w:tcW w:w="528" w:type="pct"/>
            <w:shd w:val="clear" w:color="auto" w:fill="auto"/>
            <w:vAlign w:val="center"/>
          </w:tcPr>
          <w:p w14:paraId="6AC90EDC">
            <w:pPr>
              <w:overflowPunct/>
              <w:autoSpaceDE/>
              <w:autoSpaceDN/>
              <w:adjustRightInd/>
              <w:rPr>
                <w:rFonts w:ascii="宋体" w:hAnsi="宋体" w:eastAsia="宋体" w:cs="Calibri"/>
                <w:sz w:val="15"/>
                <w:szCs w:val="15"/>
              </w:rPr>
            </w:pPr>
            <w:r>
              <w:rPr>
                <w:rFonts w:hint="eastAsia" w:ascii="宋体" w:hAnsi="宋体" w:eastAsia="宋体" w:cs="Calibri"/>
                <w:sz w:val="15"/>
                <w:szCs w:val="15"/>
              </w:rPr>
              <w:t>基本支出预算批复，预算调整批复、预算编制等其他资料</w:t>
            </w:r>
          </w:p>
        </w:tc>
        <w:tc>
          <w:tcPr>
            <w:tcW w:w="712" w:type="dxa"/>
            <w:shd w:val="clear" w:color="auto" w:fill="auto"/>
            <w:vAlign w:val="center"/>
          </w:tcPr>
          <w:p w14:paraId="39FC375D">
            <w:pPr>
              <w:overflowPunct/>
              <w:autoSpaceDE/>
              <w:autoSpaceDN/>
              <w:adjustRightInd/>
              <w:jc w:val="center"/>
              <w:rPr>
                <w:rFonts w:ascii="宋体" w:hAnsi="宋体" w:eastAsia="宋体" w:cs="Calibri"/>
                <w:sz w:val="15"/>
                <w:szCs w:val="15"/>
              </w:rPr>
            </w:pPr>
            <w:r>
              <w:rPr>
                <w:rFonts w:hint="eastAsia" w:ascii="宋体" w:hAnsi="宋体" w:eastAsia="宋体" w:cs="Calibri"/>
                <w:sz w:val="15"/>
                <w:szCs w:val="15"/>
                <w:lang w:val="en-US" w:eastAsia="zh-CN"/>
              </w:rPr>
              <w:t>2</w:t>
            </w:r>
          </w:p>
        </w:tc>
        <w:tc>
          <w:tcPr>
            <w:tcW w:w="712" w:type="dxa"/>
            <w:shd w:val="clear" w:color="auto" w:fill="auto"/>
            <w:vAlign w:val="center"/>
          </w:tcPr>
          <w:p w14:paraId="58BBB95A">
            <w:pPr>
              <w:overflowPunct/>
              <w:autoSpaceDE/>
              <w:autoSpaceDN/>
              <w:adjustRightInd/>
              <w:jc w:val="center"/>
              <w:rPr>
                <w:rFonts w:ascii="宋体" w:hAnsi="宋体" w:eastAsia="宋体" w:cs="Calibri"/>
                <w:sz w:val="15"/>
                <w:szCs w:val="15"/>
              </w:rPr>
            </w:pPr>
          </w:p>
        </w:tc>
        <w:tc>
          <w:tcPr>
            <w:tcW w:w="3127" w:type="dxa"/>
            <w:shd w:val="clear" w:color="auto" w:fill="auto"/>
            <w:vAlign w:val="center"/>
          </w:tcPr>
          <w:p w14:paraId="3299E495">
            <w:pPr>
              <w:overflowPunct/>
              <w:autoSpaceDE/>
              <w:autoSpaceDN/>
              <w:adjustRightInd/>
              <w:jc w:val="left"/>
              <w:rPr>
                <w:rFonts w:ascii="宋体" w:hAnsi="宋体" w:eastAsia="宋体" w:cs="Calibri"/>
                <w:sz w:val="15"/>
                <w:szCs w:val="15"/>
              </w:rPr>
            </w:pPr>
          </w:p>
        </w:tc>
      </w:tr>
      <w:tr w14:paraId="4030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24" w:type="pct"/>
            <w:vMerge w:val="continue"/>
            <w:vAlign w:val="center"/>
          </w:tcPr>
          <w:p w14:paraId="148A53A6">
            <w:pPr>
              <w:overflowPunct/>
              <w:autoSpaceDE/>
              <w:autoSpaceDN/>
              <w:adjustRightInd/>
              <w:jc w:val="left"/>
              <w:rPr>
                <w:rFonts w:ascii="宋体" w:hAnsi="宋体" w:eastAsia="宋体" w:cs="Calibri"/>
                <w:sz w:val="15"/>
                <w:szCs w:val="15"/>
              </w:rPr>
            </w:pPr>
          </w:p>
        </w:tc>
        <w:tc>
          <w:tcPr>
            <w:tcW w:w="336" w:type="pct"/>
            <w:vMerge w:val="continue"/>
            <w:vAlign w:val="center"/>
          </w:tcPr>
          <w:p w14:paraId="40A16314">
            <w:pPr>
              <w:overflowPunct/>
              <w:autoSpaceDE/>
              <w:autoSpaceDN/>
              <w:adjustRightInd/>
              <w:jc w:val="left"/>
              <w:rPr>
                <w:rFonts w:ascii="宋体" w:hAnsi="宋体" w:eastAsia="宋体" w:cs="Calibri"/>
                <w:sz w:val="15"/>
                <w:szCs w:val="15"/>
              </w:rPr>
            </w:pPr>
          </w:p>
        </w:tc>
        <w:tc>
          <w:tcPr>
            <w:tcW w:w="527" w:type="pct"/>
            <w:shd w:val="clear" w:color="auto" w:fill="auto"/>
            <w:vAlign w:val="center"/>
          </w:tcPr>
          <w:p w14:paraId="2D69DCFE">
            <w:pPr>
              <w:overflowPunct/>
              <w:autoSpaceDE/>
              <w:autoSpaceDN/>
              <w:adjustRightInd/>
              <w:jc w:val="center"/>
              <w:rPr>
                <w:rFonts w:ascii="宋体" w:hAnsi="宋体" w:eastAsia="宋体" w:cs="Calibri"/>
                <w:sz w:val="15"/>
                <w:szCs w:val="15"/>
              </w:rPr>
            </w:pPr>
            <w:r>
              <w:rPr>
                <w:rFonts w:hint="eastAsia" w:ascii="宋体" w:hAnsi="宋体" w:eastAsia="宋体" w:cs="Calibri"/>
                <w:sz w:val="15"/>
                <w:szCs w:val="15"/>
              </w:rPr>
              <w:t>2.项目支出预算执行率（1分）分）</w:t>
            </w:r>
          </w:p>
        </w:tc>
        <w:tc>
          <w:tcPr>
            <w:tcW w:w="240" w:type="pct"/>
            <w:shd w:val="clear" w:color="auto" w:fill="auto"/>
            <w:vAlign w:val="center"/>
          </w:tcPr>
          <w:p w14:paraId="0FDB063A">
            <w:pPr>
              <w:overflowPunct/>
              <w:autoSpaceDE/>
              <w:autoSpaceDN/>
              <w:adjustRightInd/>
              <w:jc w:val="center"/>
              <w:rPr>
                <w:rFonts w:ascii="宋体" w:hAnsi="宋体" w:eastAsia="宋体" w:cs="Calibri"/>
                <w:sz w:val="18"/>
                <w:szCs w:val="18"/>
              </w:rPr>
            </w:pPr>
            <w:r>
              <w:rPr>
                <w:rFonts w:hint="eastAsia" w:ascii="宋体" w:hAnsi="宋体" w:eastAsia="宋体" w:cs="Calibri"/>
                <w:sz w:val="18"/>
                <w:szCs w:val="18"/>
              </w:rPr>
              <w:t>1</w:t>
            </w:r>
          </w:p>
        </w:tc>
        <w:tc>
          <w:tcPr>
            <w:tcW w:w="671" w:type="pct"/>
            <w:shd w:val="clear" w:color="auto" w:fill="auto"/>
            <w:vAlign w:val="center"/>
          </w:tcPr>
          <w:p w14:paraId="1B97189F">
            <w:pPr>
              <w:overflowPunct/>
              <w:autoSpaceDE/>
              <w:autoSpaceDN/>
              <w:adjustRightInd/>
              <w:rPr>
                <w:rFonts w:ascii="宋体" w:hAnsi="宋体" w:eastAsia="宋体" w:cs="Calibri"/>
                <w:sz w:val="15"/>
                <w:szCs w:val="15"/>
              </w:rPr>
            </w:pPr>
            <w:r>
              <w:rPr>
                <w:rFonts w:hint="eastAsia" w:ascii="宋体" w:hAnsi="宋体" w:eastAsia="宋体" w:cs="Calibri"/>
                <w:sz w:val="15"/>
                <w:szCs w:val="15"/>
              </w:rPr>
              <w:t>部门项目支出本年度决算数与预算数的比率，用以反映和考核部门项目支出预算执行程度。</w:t>
            </w:r>
          </w:p>
        </w:tc>
        <w:tc>
          <w:tcPr>
            <w:tcW w:w="769" w:type="pct"/>
            <w:shd w:val="clear" w:color="auto" w:fill="auto"/>
            <w:vAlign w:val="center"/>
          </w:tcPr>
          <w:p w14:paraId="5900C9AF">
            <w:pPr>
              <w:overflowPunct/>
              <w:autoSpaceDE/>
              <w:autoSpaceDN/>
              <w:adjustRightInd/>
              <w:rPr>
                <w:rFonts w:ascii="宋体" w:hAnsi="宋体" w:eastAsia="宋体" w:cs="Calibri"/>
                <w:sz w:val="15"/>
                <w:szCs w:val="15"/>
              </w:rPr>
            </w:pPr>
            <w:r>
              <w:rPr>
                <w:rFonts w:hint="eastAsia" w:ascii="宋体" w:hAnsi="宋体" w:eastAsia="宋体" w:cs="Calibri"/>
                <w:sz w:val="15"/>
                <w:szCs w:val="15"/>
              </w:rPr>
              <w:t>预算执行率=部门项目支出决算/部门项目支出预算×100%。预算完成率≥95%得满分，未到按权重进行扣分。</w:t>
            </w:r>
          </w:p>
        </w:tc>
        <w:tc>
          <w:tcPr>
            <w:tcW w:w="528" w:type="pct"/>
            <w:shd w:val="clear" w:color="auto" w:fill="auto"/>
            <w:vAlign w:val="center"/>
          </w:tcPr>
          <w:p w14:paraId="6F5DDD30">
            <w:pPr>
              <w:overflowPunct/>
              <w:autoSpaceDE/>
              <w:autoSpaceDN/>
              <w:adjustRightInd/>
              <w:rPr>
                <w:rFonts w:ascii="宋体" w:hAnsi="宋体" w:eastAsia="宋体" w:cs="Calibri"/>
                <w:sz w:val="15"/>
                <w:szCs w:val="15"/>
              </w:rPr>
            </w:pPr>
            <w:r>
              <w:rPr>
                <w:rFonts w:hint="eastAsia" w:ascii="宋体" w:hAnsi="宋体" w:eastAsia="宋体" w:cs="Calibri"/>
                <w:sz w:val="15"/>
                <w:szCs w:val="15"/>
              </w:rPr>
              <w:t>项目支出预算批复，预算调整批复、预算编制等其他资料</w:t>
            </w:r>
          </w:p>
        </w:tc>
        <w:tc>
          <w:tcPr>
            <w:tcW w:w="712" w:type="dxa"/>
            <w:shd w:val="clear" w:color="auto" w:fill="auto"/>
            <w:vAlign w:val="center"/>
          </w:tcPr>
          <w:p w14:paraId="65AC630D">
            <w:pPr>
              <w:overflowPunct/>
              <w:autoSpaceDE/>
              <w:autoSpaceDN/>
              <w:adjustRightInd/>
              <w:jc w:val="center"/>
              <w:rPr>
                <w:rFonts w:ascii="宋体" w:hAnsi="宋体" w:eastAsia="宋体" w:cs="Calibri"/>
                <w:sz w:val="15"/>
                <w:szCs w:val="15"/>
              </w:rPr>
            </w:pPr>
            <w:r>
              <w:rPr>
                <w:rFonts w:hint="eastAsia" w:ascii="宋体" w:hAnsi="宋体" w:eastAsia="宋体" w:cs="Calibri"/>
                <w:sz w:val="15"/>
                <w:szCs w:val="15"/>
                <w:lang w:val="en-US" w:eastAsia="zh-CN"/>
              </w:rPr>
              <w:t>1</w:t>
            </w:r>
          </w:p>
        </w:tc>
        <w:tc>
          <w:tcPr>
            <w:tcW w:w="712" w:type="dxa"/>
            <w:shd w:val="clear" w:color="auto" w:fill="auto"/>
            <w:vAlign w:val="center"/>
          </w:tcPr>
          <w:p w14:paraId="0E062B86">
            <w:pPr>
              <w:overflowPunct/>
              <w:autoSpaceDE/>
              <w:autoSpaceDN/>
              <w:adjustRightInd/>
              <w:jc w:val="center"/>
              <w:rPr>
                <w:rFonts w:ascii="宋体" w:hAnsi="宋体" w:eastAsia="宋体" w:cs="Calibri"/>
                <w:sz w:val="15"/>
                <w:szCs w:val="15"/>
              </w:rPr>
            </w:pPr>
          </w:p>
        </w:tc>
        <w:tc>
          <w:tcPr>
            <w:tcW w:w="3127" w:type="dxa"/>
            <w:shd w:val="clear" w:color="auto" w:fill="auto"/>
            <w:vAlign w:val="center"/>
          </w:tcPr>
          <w:p w14:paraId="367AFE10">
            <w:pPr>
              <w:overflowPunct/>
              <w:autoSpaceDE/>
              <w:autoSpaceDN/>
              <w:adjustRightInd/>
              <w:jc w:val="left"/>
              <w:rPr>
                <w:rFonts w:ascii="宋体" w:hAnsi="宋体" w:eastAsia="宋体" w:cs="Calibri"/>
                <w:sz w:val="15"/>
                <w:szCs w:val="15"/>
              </w:rPr>
            </w:pPr>
          </w:p>
        </w:tc>
      </w:tr>
      <w:tr w14:paraId="621AD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324" w:type="pct"/>
            <w:vMerge w:val="continue"/>
            <w:vAlign w:val="center"/>
          </w:tcPr>
          <w:p w14:paraId="2D4D154E">
            <w:pPr>
              <w:overflowPunct/>
              <w:autoSpaceDE/>
              <w:autoSpaceDN/>
              <w:adjustRightInd/>
              <w:jc w:val="left"/>
              <w:rPr>
                <w:rFonts w:ascii="宋体" w:hAnsi="宋体" w:eastAsia="宋体" w:cs="Calibri"/>
                <w:sz w:val="15"/>
                <w:szCs w:val="15"/>
              </w:rPr>
            </w:pPr>
          </w:p>
        </w:tc>
        <w:tc>
          <w:tcPr>
            <w:tcW w:w="336" w:type="pct"/>
            <w:vMerge w:val="continue"/>
            <w:vAlign w:val="center"/>
          </w:tcPr>
          <w:p w14:paraId="6D49544A">
            <w:pPr>
              <w:overflowPunct/>
              <w:autoSpaceDE/>
              <w:autoSpaceDN/>
              <w:adjustRightInd/>
              <w:jc w:val="left"/>
              <w:rPr>
                <w:rFonts w:ascii="宋体" w:hAnsi="宋体" w:eastAsia="宋体" w:cs="Calibri"/>
                <w:sz w:val="15"/>
                <w:szCs w:val="15"/>
              </w:rPr>
            </w:pPr>
          </w:p>
        </w:tc>
        <w:tc>
          <w:tcPr>
            <w:tcW w:w="527" w:type="pct"/>
            <w:shd w:val="clear" w:color="auto" w:fill="auto"/>
            <w:vAlign w:val="center"/>
          </w:tcPr>
          <w:p w14:paraId="43F9FEE1">
            <w:pPr>
              <w:overflowPunct/>
              <w:autoSpaceDE/>
              <w:autoSpaceDN/>
              <w:adjustRightInd/>
              <w:jc w:val="center"/>
              <w:rPr>
                <w:rFonts w:ascii="宋体" w:hAnsi="宋体" w:eastAsia="宋体" w:cs="Calibri"/>
                <w:sz w:val="15"/>
                <w:szCs w:val="15"/>
              </w:rPr>
            </w:pPr>
            <w:r>
              <w:rPr>
                <w:rFonts w:hint="eastAsia" w:ascii="宋体" w:hAnsi="宋体" w:eastAsia="宋体" w:cs="Calibri"/>
                <w:sz w:val="15"/>
                <w:szCs w:val="15"/>
              </w:rPr>
              <w:t>3.“三公经费”控制率（1分）</w:t>
            </w:r>
          </w:p>
        </w:tc>
        <w:tc>
          <w:tcPr>
            <w:tcW w:w="240" w:type="pct"/>
            <w:shd w:val="clear" w:color="auto" w:fill="auto"/>
            <w:vAlign w:val="center"/>
          </w:tcPr>
          <w:p w14:paraId="3535D315">
            <w:pPr>
              <w:overflowPunct/>
              <w:autoSpaceDE/>
              <w:autoSpaceDN/>
              <w:adjustRightInd/>
              <w:jc w:val="center"/>
              <w:rPr>
                <w:rFonts w:ascii="宋体" w:hAnsi="宋体" w:eastAsia="宋体" w:cs="Calibri"/>
                <w:sz w:val="18"/>
                <w:szCs w:val="18"/>
              </w:rPr>
            </w:pPr>
            <w:r>
              <w:rPr>
                <w:rFonts w:hint="eastAsia" w:ascii="宋体" w:hAnsi="宋体" w:eastAsia="宋体" w:cs="Calibri"/>
                <w:sz w:val="18"/>
                <w:szCs w:val="18"/>
              </w:rPr>
              <w:t>1</w:t>
            </w:r>
          </w:p>
        </w:tc>
        <w:tc>
          <w:tcPr>
            <w:tcW w:w="671" w:type="pct"/>
            <w:shd w:val="clear" w:color="auto" w:fill="auto"/>
            <w:vAlign w:val="center"/>
          </w:tcPr>
          <w:p w14:paraId="627786E5">
            <w:pPr>
              <w:overflowPunct/>
              <w:autoSpaceDE/>
              <w:autoSpaceDN/>
              <w:adjustRightInd/>
              <w:rPr>
                <w:rFonts w:ascii="宋体" w:hAnsi="宋体" w:eastAsia="宋体" w:cs="Calibri"/>
                <w:sz w:val="15"/>
                <w:szCs w:val="15"/>
              </w:rPr>
            </w:pPr>
            <w:r>
              <w:rPr>
                <w:rFonts w:hint="eastAsia" w:ascii="宋体" w:hAnsi="宋体" w:eastAsia="宋体" w:cs="Calibri"/>
                <w:sz w:val="15"/>
                <w:szCs w:val="15"/>
              </w:rPr>
              <w:t>部门本年度“三公”经费预算数与上年度“三公”经费预算数的变动比率，用以反映和考核部门（单位）对控制行政成本的努力程度。</w:t>
            </w:r>
          </w:p>
        </w:tc>
        <w:tc>
          <w:tcPr>
            <w:tcW w:w="769" w:type="pct"/>
            <w:shd w:val="clear" w:color="auto" w:fill="auto"/>
            <w:vAlign w:val="center"/>
          </w:tcPr>
          <w:p w14:paraId="5B667AC8">
            <w:pPr>
              <w:overflowPunct/>
              <w:autoSpaceDE/>
              <w:autoSpaceDN/>
              <w:adjustRightInd/>
              <w:rPr>
                <w:rFonts w:ascii="宋体" w:hAnsi="宋体" w:eastAsia="宋体" w:cs="Calibri"/>
                <w:sz w:val="15"/>
                <w:szCs w:val="15"/>
              </w:rPr>
            </w:pPr>
            <w:r>
              <w:rPr>
                <w:rFonts w:hint="eastAsia" w:ascii="宋体" w:hAnsi="宋体" w:eastAsia="宋体" w:cs="Calibri"/>
                <w:sz w:val="15"/>
                <w:szCs w:val="15"/>
              </w:rPr>
              <w:t>“三公”经费控制率=（本年度“三公”经费总额/上年度“三公”经费总额）×100%。“三公”经费：年度预算安排的因公出国（境）费、公务用车购置及运行费和公务接待费。三公经费控制率≤100%得满分，≥120%得1分，区间内按权重进行扣分。</w:t>
            </w:r>
          </w:p>
        </w:tc>
        <w:tc>
          <w:tcPr>
            <w:tcW w:w="528" w:type="pct"/>
            <w:shd w:val="clear" w:color="auto" w:fill="auto"/>
            <w:vAlign w:val="center"/>
          </w:tcPr>
          <w:p w14:paraId="718E72DC">
            <w:pPr>
              <w:overflowPunct/>
              <w:autoSpaceDE/>
              <w:autoSpaceDN/>
              <w:adjustRightInd/>
              <w:rPr>
                <w:rFonts w:ascii="宋体" w:hAnsi="宋体" w:eastAsia="宋体" w:cs="Calibri"/>
                <w:sz w:val="15"/>
                <w:szCs w:val="15"/>
              </w:rPr>
            </w:pPr>
            <w:r>
              <w:rPr>
                <w:rFonts w:hint="eastAsia" w:ascii="宋体" w:hAnsi="宋体" w:eastAsia="宋体" w:cs="Calibri"/>
                <w:sz w:val="15"/>
                <w:szCs w:val="15"/>
              </w:rPr>
              <w:t>三公经费使用情况</w:t>
            </w:r>
          </w:p>
        </w:tc>
        <w:tc>
          <w:tcPr>
            <w:tcW w:w="712" w:type="dxa"/>
            <w:shd w:val="clear" w:color="auto" w:fill="auto"/>
            <w:vAlign w:val="center"/>
          </w:tcPr>
          <w:p w14:paraId="7B48360C">
            <w:pPr>
              <w:overflowPunct/>
              <w:autoSpaceDE/>
              <w:autoSpaceDN/>
              <w:adjustRightInd/>
              <w:jc w:val="center"/>
              <w:rPr>
                <w:rFonts w:ascii="宋体" w:hAnsi="宋体" w:eastAsia="宋体" w:cs="Calibri"/>
                <w:sz w:val="15"/>
                <w:szCs w:val="15"/>
              </w:rPr>
            </w:pPr>
            <w:r>
              <w:rPr>
                <w:rFonts w:hint="eastAsia" w:ascii="宋体" w:hAnsi="宋体" w:eastAsia="宋体" w:cs="Calibri"/>
                <w:sz w:val="15"/>
                <w:szCs w:val="15"/>
                <w:lang w:val="en-US" w:eastAsia="zh-CN"/>
              </w:rPr>
              <w:t>1</w:t>
            </w:r>
          </w:p>
        </w:tc>
        <w:tc>
          <w:tcPr>
            <w:tcW w:w="712" w:type="dxa"/>
            <w:shd w:val="clear" w:color="auto" w:fill="auto"/>
            <w:vAlign w:val="center"/>
          </w:tcPr>
          <w:p w14:paraId="5D8E6EC7">
            <w:pPr>
              <w:overflowPunct/>
              <w:autoSpaceDE/>
              <w:autoSpaceDN/>
              <w:adjustRightInd/>
              <w:jc w:val="center"/>
              <w:rPr>
                <w:rFonts w:ascii="宋体" w:hAnsi="宋体" w:eastAsia="宋体" w:cs="Calibri"/>
                <w:sz w:val="15"/>
                <w:szCs w:val="15"/>
              </w:rPr>
            </w:pPr>
          </w:p>
        </w:tc>
        <w:tc>
          <w:tcPr>
            <w:tcW w:w="3127" w:type="dxa"/>
            <w:shd w:val="clear" w:color="auto" w:fill="auto"/>
            <w:vAlign w:val="center"/>
          </w:tcPr>
          <w:p w14:paraId="24201127">
            <w:pPr>
              <w:overflowPunct/>
              <w:autoSpaceDE/>
              <w:autoSpaceDN/>
              <w:adjustRightInd/>
              <w:jc w:val="left"/>
              <w:rPr>
                <w:rFonts w:ascii="宋体" w:hAnsi="宋体" w:eastAsia="宋体" w:cs="Calibri"/>
                <w:sz w:val="15"/>
                <w:szCs w:val="15"/>
              </w:rPr>
            </w:pPr>
          </w:p>
        </w:tc>
      </w:tr>
      <w:tr w14:paraId="67CED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324" w:type="pct"/>
            <w:vMerge w:val="continue"/>
            <w:vAlign w:val="center"/>
          </w:tcPr>
          <w:p w14:paraId="5A907BA6">
            <w:pPr>
              <w:overflowPunct/>
              <w:autoSpaceDE/>
              <w:autoSpaceDN/>
              <w:adjustRightInd/>
              <w:jc w:val="left"/>
              <w:rPr>
                <w:rFonts w:ascii="宋体" w:hAnsi="宋体" w:eastAsia="宋体" w:cs="Calibri"/>
                <w:sz w:val="15"/>
                <w:szCs w:val="15"/>
              </w:rPr>
            </w:pPr>
          </w:p>
        </w:tc>
        <w:tc>
          <w:tcPr>
            <w:tcW w:w="336" w:type="pct"/>
            <w:vMerge w:val="continue"/>
            <w:vAlign w:val="center"/>
          </w:tcPr>
          <w:p w14:paraId="0DFF42ED">
            <w:pPr>
              <w:overflowPunct/>
              <w:autoSpaceDE/>
              <w:autoSpaceDN/>
              <w:adjustRightInd/>
              <w:jc w:val="left"/>
              <w:rPr>
                <w:rFonts w:ascii="宋体" w:hAnsi="宋体" w:eastAsia="宋体" w:cs="Calibri"/>
                <w:sz w:val="15"/>
                <w:szCs w:val="15"/>
              </w:rPr>
            </w:pPr>
          </w:p>
        </w:tc>
        <w:tc>
          <w:tcPr>
            <w:tcW w:w="527" w:type="pct"/>
            <w:shd w:val="clear" w:color="auto" w:fill="auto"/>
            <w:vAlign w:val="center"/>
          </w:tcPr>
          <w:p w14:paraId="3A864EE8">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4.预算调整情况（1分）</w:t>
            </w:r>
          </w:p>
        </w:tc>
        <w:tc>
          <w:tcPr>
            <w:tcW w:w="240" w:type="pct"/>
            <w:shd w:val="clear" w:color="auto" w:fill="auto"/>
            <w:vAlign w:val="center"/>
          </w:tcPr>
          <w:p w14:paraId="53189DDD">
            <w:pPr>
              <w:overflowPunct/>
              <w:autoSpaceDE/>
              <w:autoSpaceDN/>
              <w:adjustRightInd/>
              <w:jc w:val="center"/>
              <w:rPr>
                <w:rFonts w:ascii="宋体" w:hAnsi="宋体" w:eastAsia="宋体" w:cs="Calibri"/>
                <w:sz w:val="18"/>
                <w:szCs w:val="18"/>
              </w:rPr>
            </w:pPr>
            <w:r>
              <w:rPr>
                <w:rFonts w:hint="eastAsia" w:ascii="宋体" w:hAnsi="宋体" w:eastAsia="宋体" w:cs="Calibri"/>
                <w:sz w:val="18"/>
                <w:szCs w:val="18"/>
              </w:rPr>
              <w:t>1</w:t>
            </w:r>
          </w:p>
        </w:tc>
        <w:tc>
          <w:tcPr>
            <w:tcW w:w="671" w:type="pct"/>
            <w:shd w:val="clear" w:color="auto" w:fill="auto"/>
            <w:vAlign w:val="center"/>
          </w:tcPr>
          <w:p w14:paraId="5703C326">
            <w:pPr>
              <w:overflowPunct/>
              <w:autoSpaceDE/>
              <w:autoSpaceDN/>
              <w:adjustRightInd/>
              <w:rPr>
                <w:rFonts w:ascii="宋体" w:hAnsi="宋体" w:eastAsia="宋体" w:cs="Calibri"/>
                <w:sz w:val="15"/>
                <w:szCs w:val="15"/>
              </w:rPr>
            </w:pPr>
            <w:r>
              <w:rPr>
                <w:rFonts w:hint="eastAsia" w:ascii="宋体" w:hAnsi="宋体" w:eastAsia="宋体" w:cs="Calibri"/>
                <w:sz w:val="15"/>
                <w:szCs w:val="15"/>
              </w:rPr>
              <w:t>用以反映预算单位是否根据年中预算实际执行情况及时合规进行预算调整。</w:t>
            </w:r>
          </w:p>
        </w:tc>
        <w:tc>
          <w:tcPr>
            <w:tcW w:w="769" w:type="pct"/>
            <w:shd w:val="clear" w:color="auto" w:fill="auto"/>
            <w:vAlign w:val="center"/>
          </w:tcPr>
          <w:p w14:paraId="57432E77">
            <w:pPr>
              <w:overflowPunct/>
              <w:autoSpaceDE/>
              <w:autoSpaceDN/>
              <w:adjustRightInd/>
              <w:rPr>
                <w:rFonts w:ascii="宋体" w:hAnsi="宋体" w:eastAsia="宋体" w:cs="Calibri"/>
                <w:sz w:val="15"/>
                <w:szCs w:val="15"/>
              </w:rPr>
            </w:pPr>
            <w:r>
              <w:rPr>
                <w:rFonts w:hint="eastAsia" w:ascii="宋体" w:hAnsi="宋体" w:eastAsia="宋体" w:cs="Calibri"/>
                <w:sz w:val="15"/>
                <w:szCs w:val="15"/>
              </w:rPr>
              <w:t>①根据年中预算执行情况及时申请预算调整，得0.5分；②按规定程序进行预算调整，得0.5分</w:t>
            </w:r>
          </w:p>
        </w:tc>
        <w:tc>
          <w:tcPr>
            <w:tcW w:w="528" w:type="pct"/>
            <w:shd w:val="clear" w:color="auto" w:fill="auto"/>
            <w:vAlign w:val="center"/>
          </w:tcPr>
          <w:p w14:paraId="04AEA8F3">
            <w:pPr>
              <w:overflowPunct/>
              <w:autoSpaceDE/>
              <w:autoSpaceDN/>
              <w:adjustRightInd/>
              <w:rPr>
                <w:rFonts w:ascii="宋体" w:hAnsi="宋体" w:eastAsia="宋体" w:cs="Calibri"/>
                <w:sz w:val="15"/>
                <w:szCs w:val="15"/>
              </w:rPr>
            </w:pPr>
            <w:r>
              <w:rPr>
                <w:rFonts w:hint="eastAsia" w:ascii="宋体" w:hAnsi="宋体" w:eastAsia="宋体" w:cs="Calibri"/>
                <w:sz w:val="15"/>
                <w:szCs w:val="15"/>
              </w:rPr>
              <w:t>预算调整相关资料</w:t>
            </w:r>
          </w:p>
        </w:tc>
        <w:tc>
          <w:tcPr>
            <w:tcW w:w="712" w:type="dxa"/>
            <w:shd w:val="clear" w:color="auto" w:fill="auto"/>
            <w:vAlign w:val="center"/>
          </w:tcPr>
          <w:p w14:paraId="70CAAFC6">
            <w:pPr>
              <w:overflowPunct/>
              <w:autoSpaceDE/>
              <w:autoSpaceDN/>
              <w:adjustRightInd/>
              <w:jc w:val="center"/>
              <w:rPr>
                <w:rFonts w:ascii="宋体" w:hAnsi="宋体" w:eastAsia="宋体" w:cs="Calibri"/>
                <w:sz w:val="15"/>
                <w:szCs w:val="15"/>
              </w:rPr>
            </w:pPr>
            <w:r>
              <w:rPr>
                <w:rFonts w:hint="eastAsia" w:ascii="宋体" w:hAnsi="宋体" w:eastAsia="宋体" w:cs="Calibri"/>
                <w:sz w:val="15"/>
                <w:szCs w:val="15"/>
                <w:lang w:val="en-US" w:eastAsia="zh-CN"/>
              </w:rPr>
              <w:t>1</w:t>
            </w:r>
          </w:p>
        </w:tc>
        <w:tc>
          <w:tcPr>
            <w:tcW w:w="712" w:type="dxa"/>
            <w:shd w:val="clear" w:color="auto" w:fill="auto"/>
            <w:vAlign w:val="center"/>
          </w:tcPr>
          <w:p w14:paraId="22C0CC4C">
            <w:pPr>
              <w:overflowPunct/>
              <w:autoSpaceDE/>
              <w:autoSpaceDN/>
              <w:adjustRightInd/>
              <w:jc w:val="center"/>
              <w:rPr>
                <w:rFonts w:ascii="宋体" w:hAnsi="宋体" w:eastAsia="宋体" w:cs="Calibri"/>
                <w:sz w:val="15"/>
                <w:szCs w:val="15"/>
              </w:rPr>
            </w:pPr>
          </w:p>
        </w:tc>
        <w:tc>
          <w:tcPr>
            <w:tcW w:w="3127" w:type="dxa"/>
            <w:shd w:val="clear" w:color="auto" w:fill="auto"/>
            <w:vAlign w:val="center"/>
          </w:tcPr>
          <w:p w14:paraId="010BC34E">
            <w:pPr>
              <w:overflowPunct/>
              <w:autoSpaceDE/>
              <w:autoSpaceDN/>
              <w:adjustRightInd/>
              <w:jc w:val="left"/>
              <w:rPr>
                <w:rFonts w:ascii="宋体" w:hAnsi="宋体" w:eastAsia="宋体" w:cs="Calibri"/>
                <w:sz w:val="15"/>
                <w:szCs w:val="15"/>
              </w:rPr>
            </w:pPr>
          </w:p>
        </w:tc>
      </w:tr>
      <w:tr w14:paraId="2F49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324" w:type="pct"/>
            <w:vMerge w:val="restart"/>
            <w:shd w:val="clear" w:color="auto" w:fill="auto"/>
            <w:vAlign w:val="center"/>
          </w:tcPr>
          <w:p w14:paraId="5500766E">
            <w:pPr>
              <w:overflowPunct/>
              <w:autoSpaceDE/>
              <w:autoSpaceDN/>
              <w:adjustRightInd/>
              <w:jc w:val="center"/>
              <w:rPr>
                <w:rFonts w:ascii="宋体" w:hAnsi="宋体" w:eastAsia="宋体" w:cs="Calibri"/>
                <w:sz w:val="15"/>
                <w:szCs w:val="15"/>
              </w:rPr>
            </w:pPr>
            <w:r>
              <w:rPr>
                <w:rFonts w:hint="eastAsia" w:ascii="宋体" w:hAnsi="宋体" w:eastAsia="宋体" w:cs="Calibri"/>
                <w:sz w:val="15"/>
                <w:szCs w:val="15"/>
              </w:rPr>
              <w:t>二、部门管理（</w:t>
            </w:r>
            <w:r>
              <w:rPr>
                <w:rFonts w:hint="eastAsia" w:ascii="宋体" w:hAnsi="宋体" w:eastAsia="宋体" w:cs="宋体"/>
                <w:sz w:val="15"/>
                <w:szCs w:val="15"/>
              </w:rPr>
              <w:t>20</w:t>
            </w:r>
            <w:r>
              <w:rPr>
                <w:rFonts w:hint="eastAsia" w:ascii="宋体" w:hAnsi="宋体" w:eastAsia="宋体" w:cs="Calibri"/>
                <w:sz w:val="15"/>
                <w:szCs w:val="15"/>
              </w:rPr>
              <w:t>分）</w:t>
            </w:r>
          </w:p>
        </w:tc>
        <w:tc>
          <w:tcPr>
            <w:tcW w:w="336" w:type="pct"/>
            <w:vMerge w:val="restart"/>
            <w:shd w:val="clear" w:color="auto" w:fill="auto"/>
            <w:vAlign w:val="center"/>
          </w:tcPr>
          <w:p w14:paraId="16E43B08">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2.财务管理（5分）</w:t>
            </w:r>
          </w:p>
        </w:tc>
        <w:tc>
          <w:tcPr>
            <w:tcW w:w="527" w:type="pct"/>
            <w:shd w:val="clear" w:color="auto" w:fill="auto"/>
            <w:vAlign w:val="center"/>
          </w:tcPr>
          <w:p w14:paraId="5854718B">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1.财务管理制度健全性及执行情况（2分）</w:t>
            </w:r>
          </w:p>
        </w:tc>
        <w:tc>
          <w:tcPr>
            <w:tcW w:w="240" w:type="pct"/>
            <w:shd w:val="clear" w:color="auto" w:fill="auto"/>
            <w:vAlign w:val="center"/>
          </w:tcPr>
          <w:p w14:paraId="1BA4A43B">
            <w:pPr>
              <w:overflowPunct/>
              <w:autoSpaceDE/>
              <w:autoSpaceDN/>
              <w:adjustRightInd/>
              <w:jc w:val="center"/>
              <w:rPr>
                <w:rFonts w:ascii="宋体" w:hAnsi="宋体" w:eastAsia="宋体" w:cs="Calibri"/>
                <w:sz w:val="18"/>
                <w:szCs w:val="18"/>
              </w:rPr>
            </w:pPr>
            <w:r>
              <w:rPr>
                <w:rFonts w:hint="eastAsia" w:ascii="宋体" w:hAnsi="宋体" w:eastAsia="宋体" w:cs="Calibri"/>
                <w:sz w:val="18"/>
                <w:szCs w:val="18"/>
              </w:rPr>
              <w:t>2</w:t>
            </w:r>
          </w:p>
        </w:tc>
        <w:tc>
          <w:tcPr>
            <w:tcW w:w="671" w:type="pct"/>
            <w:shd w:val="clear" w:color="auto" w:fill="auto"/>
            <w:vAlign w:val="center"/>
          </w:tcPr>
          <w:p w14:paraId="62BFF88F">
            <w:pPr>
              <w:overflowPunct/>
              <w:autoSpaceDE/>
              <w:autoSpaceDN/>
              <w:adjustRightInd/>
              <w:rPr>
                <w:rFonts w:ascii="宋体" w:hAnsi="宋体" w:eastAsia="宋体" w:cs="Calibri"/>
                <w:sz w:val="15"/>
                <w:szCs w:val="15"/>
              </w:rPr>
            </w:pPr>
            <w:r>
              <w:rPr>
                <w:rFonts w:hint="eastAsia" w:ascii="宋体" w:hAnsi="宋体" w:eastAsia="宋体" w:cs="Calibri"/>
                <w:sz w:val="15"/>
                <w:szCs w:val="15"/>
              </w:rPr>
              <w:t>部门为加强预算管理、规范财务行为而制定的财务管理制度是否健全完整。用以反映和考核部门预算管理制度对完成主要职责或促进事业发展的保障情况。</w:t>
            </w:r>
          </w:p>
        </w:tc>
        <w:tc>
          <w:tcPr>
            <w:tcW w:w="769" w:type="pct"/>
            <w:shd w:val="clear" w:color="auto" w:fill="auto"/>
            <w:vAlign w:val="center"/>
          </w:tcPr>
          <w:p w14:paraId="08372582">
            <w:pPr>
              <w:overflowPunct/>
              <w:autoSpaceDE/>
              <w:autoSpaceDN/>
              <w:adjustRightInd/>
              <w:rPr>
                <w:rFonts w:ascii="宋体" w:hAnsi="宋体" w:eastAsia="宋体" w:cs="Calibri"/>
                <w:sz w:val="15"/>
                <w:szCs w:val="15"/>
              </w:rPr>
            </w:pPr>
            <w:r>
              <w:rPr>
                <w:rFonts w:hint="eastAsia" w:ascii="宋体" w:hAnsi="宋体" w:eastAsia="宋体" w:cs="Calibri"/>
                <w:sz w:val="15"/>
                <w:szCs w:val="15"/>
              </w:rPr>
              <w:t>①是否已制定预算资金管理办法、内部财务管理制度、会计核算制度等管理制度1分；②相关管理制度是否合法、合规、完整0.5分；③相关管理制度是否得到有效执行0.5分。</w:t>
            </w:r>
          </w:p>
        </w:tc>
        <w:tc>
          <w:tcPr>
            <w:tcW w:w="528" w:type="pct"/>
            <w:shd w:val="clear" w:color="auto" w:fill="auto"/>
            <w:vAlign w:val="center"/>
          </w:tcPr>
          <w:p w14:paraId="1F3E5169">
            <w:pPr>
              <w:overflowPunct/>
              <w:autoSpaceDE/>
              <w:autoSpaceDN/>
              <w:adjustRightInd/>
              <w:rPr>
                <w:rFonts w:ascii="宋体" w:hAnsi="宋体" w:eastAsia="宋体" w:cs="Calibri"/>
                <w:sz w:val="15"/>
                <w:szCs w:val="15"/>
              </w:rPr>
            </w:pPr>
            <w:r>
              <w:rPr>
                <w:rFonts w:hint="eastAsia" w:ascii="宋体" w:hAnsi="宋体" w:eastAsia="宋体" w:cs="Calibri"/>
                <w:sz w:val="15"/>
                <w:szCs w:val="15"/>
              </w:rPr>
              <w:t>财务管理相关制度及执行情况等。</w:t>
            </w:r>
          </w:p>
        </w:tc>
        <w:tc>
          <w:tcPr>
            <w:tcW w:w="712" w:type="dxa"/>
            <w:shd w:val="clear" w:color="auto" w:fill="auto"/>
            <w:vAlign w:val="center"/>
          </w:tcPr>
          <w:p w14:paraId="520B0BC1">
            <w:pPr>
              <w:overflowPunct/>
              <w:autoSpaceDE/>
              <w:autoSpaceDN/>
              <w:adjustRightInd/>
              <w:jc w:val="center"/>
              <w:rPr>
                <w:rFonts w:ascii="宋体" w:hAnsi="宋体" w:eastAsia="宋体" w:cs="Calibri"/>
                <w:sz w:val="15"/>
                <w:szCs w:val="15"/>
              </w:rPr>
            </w:pPr>
            <w:r>
              <w:rPr>
                <w:rFonts w:hint="eastAsia" w:ascii="宋体" w:hAnsi="宋体" w:eastAsia="宋体" w:cs="Calibri"/>
                <w:sz w:val="15"/>
                <w:szCs w:val="15"/>
                <w:lang w:val="en-US" w:eastAsia="zh-CN"/>
              </w:rPr>
              <w:t>1</w:t>
            </w:r>
          </w:p>
        </w:tc>
        <w:tc>
          <w:tcPr>
            <w:tcW w:w="712" w:type="dxa"/>
            <w:shd w:val="clear" w:color="auto" w:fill="auto"/>
            <w:vAlign w:val="center"/>
          </w:tcPr>
          <w:p w14:paraId="69524BF1">
            <w:pPr>
              <w:overflowPunct/>
              <w:autoSpaceDE/>
              <w:autoSpaceDN/>
              <w:adjustRightInd/>
              <w:jc w:val="center"/>
              <w:rPr>
                <w:rFonts w:ascii="宋体" w:hAnsi="宋体" w:eastAsia="宋体" w:cs="Calibri"/>
                <w:sz w:val="15"/>
                <w:szCs w:val="15"/>
              </w:rPr>
            </w:pPr>
            <w:r>
              <w:rPr>
                <w:rFonts w:hint="eastAsia" w:ascii="宋体" w:hAnsi="宋体" w:eastAsia="宋体" w:cs="Calibri"/>
                <w:sz w:val="15"/>
                <w:szCs w:val="15"/>
                <w:lang w:val="en-US" w:eastAsia="zh-CN"/>
              </w:rPr>
              <w:t>1</w:t>
            </w:r>
          </w:p>
        </w:tc>
        <w:tc>
          <w:tcPr>
            <w:tcW w:w="3127" w:type="dxa"/>
            <w:shd w:val="clear" w:color="auto" w:fill="auto"/>
            <w:vAlign w:val="center"/>
          </w:tcPr>
          <w:p w14:paraId="4EC8B26B">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lang w:eastAsia="zh-CN"/>
              </w:rPr>
              <w:t>管理制度还需进一步完善，制度执行不到位。</w:t>
            </w:r>
          </w:p>
        </w:tc>
      </w:tr>
      <w:tr w14:paraId="385E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24" w:type="pct"/>
            <w:vMerge w:val="continue"/>
            <w:vAlign w:val="center"/>
          </w:tcPr>
          <w:p w14:paraId="13C790FE">
            <w:pPr>
              <w:overflowPunct/>
              <w:autoSpaceDE/>
              <w:autoSpaceDN/>
              <w:adjustRightInd/>
              <w:jc w:val="left"/>
              <w:rPr>
                <w:rFonts w:ascii="宋体" w:hAnsi="宋体" w:eastAsia="宋体" w:cs="Calibri"/>
                <w:sz w:val="15"/>
                <w:szCs w:val="15"/>
              </w:rPr>
            </w:pPr>
          </w:p>
        </w:tc>
        <w:tc>
          <w:tcPr>
            <w:tcW w:w="336" w:type="pct"/>
            <w:vMerge w:val="continue"/>
            <w:vAlign w:val="center"/>
          </w:tcPr>
          <w:p w14:paraId="5A831151">
            <w:pPr>
              <w:overflowPunct/>
              <w:autoSpaceDE/>
              <w:autoSpaceDN/>
              <w:adjustRightInd/>
              <w:jc w:val="left"/>
              <w:rPr>
                <w:rFonts w:ascii="宋体" w:hAnsi="宋体" w:eastAsia="宋体" w:cs="Calibri"/>
                <w:sz w:val="15"/>
                <w:szCs w:val="15"/>
              </w:rPr>
            </w:pPr>
          </w:p>
        </w:tc>
        <w:tc>
          <w:tcPr>
            <w:tcW w:w="527" w:type="pct"/>
            <w:shd w:val="clear" w:color="auto" w:fill="auto"/>
            <w:vAlign w:val="center"/>
          </w:tcPr>
          <w:p w14:paraId="50BE819F">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2.资金使用合规性（2分）</w:t>
            </w:r>
          </w:p>
        </w:tc>
        <w:tc>
          <w:tcPr>
            <w:tcW w:w="240" w:type="pct"/>
            <w:shd w:val="clear" w:color="auto" w:fill="auto"/>
            <w:vAlign w:val="center"/>
          </w:tcPr>
          <w:p w14:paraId="5969FBC6">
            <w:pPr>
              <w:overflowPunct/>
              <w:autoSpaceDE/>
              <w:autoSpaceDN/>
              <w:adjustRightInd/>
              <w:jc w:val="center"/>
              <w:rPr>
                <w:rFonts w:ascii="宋体" w:hAnsi="宋体" w:eastAsia="宋体" w:cs="宋体"/>
                <w:sz w:val="18"/>
                <w:szCs w:val="18"/>
              </w:rPr>
            </w:pPr>
            <w:r>
              <w:rPr>
                <w:rFonts w:hint="eastAsia" w:ascii="宋体" w:hAnsi="宋体" w:eastAsia="宋体" w:cs="宋体"/>
                <w:sz w:val="18"/>
                <w:szCs w:val="18"/>
              </w:rPr>
              <w:t>2</w:t>
            </w:r>
          </w:p>
        </w:tc>
        <w:tc>
          <w:tcPr>
            <w:tcW w:w="671" w:type="pct"/>
            <w:shd w:val="clear" w:color="auto" w:fill="auto"/>
            <w:vAlign w:val="center"/>
          </w:tcPr>
          <w:p w14:paraId="0B655661">
            <w:pPr>
              <w:overflowPunct/>
              <w:autoSpaceDE/>
              <w:autoSpaceDN/>
              <w:adjustRightInd/>
              <w:rPr>
                <w:rFonts w:ascii="宋体" w:hAnsi="宋体" w:eastAsia="宋体" w:cs="Calibri"/>
                <w:sz w:val="15"/>
                <w:szCs w:val="15"/>
              </w:rPr>
            </w:pPr>
            <w:r>
              <w:rPr>
                <w:rFonts w:hint="eastAsia" w:ascii="宋体" w:hAnsi="宋体" w:eastAsia="宋体" w:cs="Calibri"/>
                <w:sz w:val="15"/>
                <w:szCs w:val="15"/>
              </w:rPr>
              <w:t>部门使用预算资金是否符合相关财务管理制度的规定，用以反映和考核部门预算资金的规范运行情况。</w:t>
            </w:r>
          </w:p>
        </w:tc>
        <w:tc>
          <w:tcPr>
            <w:tcW w:w="769" w:type="pct"/>
            <w:shd w:val="clear" w:color="auto" w:fill="auto"/>
            <w:vAlign w:val="center"/>
          </w:tcPr>
          <w:p w14:paraId="0C1E2750">
            <w:pPr>
              <w:overflowPunct/>
              <w:autoSpaceDE/>
              <w:autoSpaceDN/>
              <w:adjustRightInd/>
              <w:rPr>
                <w:rFonts w:ascii="宋体" w:hAnsi="宋体" w:eastAsia="宋体" w:cs="Calibri"/>
                <w:sz w:val="15"/>
                <w:szCs w:val="15"/>
              </w:rPr>
            </w:pPr>
            <w:r>
              <w:rPr>
                <w:rFonts w:hint="eastAsia" w:ascii="宋体" w:hAnsi="宋体" w:eastAsia="宋体" w:cs="Calibri"/>
                <w:sz w:val="15"/>
                <w:szCs w:val="15"/>
              </w:rPr>
              <w:t>①符合国家财经法规和财务管理制度规定以及有关专项资金管理办法的规定,0.5分；②资金的拨付有完整的审批程序和手续，0.5分；③项目的重大开支经过专题论证，1分；④符合部门预算批复的用途，0分；⑤是否存在截留、挤占、挪用、虚列支出等情况，一旦存在该指标不得分。</w:t>
            </w:r>
          </w:p>
        </w:tc>
        <w:tc>
          <w:tcPr>
            <w:tcW w:w="528" w:type="pct"/>
            <w:shd w:val="clear" w:color="auto" w:fill="auto"/>
            <w:vAlign w:val="center"/>
          </w:tcPr>
          <w:p w14:paraId="42919F22">
            <w:pPr>
              <w:overflowPunct/>
              <w:autoSpaceDE/>
              <w:autoSpaceDN/>
              <w:adjustRightInd/>
              <w:rPr>
                <w:rFonts w:ascii="宋体" w:hAnsi="宋体" w:eastAsia="宋体" w:cs="Calibri"/>
                <w:sz w:val="15"/>
                <w:szCs w:val="15"/>
              </w:rPr>
            </w:pPr>
            <w:r>
              <w:rPr>
                <w:rFonts w:hint="eastAsia" w:ascii="宋体" w:hAnsi="宋体" w:eastAsia="宋体" w:cs="Calibri"/>
                <w:sz w:val="15"/>
                <w:szCs w:val="15"/>
              </w:rPr>
              <w:t>资金支出相关凭证、流程梳理等</w:t>
            </w:r>
          </w:p>
        </w:tc>
        <w:tc>
          <w:tcPr>
            <w:tcW w:w="712" w:type="dxa"/>
            <w:shd w:val="clear" w:color="auto" w:fill="auto"/>
            <w:vAlign w:val="center"/>
          </w:tcPr>
          <w:p w14:paraId="7618B685">
            <w:pPr>
              <w:overflowPunct/>
              <w:autoSpaceDE/>
              <w:autoSpaceDN/>
              <w:adjustRightInd/>
              <w:jc w:val="center"/>
              <w:rPr>
                <w:rFonts w:ascii="宋体" w:hAnsi="宋体" w:eastAsia="宋体" w:cs="宋体"/>
                <w:sz w:val="15"/>
                <w:szCs w:val="15"/>
              </w:rPr>
            </w:pPr>
            <w:r>
              <w:rPr>
                <w:rFonts w:hint="eastAsia" w:ascii="宋体" w:hAnsi="宋体" w:eastAsia="宋体" w:cs="宋体"/>
                <w:sz w:val="15"/>
                <w:szCs w:val="15"/>
                <w:lang w:val="en-US" w:eastAsia="zh-CN"/>
              </w:rPr>
              <w:t>2</w:t>
            </w:r>
          </w:p>
        </w:tc>
        <w:tc>
          <w:tcPr>
            <w:tcW w:w="712" w:type="dxa"/>
            <w:shd w:val="clear" w:color="auto" w:fill="auto"/>
            <w:vAlign w:val="center"/>
          </w:tcPr>
          <w:p w14:paraId="3D654EC1">
            <w:pPr>
              <w:overflowPunct/>
              <w:autoSpaceDE/>
              <w:autoSpaceDN/>
              <w:adjustRightInd/>
              <w:jc w:val="center"/>
              <w:rPr>
                <w:rFonts w:ascii="宋体" w:hAnsi="宋体" w:eastAsia="宋体" w:cs="宋体"/>
                <w:sz w:val="15"/>
                <w:szCs w:val="15"/>
              </w:rPr>
            </w:pPr>
          </w:p>
        </w:tc>
        <w:tc>
          <w:tcPr>
            <w:tcW w:w="3127" w:type="dxa"/>
            <w:shd w:val="clear" w:color="auto" w:fill="auto"/>
            <w:vAlign w:val="center"/>
          </w:tcPr>
          <w:p w14:paraId="49403FCC">
            <w:pPr>
              <w:overflowPunct/>
              <w:autoSpaceDE/>
              <w:autoSpaceDN/>
              <w:adjustRightInd/>
              <w:jc w:val="left"/>
              <w:rPr>
                <w:rFonts w:ascii="宋体" w:hAnsi="宋体" w:eastAsia="宋体" w:cs="Calibri"/>
                <w:sz w:val="15"/>
                <w:szCs w:val="15"/>
              </w:rPr>
            </w:pPr>
          </w:p>
        </w:tc>
      </w:tr>
      <w:tr w14:paraId="47CD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24" w:type="pct"/>
            <w:vMerge w:val="continue"/>
            <w:vAlign w:val="center"/>
          </w:tcPr>
          <w:p w14:paraId="6AD0BBEC">
            <w:pPr>
              <w:overflowPunct/>
              <w:autoSpaceDE/>
              <w:autoSpaceDN/>
              <w:adjustRightInd/>
              <w:jc w:val="left"/>
              <w:rPr>
                <w:rFonts w:ascii="宋体" w:hAnsi="宋体" w:eastAsia="宋体" w:cs="Calibri"/>
                <w:sz w:val="15"/>
                <w:szCs w:val="15"/>
              </w:rPr>
            </w:pPr>
          </w:p>
        </w:tc>
        <w:tc>
          <w:tcPr>
            <w:tcW w:w="336" w:type="pct"/>
            <w:vMerge w:val="continue"/>
            <w:vAlign w:val="center"/>
          </w:tcPr>
          <w:p w14:paraId="30351184">
            <w:pPr>
              <w:overflowPunct/>
              <w:autoSpaceDE/>
              <w:autoSpaceDN/>
              <w:adjustRightInd/>
              <w:jc w:val="left"/>
              <w:rPr>
                <w:rFonts w:ascii="宋体" w:hAnsi="宋体" w:eastAsia="宋体" w:cs="Calibri"/>
                <w:sz w:val="15"/>
                <w:szCs w:val="15"/>
              </w:rPr>
            </w:pPr>
          </w:p>
        </w:tc>
        <w:tc>
          <w:tcPr>
            <w:tcW w:w="527" w:type="pct"/>
            <w:shd w:val="clear" w:color="auto" w:fill="auto"/>
            <w:vAlign w:val="center"/>
          </w:tcPr>
          <w:p w14:paraId="7DEA53B6">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3.财务监控的有效性（1分）</w:t>
            </w:r>
          </w:p>
        </w:tc>
        <w:tc>
          <w:tcPr>
            <w:tcW w:w="240" w:type="pct"/>
            <w:shd w:val="clear" w:color="auto" w:fill="auto"/>
            <w:vAlign w:val="center"/>
          </w:tcPr>
          <w:p w14:paraId="71FEF0EF">
            <w:pPr>
              <w:overflowPunct/>
              <w:autoSpaceDE/>
              <w:autoSpaceDN/>
              <w:adjustRightInd/>
              <w:jc w:val="center"/>
              <w:rPr>
                <w:rFonts w:ascii="宋体" w:hAnsi="宋体" w:eastAsia="宋体" w:cs="宋体"/>
                <w:sz w:val="18"/>
                <w:szCs w:val="18"/>
              </w:rPr>
            </w:pPr>
            <w:r>
              <w:rPr>
                <w:rFonts w:hint="eastAsia" w:ascii="宋体" w:hAnsi="宋体" w:eastAsia="宋体" w:cs="宋体"/>
                <w:sz w:val="18"/>
                <w:szCs w:val="18"/>
              </w:rPr>
              <w:t>1</w:t>
            </w:r>
          </w:p>
        </w:tc>
        <w:tc>
          <w:tcPr>
            <w:tcW w:w="671" w:type="pct"/>
            <w:shd w:val="clear" w:color="auto" w:fill="auto"/>
            <w:vAlign w:val="center"/>
          </w:tcPr>
          <w:p w14:paraId="36A909B6">
            <w:pPr>
              <w:overflowPunct/>
              <w:autoSpaceDE/>
              <w:autoSpaceDN/>
              <w:adjustRightInd/>
              <w:rPr>
                <w:rFonts w:ascii="宋体" w:hAnsi="宋体" w:eastAsia="宋体" w:cs="Calibri"/>
                <w:sz w:val="15"/>
                <w:szCs w:val="15"/>
              </w:rPr>
            </w:pPr>
            <w:r>
              <w:rPr>
                <w:rFonts w:hint="eastAsia" w:ascii="宋体" w:hAnsi="宋体" w:eastAsia="宋体" w:cs="Calibri"/>
                <w:sz w:val="15"/>
                <w:szCs w:val="15"/>
              </w:rPr>
              <w:t>用以反映部门财务监控监督工作的有效性，包括监控、监督措施的制定及执行等方面。</w:t>
            </w:r>
          </w:p>
        </w:tc>
        <w:tc>
          <w:tcPr>
            <w:tcW w:w="769" w:type="pct"/>
            <w:shd w:val="clear" w:color="auto" w:fill="auto"/>
            <w:vAlign w:val="center"/>
          </w:tcPr>
          <w:p w14:paraId="115B1F73">
            <w:pPr>
              <w:overflowPunct/>
              <w:autoSpaceDE/>
              <w:autoSpaceDN/>
              <w:adjustRightInd/>
              <w:rPr>
                <w:rFonts w:ascii="宋体" w:hAnsi="宋体" w:eastAsia="宋体" w:cs="Calibri"/>
                <w:sz w:val="15"/>
                <w:szCs w:val="15"/>
              </w:rPr>
            </w:pPr>
            <w:r>
              <w:rPr>
                <w:rFonts w:hint="eastAsia" w:ascii="宋体" w:hAnsi="宋体" w:eastAsia="宋体" w:cs="Calibri"/>
                <w:sz w:val="15"/>
                <w:szCs w:val="15"/>
              </w:rPr>
              <w:t>①制定明确的财务监控监督措施，得0.5分；②监控、监督措施执行有效，得0.5分；</w:t>
            </w:r>
          </w:p>
        </w:tc>
        <w:tc>
          <w:tcPr>
            <w:tcW w:w="528" w:type="pct"/>
            <w:shd w:val="clear" w:color="auto" w:fill="auto"/>
            <w:vAlign w:val="center"/>
          </w:tcPr>
          <w:p w14:paraId="024B47FF">
            <w:pPr>
              <w:overflowPunct/>
              <w:autoSpaceDE/>
              <w:autoSpaceDN/>
              <w:adjustRightInd/>
              <w:rPr>
                <w:rFonts w:ascii="宋体" w:hAnsi="宋体" w:eastAsia="宋体" w:cs="Calibri"/>
                <w:sz w:val="15"/>
                <w:szCs w:val="15"/>
              </w:rPr>
            </w:pPr>
            <w:r>
              <w:rPr>
                <w:rFonts w:hint="eastAsia" w:ascii="宋体" w:hAnsi="宋体" w:eastAsia="宋体" w:cs="Calibri"/>
                <w:sz w:val="15"/>
                <w:szCs w:val="15"/>
              </w:rPr>
              <w:t>财务监控监督相关办法及条款，实际执行情况资料</w:t>
            </w:r>
          </w:p>
        </w:tc>
        <w:tc>
          <w:tcPr>
            <w:tcW w:w="712" w:type="dxa"/>
            <w:shd w:val="clear" w:color="auto" w:fill="auto"/>
            <w:vAlign w:val="center"/>
          </w:tcPr>
          <w:p w14:paraId="4E55256D">
            <w:pPr>
              <w:overflowPunct/>
              <w:autoSpaceDE/>
              <w:autoSpaceDN/>
              <w:adjustRightInd/>
              <w:jc w:val="center"/>
              <w:rPr>
                <w:rFonts w:ascii="宋体" w:hAnsi="宋体" w:eastAsia="宋体" w:cs="宋体"/>
                <w:sz w:val="15"/>
                <w:szCs w:val="15"/>
              </w:rPr>
            </w:pPr>
            <w:r>
              <w:rPr>
                <w:rFonts w:hint="eastAsia" w:ascii="宋体" w:hAnsi="宋体" w:eastAsia="宋体" w:cs="宋体"/>
                <w:sz w:val="15"/>
                <w:szCs w:val="15"/>
                <w:lang w:val="en-US" w:eastAsia="zh-CN"/>
              </w:rPr>
              <w:t>1</w:t>
            </w:r>
          </w:p>
        </w:tc>
        <w:tc>
          <w:tcPr>
            <w:tcW w:w="712" w:type="dxa"/>
            <w:shd w:val="clear" w:color="auto" w:fill="auto"/>
            <w:vAlign w:val="center"/>
          </w:tcPr>
          <w:p w14:paraId="0E3AD4B3">
            <w:pPr>
              <w:overflowPunct/>
              <w:autoSpaceDE/>
              <w:autoSpaceDN/>
              <w:adjustRightInd/>
              <w:jc w:val="center"/>
              <w:rPr>
                <w:rFonts w:ascii="宋体" w:hAnsi="宋体" w:eastAsia="宋体" w:cs="宋体"/>
                <w:sz w:val="15"/>
                <w:szCs w:val="15"/>
              </w:rPr>
            </w:pPr>
          </w:p>
        </w:tc>
        <w:tc>
          <w:tcPr>
            <w:tcW w:w="3127" w:type="dxa"/>
            <w:shd w:val="clear" w:color="auto" w:fill="auto"/>
            <w:vAlign w:val="center"/>
          </w:tcPr>
          <w:p w14:paraId="48BB0C99">
            <w:pPr>
              <w:overflowPunct/>
              <w:autoSpaceDE/>
              <w:autoSpaceDN/>
              <w:adjustRightInd/>
              <w:jc w:val="left"/>
              <w:rPr>
                <w:rFonts w:ascii="宋体" w:hAnsi="宋体" w:eastAsia="宋体" w:cs="Calibri"/>
                <w:sz w:val="15"/>
                <w:szCs w:val="15"/>
              </w:rPr>
            </w:pPr>
          </w:p>
        </w:tc>
      </w:tr>
      <w:tr w14:paraId="72C66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324" w:type="pct"/>
            <w:vMerge w:val="continue"/>
            <w:vAlign w:val="center"/>
          </w:tcPr>
          <w:p w14:paraId="14C9224E">
            <w:pPr>
              <w:overflowPunct/>
              <w:autoSpaceDE/>
              <w:autoSpaceDN/>
              <w:adjustRightInd/>
              <w:jc w:val="left"/>
              <w:rPr>
                <w:rFonts w:ascii="宋体" w:hAnsi="宋体" w:eastAsia="宋体" w:cs="Calibri"/>
                <w:sz w:val="15"/>
                <w:szCs w:val="15"/>
              </w:rPr>
            </w:pPr>
          </w:p>
        </w:tc>
        <w:tc>
          <w:tcPr>
            <w:tcW w:w="336" w:type="pct"/>
            <w:vMerge w:val="restart"/>
            <w:shd w:val="clear" w:color="auto" w:fill="auto"/>
            <w:vAlign w:val="center"/>
          </w:tcPr>
          <w:p w14:paraId="66D7F7E6">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3.资产管理（5分）</w:t>
            </w:r>
          </w:p>
        </w:tc>
        <w:tc>
          <w:tcPr>
            <w:tcW w:w="527" w:type="pct"/>
            <w:shd w:val="clear" w:color="auto" w:fill="auto"/>
            <w:vAlign w:val="center"/>
          </w:tcPr>
          <w:p w14:paraId="1CDDB011">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1.资产管理制度健全性及执行情况（3分）</w:t>
            </w:r>
          </w:p>
        </w:tc>
        <w:tc>
          <w:tcPr>
            <w:tcW w:w="240" w:type="pct"/>
            <w:shd w:val="clear" w:color="auto" w:fill="auto"/>
            <w:vAlign w:val="center"/>
          </w:tcPr>
          <w:p w14:paraId="158A2239">
            <w:pPr>
              <w:overflowPunct/>
              <w:autoSpaceDE/>
              <w:autoSpaceDN/>
              <w:adjustRightInd/>
              <w:jc w:val="center"/>
              <w:rPr>
                <w:rFonts w:ascii="宋体" w:hAnsi="宋体" w:eastAsia="宋体" w:cs="Calibri"/>
                <w:sz w:val="18"/>
                <w:szCs w:val="18"/>
              </w:rPr>
            </w:pPr>
            <w:r>
              <w:rPr>
                <w:rFonts w:hint="eastAsia" w:ascii="宋体" w:hAnsi="宋体" w:eastAsia="宋体" w:cs="Calibri"/>
                <w:sz w:val="18"/>
                <w:szCs w:val="18"/>
              </w:rPr>
              <w:t>3</w:t>
            </w:r>
          </w:p>
        </w:tc>
        <w:tc>
          <w:tcPr>
            <w:tcW w:w="671" w:type="pct"/>
            <w:shd w:val="clear" w:color="auto" w:fill="auto"/>
            <w:vAlign w:val="center"/>
          </w:tcPr>
          <w:p w14:paraId="7AA7AA59">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部门为加强资产管理、规范资产使用而制定的资产管理制度是否健全完整，用以反映和考核部门资产管理制度对完成主要职责或促进事业发展的保障情况。</w:t>
            </w:r>
          </w:p>
        </w:tc>
        <w:tc>
          <w:tcPr>
            <w:tcW w:w="769" w:type="pct"/>
            <w:shd w:val="clear" w:color="auto" w:fill="auto"/>
            <w:vAlign w:val="center"/>
          </w:tcPr>
          <w:p w14:paraId="0E28B49D">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①是否已制定或具有固定资产管理办法、资产使用办法等管理制度，得1分；②相关管理制度是否合法、合规、完整，得1分；③相关管理制度是否得到有效执行，得1分。</w:t>
            </w:r>
          </w:p>
        </w:tc>
        <w:tc>
          <w:tcPr>
            <w:tcW w:w="528" w:type="pct"/>
            <w:shd w:val="clear" w:color="auto" w:fill="auto"/>
            <w:vAlign w:val="center"/>
          </w:tcPr>
          <w:p w14:paraId="04E09F64">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资产管理相关办法</w:t>
            </w:r>
          </w:p>
        </w:tc>
        <w:tc>
          <w:tcPr>
            <w:tcW w:w="712" w:type="dxa"/>
            <w:shd w:val="clear" w:color="auto" w:fill="auto"/>
            <w:vAlign w:val="center"/>
          </w:tcPr>
          <w:p w14:paraId="22B5ACF2">
            <w:pPr>
              <w:overflowPunct/>
              <w:autoSpaceDE/>
              <w:autoSpaceDN/>
              <w:adjustRightInd/>
              <w:jc w:val="center"/>
              <w:rPr>
                <w:rFonts w:ascii="宋体" w:hAnsi="宋体" w:eastAsia="宋体" w:cs="Calibri"/>
                <w:sz w:val="15"/>
                <w:szCs w:val="15"/>
              </w:rPr>
            </w:pPr>
            <w:r>
              <w:rPr>
                <w:rFonts w:hint="eastAsia" w:ascii="宋体" w:hAnsi="宋体" w:eastAsia="宋体" w:cs="Calibri"/>
                <w:sz w:val="15"/>
                <w:szCs w:val="15"/>
                <w:lang w:val="en-US" w:eastAsia="zh-CN"/>
              </w:rPr>
              <w:t>2</w:t>
            </w:r>
          </w:p>
        </w:tc>
        <w:tc>
          <w:tcPr>
            <w:tcW w:w="712" w:type="dxa"/>
            <w:shd w:val="clear" w:color="auto" w:fill="auto"/>
            <w:vAlign w:val="center"/>
          </w:tcPr>
          <w:p w14:paraId="04EE92EE">
            <w:pPr>
              <w:overflowPunct/>
              <w:autoSpaceDE/>
              <w:autoSpaceDN/>
              <w:adjustRightInd/>
              <w:jc w:val="center"/>
              <w:rPr>
                <w:rFonts w:ascii="宋体" w:hAnsi="宋体" w:eastAsia="宋体" w:cs="Calibri"/>
                <w:sz w:val="15"/>
                <w:szCs w:val="15"/>
              </w:rPr>
            </w:pPr>
            <w:r>
              <w:rPr>
                <w:rFonts w:hint="eastAsia" w:ascii="宋体" w:hAnsi="宋体" w:eastAsia="宋体" w:cs="Calibri"/>
                <w:sz w:val="15"/>
                <w:szCs w:val="15"/>
                <w:lang w:val="en-US" w:eastAsia="zh-CN"/>
              </w:rPr>
              <w:t>1</w:t>
            </w:r>
          </w:p>
        </w:tc>
        <w:tc>
          <w:tcPr>
            <w:tcW w:w="3127" w:type="dxa"/>
            <w:shd w:val="clear" w:color="auto" w:fill="auto"/>
            <w:vAlign w:val="center"/>
          </w:tcPr>
          <w:p w14:paraId="7917FC64">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lang w:eastAsia="zh-CN"/>
              </w:rPr>
              <w:t>管理制度还需进一步完善，制度执行不到位。</w:t>
            </w:r>
          </w:p>
        </w:tc>
      </w:tr>
      <w:tr w14:paraId="4AC0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324" w:type="pct"/>
            <w:vMerge w:val="continue"/>
            <w:vAlign w:val="center"/>
          </w:tcPr>
          <w:p w14:paraId="2B385009">
            <w:pPr>
              <w:overflowPunct/>
              <w:autoSpaceDE/>
              <w:autoSpaceDN/>
              <w:adjustRightInd/>
              <w:jc w:val="left"/>
              <w:rPr>
                <w:rFonts w:ascii="宋体" w:hAnsi="宋体" w:eastAsia="宋体" w:cs="Calibri"/>
                <w:sz w:val="15"/>
                <w:szCs w:val="15"/>
              </w:rPr>
            </w:pPr>
          </w:p>
        </w:tc>
        <w:tc>
          <w:tcPr>
            <w:tcW w:w="336" w:type="pct"/>
            <w:vMerge w:val="continue"/>
            <w:vAlign w:val="center"/>
          </w:tcPr>
          <w:p w14:paraId="33850F7E">
            <w:pPr>
              <w:overflowPunct/>
              <w:autoSpaceDE/>
              <w:autoSpaceDN/>
              <w:adjustRightInd/>
              <w:jc w:val="left"/>
              <w:rPr>
                <w:rFonts w:ascii="宋体" w:hAnsi="宋体" w:eastAsia="宋体" w:cs="Calibri"/>
                <w:sz w:val="15"/>
                <w:szCs w:val="15"/>
              </w:rPr>
            </w:pPr>
          </w:p>
        </w:tc>
        <w:tc>
          <w:tcPr>
            <w:tcW w:w="527" w:type="pct"/>
            <w:shd w:val="clear" w:color="auto" w:fill="auto"/>
            <w:vAlign w:val="center"/>
          </w:tcPr>
          <w:p w14:paraId="69E51693">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2.固定资产在用率（2分）</w:t>
            </w:r>
          </w:p>
        </w:tc>
        <w:tc>
          <w:tcPr>
            <w:tcW w:w="240" w:type="pct"/>
            <w:shd w:val="clear" w:color="auto" w:fill="auto"/>
            <w:vAlign w:val="center"/>
          </w:tcPr>
          <w:p w14:paraId="45A43250">
            <w:pPr>
              <w:overflowPunct/>
              <w:autoSpaceDE/>
              <w:autoSpaceDN/>
              <w:adjustRightInd/>
              <w:jc w:val="center"/>
              <w:rPr>
                <w:rFonts w:ascii="宋体" w:hAnsi="宋体" w:eastAsia="宋体" w:cs="宋体"/>
                <w:sz w:val="18"/>
                <w:szCs w:val="18"/>
              </w:rPr>
            </w:pPr>
            <w:r>
              <w:rPr>
                <w:rFonts w:hint="eastAsia" w:ascii="宋体" w:hAnsi="宋体" w:eastAsia="宋体" w:cs="宋体"/>
                <w:sz w:val="18"/>
                <w:szCs w:val="18"/>
              </w:rPr>
              <w:t>2</w:t>
            </w:r>
          </w:p>
        </w:tc>
        <w:tc>
          <w:tcPr>
            <w:tcW w:w="671" w:type="pct"/>
            <w:shd w:val="clear" w:color="auto" w:fill="auto"/>
            <w:vAlign w:val="center"/>
          </w:tcPr>
          <w:p w14:paraId="04A323F7">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部门实际在用固定资产总额与所有固定资产总额的比率，用以反映和考核部门固定资产使用效率及程度。</w:t>
            </w:r>
          </w:p>
        </w:tc>
        <w:tc>
          <w:tcPr>
            <w:tcW w:w="769" w:type="pct"/>
            <w:shd w:val="clear" w:color="auto" w:fill="auto"/>
            <w:vAlign w:val="center"/>
          </w:tcPr>
          <w:p w14:paraId="5C6B3590">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固定资产在用率=（实际在用固定资产总额/所有固定资产总额）×100%。固定资产在用率达到95%以上得满分.每降低1%扣0.5分，扣完为止。</w:t>
            </w:r>
          </w:p>
        </w:tc>
        <w:tc>
          <w:tcPr>
            <w:tcW w:w="528" w:type="pct"/>
            <w:shd w:val="clear" w:color="auto" w:fill="auto"/>
            <w:vAlign w:val="center"/>
          </w:tcPr>
          <w:p w14:paraId="6C208238">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固定资产卡片、固定资产使用信息等</w:t>
            </w:r>
          </w:p>
        </w:tc>
        <w:tc>
          <w:tcPr>
            <w:tcW w:w="712" w:type="dxa"/>
            <w:shd w:val="clear" w:color="auto" w:fill="auto"/>
            <w:vAlign w:val="center"/>
          </w:tcPr>
          <w:p w14:paraId="578F5BD5">
            <w:pPr>
              <w:overflowPunct/>
              <w:autoSpaceDE/>
              <w:autoSpaceDN/>
              <w:adjustRightInd/>
              <w:jc w:val="center"/>
              <w:rPr>
                <w:rFonts w:ascii="宋体" w:hAnsi="宋体" w:eastAsia="宋体" w:cs="宋体"/>
                <w:sz w:val="15"/>
                <w:szCs w:val="15"/>
              </w:rPr>
            </w:pPr>
            <w:r>
              <w:rPr>
                <w:rFonts w:hint="eastAsia" w:ascii="宋体" w:hAnsi="宋体" w:eastAsia="宋体" w:cs="宋体"/>
                <w:sz w:val="15"/>
                <w:szCs w:val="15"/>
                <w:lang w:val="en-US" w:eastAsia="zh-CN"/>
              </w:rPr>
              <w:t>2</w:t>
            </w:r>
          </w:p>
        </w:tc>
        <w:tc>
          <w:tcPr>
            <w:tcW w:w="712" w:type="dxa"/>
            <w:shd w:val="clear" w:color="auto" w:fill="auto"/>
            <w:vAlign w:val="center"/>
          </w:tcPr>
          <w:p w14:paraId="55702497">
            <w:pPr>
              <w:overflowPunct/>
              <w:autoSpaceDE/>
              <w:autoSpaceDN/>
              <w:adjustRightInd/>
              <w:jc w:val="center"/>
              <w:rPr>
                <w:rFonts w:ascii="宋体" w:hAnsi="宋体" w:eastAsia="宋体" w:cs="宋体"/>
                <w:sz w:val="15"/>
                <w:szCs w:val="15"/>
              </w:rPr>
            </w:pPr>
          </w:p>
        </w:tc>
        <w:tc>
          <w:tcPr>
            <w:tcW w:w="3127" w:type="dxa"/>
            <w:shd w:val="clear" w:color="auto" w:fill="auto"/>
            <w:vAlign w:val="center"/>
          </w:tcPr>
          <w:p w14:paraId="339521EB">
            <w:pPr>
              <w:overflowPunct/>
              <w:autoSpaceDE/>
              <w:autoSpaceDN/>
              <w:adjustRightInd/>
              <w:jc w:val="left"/>
              <w:rPr>
                <w:rFonts w:ascii="宋体" w:hAnsi="宋体" w:eastAsia="宋体" w:cs="Calibri"/>
                <w:sz w:val="15"/>
                <w:szCs w:val="15"/>
              </w:rPr>
            </w:pPr>
          </w:p>
        </w:tc>
      </w:tr>
      <w:tr w14:paraId="497C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324" w:type="pct"/>
            <w:vMerge w:val="continue"/>
            <w:vAlign w:val="center"/>
          </w:tcPr>
          <w:p w14:paraId="527E21A0">
            <w:pPr>
              <w:overflowPunct/>
              <w:autoSpaceDE/>
              <w:autoSpaceDN/>
              <w:adjustRightInd/>
              <w:jc w:val="left"/>
              <w:rPr>
                <w:rFonts w:ascii="宋体" w:hAnsi="宋体" w:eastAsia="宋体" w:cs="Calibri"/>
                <w:sz w:val="15"/>
                <w:szCs w:val="15"/>
              </w:rPr>
            </w:pPr>
          </w:p>
        </w:tc>
        <w:tc>
          <w:tcPr>
            <w:tcW w:w="336" w:type="pct"/>
            <w:vMerge w:val="restart"/>
            <w:shd w:val="clear" w:color="auto" w:fill="auto"/>
            <w:vAlign w:val="center"/>
          </w:tcPr>
          <w:p w14:paraId="1C5BE9F8">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4.业务管理（5分）</w:t>
            </w:r>
          </w:p>
        </w:tc>
        <w:tc>
          <w:tcPr>
            <w:tcW w:w="527" w:type="pct"/>
            <w:shd w:val="clear" w:color="auto" w:fill="auto"/>
            <w:vAlign w:val="center"/>
          </w:tcPr>
          <w:p w14:paraId="18A5D8A8">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1.业务管理制度健全性及执行情况（3分）</w:t>
            </w:r>
          </w:p>
        </w:tc>
        <w:tc>
          <w:tcPr>
            <w:tcW w:w="240" w:type="pct"/>
            <w:shd w:val="clear" w:color="auto" w:fill="auto"/>
            <w:vAlign w:val="center"/>
          </w:tcPr>
          <w:p w14:paraId="0041640E">
            <w:pPr>
              <w:overflowPunct/>
              <w:autoSpaceDE/>
              <w:autoSpaceDN/>
              <w:adjustRightInd/>
              <w:jc w:val="center"/>
              <w:rPr>
                <w:rFonts w:ascii="宋体" w:hAnsi="宋体" w:eastAsia="宋体" w:cs="宋体"/>
                <w:sz w:val="18"/>
                <w:szCs w:val="18"/>
              </w:rPr>
            </w:pPr>
            <w:r>
              <w:rPr>
                <w:rFonts w:hint="eastAsia" w:ascii="宋体" w:hAnsi="宋体" w:eastAsia="宋体" w:cs="宋体"/>
                <w:sz w:val="18"/>
                <w:szCs w:val="18"/>
              </w:rPr>
              <w:t>3</w:t>
            </w:r>
          </w:p>
        </w:tc>
        <w:tc>
          <w:tcPr>
            <w:tcW w:w="671" w:type="pct"/>
            <w:shd w:val="clear" w:color="auto" w:fill="auto"/>
            <w:vAlign w:val="center"/>
          </w:tcPr>
          <w:p w14:paraId="1EDEFF34">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部门为加强业务管理、规范业务执行而制定的管理制度是否健全完整，用以反映和考核部门业务管理制度对完成主要职责或促进事业发展的保障情况。</w:t>
            </w:r>
          </w:p>
        </w:tc>
        <w:tc>
          <w:tcPr>
            <w:tcW w:w="769" w:type="pct"/>
            <w:shd w:val="clear" w:color="auto" w:fill="auto"/>
            <w:vAlign w:val="center"/>
          </w:tcPr>
          <w:p w14:paraId="31525AFB">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①已制定或具有业务管理、项目管理等管理制度，得1分；②相关管理制度合法、合规、完整，得1分；③相关管理制度得到有效执行，得1分。</w:t>
            </w:r>
          </w:p>
        </w:tc>
        <w:tc>
          <w:tcPr>
            <w:tcW w:w="528" w:type="pct"/>
            <w:shd w:val="clear" w:color="auto" w:fill="auto"/>
            <w:vAlign w:val="center"/>
          </w:tcPr>
          <w:p w14:paraId="498A0157">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业务管理相关办法及执行情况资料</w:t>
            </w:r>
          </w:p>
        </w:tc>
        <w:tc>
          <w:tcPr>
            <w:tcW w:w="712" w:type="dxa"/>
            <w:shd w:val="clear" w:color="auto" w:fill="auto"/>
            <w:vAlign w:val="center"/>
          </w:tcPr>
          <w:p w14:paraId="6C3A06FB">
            <w:pPr>
              <w:overflowPunct/>
              <w:autoSpaceDE/>
              <w:autoSpaceDN/>
              <w:adjustRightInd/>
              <w:jc w:val="center"/>
              <w:rPr>
                <w:rFonts w:ascii="宋体" w:hAnsi="宋体" w:eastAsia="宋体" w:cs="宋体"/>
                <w:sz w:val="15"/>
                <w:szCs w:val="15"/>
              </w:rPr>
            </w:pPr>
            <w:r>
              <w:rPr>
                <w:rFonts w:hint="eastAsia" w:ascii="宋体" w:hAnsi="宋体" w:eastAsia="宋体" w:cs="宋体"/>
                <w:sz w:val="15"/>
                <w:szCs w:val="15"/>
                <w:lang w:val="en-US" w:eastAsia="zh-CN"/>
              </w:rPr>
              <w:t>2</w:t>
            </w:r>
          </w:p>
        </w:tc>
        <w:tc>
          <w:tcPr>
            <w:tcW w:w="712" w:type="dxa"/>
            <w:shd w:val="clear" w:color="auto" w:fill="auto"/>
            <w:vAlign w:val="center"/>
          </w:tcPr>
          <w:p w14:paraId="04B05011">
            <w:pPr>
              <w:overflowPunct/>
              <w:autoSpaceDE/>
              <w:autoSpaceDN/>
              <w:adjustRightInd/>
              <w:jc w:val="center"/>
              <w:rPr>
                <w:rFonts w:ascii="宋体" w:hAnsi="宋体" w:eastAsia="宋体" w:cs="宋体"/>
                <w:sz w:val="15"/>
                <w:szCs w:val="15"/>
              </w:rPr>
            </w:pPr>
            <w:r>
              <w:rPr>
                <w:rFonts w:hint="eastAsia" w:ascii="宋体" w:hAnsi="宋体" w:eastAsia="宋体" w:cs="宋体"/>
                <w:sz w:val="15"/>
                <w:szCs w:val="15"/>
                <w:lang w:val="en-US" w:eastAsia="zh-CN"/>
              </w:rPr>
              <w:t>1</w:t>
            </w:r>
          </w:p>
        </w:tc>
        <w:tc>
          <w:tcPr>
            <w:tcW w:w="3127" w:type="dxa"/>
            <w:shd w:val="clear" w:color="auto" w:fill="auto"/>
            <w:vAlign w:val="center"/>
          </w:tcPr>
          <w:p w14:paraId="3ACACA7D">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lang w:eastAsia="zh-CN"/>
              </w:rPr>
              <w:t>管理制度还需进一步完善，制度执行不到位。</w:t>
            </w:r>
          </w:p>
        </w:tc>
      </w:tr>
      <w:tr w14:paraId="45AAD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324" w:type="pct"/>
            <w:vMerge w:val="continue"/>
            <w:vAlign w:val="center"/>
          </w:tcPr>
          <w:p w14:paraId="18D4A935">
            <w:pPr>
              <w:overflowPunct/>
              <w:autoSpaceDE/>
              <w:autoSpaceDN/>
              <w:adjustRightInd/>
              <w:jc w:val="left"/>
              <w:rPr>
                <w:rFonts w:ascii="宋体" w:hAnsi="宋体" w:eastAsia="宋体" w:cs="Calibri"/>
                <w:sz w:val="15"/>
                <w:szCs w:val="15"/>
              </w:rPr>
            </w:pPr>
          </w:p>
        </w:tc>
        <w:tc>
          <w:tcPr>
            <w:tcW w:w="336" w:type="pct"/>
            <w:vMerge w:val="continue"/>
            <w:vAlign w:val="center"/>
          </w:tcPr>
          <w:p w14:paraId="0AC52143">
            <w:pPr>
              <w:overflowPunct/>
              <w:autoSpaceDE/>
              <w:autoSpaceDN/>
              <w:adjustRightInd/>
              <w:jc w:val="left"/>
              <w:rPr>
                <w:rFonts w:ascii="宋体" w:hAnsi="宋体" w:eastAsia="宋体" w:cs="Calibri"/>
                <w:sz w:val="15"/>
                <w:szCs w:val="15"/>
              </w:rPr>
            </w:pPr>
          </w:p>
        </w:tc>
        <w:tc>
          <w:tcPr>
            <w:tcW w:w="527" w:type="pct"/>
            <w:shd w:val="clear" w:color="auto" w:fill="auto"/>
            <w:vAlign w:val="center"/>
          </w:tcPr>
          <w:p w14:paraId="1AA70EFE">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2.政府采购规范性（2分）</w:t>
            </w:r>
          </w:p>
        </w:tc>
        <w:tc>
          <w:tcPr>
            <w:tcW w:w="240" w:type="pct"/>
            <w:shd w:val="clear" w:color="auto" w:fill="auto"/>
            <w:vAlign w:val="center"/>
          </w:tcPr>
          <w:p w14:paraId="0FA6002F">
            <w:pPr>
              <w:overflowPunct/>
              <w:autoSpaceDE/>
              <w:autoSpaceDN/>
              <w:adjustRightInd/>
              <w:jc w:val="center"/>
              <w:rPr>
                <w:rFonts w:ascii="宋体" w:hAnsi="宋体" w:eastAsia="宋体" w:cs="宋体"/>
                <w:sz w:val="18"/>
                <w:szCs w:val="18"/>
              </w:rPr>
            </w:pPr>
            <w:r>
              <w:rPr>
                <w:rFonts w:hint="eastAsia" w:ascii="宋体" w:hAnsi="宋体" w:eastAsia="宋体" w:cs="宋体"/>
                <w:sz w:val="18"/>
                <w:szCs w:val="18"/>
              </w:rPr>
              <w:t>2</w:t>
            </w:r>
          </w:p>
        </w:tc>
        <w:tc>
          <w:tcPr>
            <w:tcW w:w="671" w:type="pct"/>
            <w:shd w:val="clear" w:color="auto" w:fill="auto"/>
            <w:vAlign w:val="center"/>
          </w:tcPr>
          <w:p w14:paraId="79D07015">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考察政府采购项目的采购程序、采购方式的规范性</w:t>
            </w:r>
          </w:p>
        </w:tc>
        <w:tc>
          <w:tcPr>
            <w:tcW w:w="769" w:type="pct"/>
            <w:shd w:val="clear" w:color="auto" w:fill="auto"/>
            <w:vAlign w:val="center"/>
          </w:tcPr>
          <w:p w14:paraId="225A96C4">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①政府采购方式、程序都规范，得满分；②采购方式、程序中每有一点不规范，扣0.5分，扣完为止。</w:t>
            </w:r>
          </w:p>
        </w:tc>
        <w:tc>
          <w:tcPr>
            <w:tcW w:w="528" w:type="pct"/>
            <w:shd w:val="clear" w:color="auto" w:fill="auto"/>
            <w:vAlign w:val="center"/>
          </w:tcPr>
          <w:p w14:paraId="63067C1A">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政府采购相关资料</w:t>
            </w:r>
          </w:p>
        </w:tc>
        <w:tc>
          <w:tcPr>
            <w:tcW w:w="712" w:type="dxa"/>
            <w:shd w:val="clear" w:color="auto" w:fill="auto"/>
            <w:vAlign w:val="center"/>
          </w:tcPr>
          <w:p w14:paraId="68030653">
            <w:pPr>
              <w:overflowPunct/>
              <w:autoSpaceDE/>
              <w:autoSpaceDN/>
              <w:adjustRightInd/>
              <w:jc w:val="center"/>
              <w:rPr>
                <w:rFonts w:ascii="宋体" w:hAnsi="宋体" w:eastAsia="宋体" w:cs="宋体"/>
                <w:sz w:val="15"/>
                <w:szCs w:val="15"/>
              </w:rPr>
            </w:pPr>
            <w:r>
              <w:rPr>
                <w:rFonts w:hint="eastAsia" w:ascii="宋体" w:hAnsi="宋体" w:eastAsia="宋体" w:cs="宋体"/>
                <w:sz w:val="15"/>
                <w:szCs w:val="15"/>
                <w:lang w:val="en-US" w:eastAsia="zh-CN"/>
              </w:rPr>
              <w:t>2</w:t>
            </w:r>
          </w:p>
        </w:tc>
        <w:tc>
          <w:tcPr>
            <w:tcW w:w="712" w:type="dxa"/>
            <w:shd w:val="clear" w:color="auto" w:fill="auto"/>
            <w:vAlign w:val="center"/>
          </w:tcPr>
          <w:p w14:paraId="4F5FFD8A">
            <w:pPr>
              <w:overflowPunct/>
              <w:autoSpaceDE/>
              <w:autoSpaceDN/>
              <w:adjustRightInd/>
              <w:jc w:val="center"/>
              <w:rPr>
                <w:rFonts w:ascii="宋体" w:hAnsi="宋体" w:eastAsia="宋体" w:cs="宋体"/>
                <w:sz w:val="15"/>
                <w:szCs w:val="15"/>
              </w:rPr>
            </w:pPr>
          </w:p>
        </w:tc>
        <w:tc>
          <w:tcPr>
            <w:tcW w:w="3127" w:type="dxa"/>
            <w:shd w:val="clear" w:color="auto" w:fill="auto"/>
            <w:vAlign w:val="center"/>
          </w:tcPr>
          <w:p w14:paraId="6469433E">
            <w:pPr>
              <w:overflowPunct/>
              <w:autoSpaceDE/>
              <w:autoSpaceDN/>
              <w:adjustRightInd/>
              <w:jc w:val="left"/>
              <w:rPr>
                <w:rFonts w:ascii="宋体" w:hAnsi="宋体" w:eastAsia="宋体" w:cs="Calibri"/>
                <w:sz w:val="15"/>
                <w:szCs w:val="15"/>
              </w:rPr>
            </w:pPr>
          </w:p>
        </w:tc>
      </w:tr>
      <w:tr w14:paraId="25448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324" w:type="pct"/>
            <w:vMerge w:val="restart"/>
            <w:shd w:val="clear" w:color="auto" w:fill="auto"/>
            <w:vAlign w:val="center"/>
          </w:tcPr>
          <w:p w14:paraId="6FE2E120">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三、部门绩效（45分）</w:t>
            </w:r>
          </w:p>
        </w:tc>
        <w:tc>
          <w:tcPr>
            <w:tcW w:w="336" w:type="pct"/>
            <w:vMerge w:val="restart"/>
            <w:shd w:val="clear" w:color="auto" w:fill="auto"/>
            <w:vAlign w:val="center"/>
          </w:tcPr>
          <w:p w14:paraId="5B1D6728">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1.部门产出（25分）</w:t>
            </w:r>
          </w:p>
        </w:tc>
        <w:tc>
          <w:tcPr>
            <w:tcW w:w="527" w:type="pct"/>
            <w:shd w:val="clear" w:color="auto" w:fill="auto"/>
            <w:vAlign w:val="center"/>
          </w:tcPr>
          <w:p w14:paraId="28BF37E5">
            <w:pPr>
              <w:overflowPunct/>
              <w:autoSpaceDE/>
              <w:autoSpaceDN/>
              <w:adjustRightInd/>
              <w:jc w:val="center"/>
              <w:rPr>
                <w:rFonts w:ascii="宋体" w:hAnsi="宋体" w:eastAsia="宋体" w:cs="Calibri"/>
                <w:sz w:val="15"/>
                <w:szCs w:val="15"/>
              </w:rPr>
            </w:pPr>
            <w:r>
              <w:rPr>
                <w:rFonts w:hint="eastAsia" w:ascii="宋体" w:hAnsi="宋体" w:eastAsia="宋体" w:cs="Calibri"/>
                <w:sz w:val="15"/>
                <w:szCs w:val="15"/>
              </w:rPr>
              <w:t>1.实际完成率（7分）</w:t>
            </w:r>
          </w:p>
        </w:tc>
        <w:tc>
          <w:tcPr>
            <w:tcW w:w="240" w:type="pct"/>
            <w:shd w:val="clear" w:color="auto" w:fill="auto"/>
            <w:vAlign w:val="center"/>
          </w:tcPr>
          <w:p w14:paraId="7B85FB57">
            <w:pPr>
              <w:overflowPunct/>
              <w:autoSpaceDE/>
              <w:autoSpaceDN/>
              <w:adjustRightInd/>
              <w:jc w:val="center"/>
              <w:rPr>
                <w:rFonts w:ascii="宋体" w:hAnsi="宋体" w:eastAsia="宋体" w:cs="Calibri"/>
                <w:sz w:val="18"/>
                <w:szCs w:val="18"/>
              </w:rPr>
            </w:pPr>
            <w:r>
              <w:rPr>
                <w:rFonts w:hint="eastAsia" w:ascii="宋体" w:hAnsi="宋体" w:eastAsia="宋体" w:cs="Calibri"/>
                <w:sz w:val="18"/>
                <w:szCs w:val="18"/>
              </w:rPr>
              <w:t>7</w:t>
            </w:r>
          </w:p>
        </w:tc>
        <w:tc>
          <w:tcPr>
            <w:tcW w:w="671" w:type="pct"/>
            <w:shd w:val="clear" w:color="auto" w:fill="auto"/>
            <w:vAlign w:val="center"/>
          </w:tcPr>
          <w:p w14:paraId="40E2C1BE">
            <w:pPr>
              <w:overflowPunct/>
              <w:autoSpaceDE/>
              <w:autoSpaceDN/>
              <w:adjustRightInd/>
              <w:rPr>
                <w:rFonts w:ascii="宋体" w:hAnsi="宋体" w:eastAsia="宋体" w:cs="Calibri"/>
                <w:sz w:val="15"/>
                <w:szCs w:val="15"/>
              </w:rPr>
            </w:pPr>
            <w:r>
              <w:rPr>
                <w:rFonts w:hint="eastAsia" w:ascii="宋体" w:hAnsi="宋体" w:eastAsia="宋体" w:cs="Calibri"/>
                <w:sz w:val="15"/>
                <w:szCs w:val="15"/>
              </w:rPr>
              <w:t>部门履行职责而实际完成工作数与计划工作数的比率，用以反映和考核部门履职工作任务目标的实现程度。</w:t>
            </w:r>
          </w:p>
        </w:tc>
        <w:tc>
          <w:tcPr>
            <w:tcW w:w="769" w:type="pct"/>
            <w:shd w:val="clear" w:color="auto" w:fill="auto"/>
            <w:vAlign w:val="center"/>
          </w:tcPr>
          <w:p w14:paraId="5AF9F173">
            <w:pPr>
              <w:overflowPunct/>
              <w:autoSpaceDE/>
              <w:autoSpaceDN/>
              <w:adjustRightInd/>
              <w:rPr>
                <w:rFonts w:ascii="宋体" w:hAnsi="宋体" w:eastAsia="宋体" w:cs="Calibri"/>
                <w:sz w:val="15"/>
                <w:szCs w:val="15"/>
              </w:rPr>
            </w:pPr>
            <w:r>
              <w:rPr>
                <w:rFonts w:hint="eastAsia" w:ascii="宋体" w:hAnsi="宋体" w:eastAsia="宋体" w:cs="Calibri"/>
                <w:sz w:val="15"/>
                <w:szCs w:val="15"/>
              </w:rPr>
              <w:t>实际完成率得分=实际完成工作数/计划工作数×7分。全部完成计划目标为满分，每一项不达标扣2分；扣完为止。</w:t>
            </w:r>
          </w:p>
        </w:tc>
        <w:tc>
          <w:tcPr>
            <w:tcW w:w="528" w:type="pct"/>
            <w:shd w:val="clear" w:color="auto" w:fill="auto"/>
            <w:vAlign w:val="center"/>
          </w:tcPr>
          <w:p w14:paraId="3407A389">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工作计划和工作总结等相关资料</w:t>
            </w:r>
          </w:p>
        </w:tc>
        <w:tc>
          <w:tcPr>
            <w:tcW w:w="712" w:type="dxa"/>
            <w:shd w:val="clear" w:color="auto" w:fill="auto"/>
            <w:vAlign w:val="center"/>
          </w:tcPr>
          <w:p w14:paraId="5C333E23">
            <w:pPr>
              <w:overflowPunct/>
              <w:autoSpaceDE/>
              <w:autoSpaceDN/>
              <w:adjustRightInd/>
              <w:jc w:val="center"/>
              <w:rPr>
                <w:rFonts w:ascii="宋体" w:hAnsi="宋体" w:eastAsia="宋体" w:cs="Calibri"/>
                <w:sz w:val="15"/>
                <w:szCs w:val="15"/>
              </w:rPr>
            </w:pPr>
            <w:r>
              <w:rPr>
                <w:rFonts w:hint="eastAsia" w:ascii="宋体" w:hAnsi="宋体" w:eastAsia="宋体" w:cs="Calibri"/>
                <w:sz w:val="15"/>
                <w:szCs w:val="15"/>
                <w:lang w:val="en-US" w:eastAsia="zh-CN"/>
              </w:rPr>
              <w:t>7</w:t>
            </w:r>
          </w:p>
        </w:tc>
        <w:tc>
          <w:tcPr>
            <w:tcW w:w="712" w:type="dxa"/>
            <w:shd w:val="clear" w:color="auto" w:fill="auto"/>
            <w:vAlign w:val="center"/>
          </w:tcPr>
          <w:p w14:paraId="383DBBDF">
            <w:pPr>
              <w:overflowPunct/>
              <w:autoSpaceDE/>
              <w:autoSpaceDN/>
              <w:adjustRightInd/>
              <w:jc w:val="center"/>
              <w:rPr>
                <w:rFonts w:ascii="宋体" w:hAnsi="宋体" w:eastAsia="宋体" w:cs="Calibri"/>
                <w:sz w:val="15"/>
                <w:szCs w:val="15"/>
              </w:rPr>
            </w:pPr>
          </w:p>
        </w:tc>
        <w:tc>
          <w:tcPr>
            <w:tcW w:w="3127" w:type="dxa"/>
            <w:shd w:val="clear" w:color="auto" w:fill="auto"/>
            <w:vAlign w:val="center"/>
          </w:tcPr>
          <w:p w14:paraId="2B069307">
            <w:pPr>
              <w:overflowPunct/>
              <w:autoSpaceDE/>
              <w:autoSpaceDN/>
              <w:adjustRightInd/>
              <w:jc w:val="left"/>
              <w:rPr>
                <w:rFonts w:ascii="宋体" w:hAnsi="宋体" w:eastAsia="宋体" w:cs="Calibri"/>
                <w:sz w:val="15"/>
                <w:szCs w:val="15"/>
              </w:rPr>
            </w:pPr>
          </w:p>
        </w:tc>
      </w:tr>
      <w:tr w14:paraId="17CE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324" w:type="pct"/>
            <w:vMerge w:val="continue"/>
            <w:vAlign w:val="center"/>
          </w:tcPr>
          <w:p w14:paraId="77567803">
            <w:pPr>
              <w:overflowPunct/>
              <w:autoSpaceDE/>
              <w:autoSpaceDN/>
              <w:adjustRightInd/>
              <w:jc w:val="left"/>
              <w:rPr>
                <w:rFonts w:ascii="宋体" w:hAnsi="宋体" w:eastAsia="宋体" w:cs="Calibri"/>
                <w:sz w:val="15"/>
                <w:szCs w:val="15"/>
              </w:rPr>
            </w:pPr>
          </w:p>
        </w:tc>
        <w:tc>
          <w:tcPr>
            <w:tcW w:w="336" w:type="pct"/>
            <w:vMerge w:val="continue"/>
            <w:vAlign w:val="center"/>
          </w:tcPr>
          <w:p w14:paraId="38074CDE">
            <w:pPr>
              <w:overflowPunct/>
              <w:autoSpaceDE/>
              <w:autoSpaceDN/>
              <w:adjustRightInd/>
              <w:jc w:val="left"/>
              <w:rPr>
                <w:rFonts w:ascii="宋体" w:hAnsi="宋体" w:eastAsia="宋体" w:cs="Calibri"/>
                <w:sz w:val="15"/>
                <w:szCs w:val="15"/>
              </w:rPr>
            </w:pPr>
          </w:p>
        </w:tc>
        <w:tc>
          <w:tcPr>
            <w:tcW w:w="527" w:type="pct"/>
            <w:shd w:val="clear" w:color="auto" w:fill="auto"/>
            <w:vAlign w:val="center"/>
          </w:tcPr>
          <w:p w14:paraId="040457DD">
            <w:pPr>
              <w:overflowPunct/>
              <w:autoSpaceDE/>
              <w:autoSpaceDN/>
              <w:adjustRightInd/>
              <w:jc w:val="center"/>
              <w:rPr>
                <w:rFonts w:ascii="宋体" w:hAnsi="宋体" w:eastAsia="宋体" w:cs="Calibri"/>
                <w:sz w:val="15"/>
                <w:szCs w:val="15"/>
              </w:rPr>
            </w:pPr>
            <w:r>
              <w:rPr>
                <w:rFonts w:hint="eastAsia" w:ascii="宋体" w:hAnsi="宋体" w:eastAsia="宋体" w:cs="Calibri"/>
                <w:sz w:val="15"/>
                <w:szCs w:val="15"/>
              </w:rPr>
              <w:t>2.完成及时率（6分）</w:t>
            </w:r>
          </w:p>
        </w:tc>
        <w:tc>
          <w:tcPr>
            <w:tcW w:w="240" w:type="pct"/>
            <w:shd w:val="clear" w:color="auto" w:fill="auto"/>
            <w:vAlign w:val="center"/>
          </w:tcPr>
          <w:p w14:paraId="73794426">
            <w:pPr>
              <w:overflowPunct/>
              <w:autoSpaceDE/>
              <w:autoSpaceDN/>
              <w:adjustRightInd/>
              <w:jc w:val="center"/>
              <w:rPr>
                <w:rFonts w:ascii="宋体" w:hAnsi="宋体" w:eastAsia="宋体" w:cs="Calibri"/>
                <w:sz w:val="18"/>
                <w:szCs w:val="18"/>
              </w:rPr>
            </w:pPr>
            <w:r>
              <w:rPr>
                <w:rFonts w:hint="eastAsia" w:ascii="宋体" w:hAnsi="宋体" w:eastAsia="宋体" w:cs="Calibri"/>
                <w:sz w:val="18"/>
                <w:szCs w:val="18"/>
              </w:rPr>
              <w:t>6</w:t>
            </w:r>
          </w:p>
        </w:tc>
        <w:tc>
          <w:tcPr>
            <w:tcW w:w="671" w:type="pct"/>
            <w:shd w:val="clear" w:color="auto" w:fill="auto"/>
            <w:vAlign w:val="center"/>
          </w:tcPr>
          <w:p w14:paraId="5333BDDD">
            <w:pPr>
              <w:overflowPunct/>
              <w:autoSpaceDE/>
              <w:autoSpaceDN/>
              <w:adjustRightInd/>
              <w:rPr>
                <w:rFonts w:ascii="宋体" w:hAnsi="宋体" w:eastAsia="宋体" w:cs="Calibri"/>
                <w:sz w:val="15"/>
                <w:szCs w:val="15"/>
              </w:rPr>
            </w:pPr>
            <w:r>
              <w:rPr>
                <w:rFonts w:hint="eastAsia" w:ascii="宋体" w:hAnsi="宋体" w:eastAsia="宋体" w:cs="Calibri"/>
                <w:sz w:val="15"/>
                <w:szCs w:val="15"/>
              </w:rPr>
              <w:t>部门在规定时限内及时完成的实际工作数与计划工作数的比率,用以反映和考核部门履职时效目标的实现程度。</w:t>
            </w:r>
          </w:p>
        </w:tc>
        <w:tc>
          <w:tcPr>
            <w:tcW w:w="769" w:type="pct"/>
            <w:shd w:val="clear" w:color="auto" w:fill="auto"/>
            <w:vAlign w:val="center"/>
          </w:tcPr>
          <w:p w14:paraId="23D4484F">
            <w:pPr>
              <w:overflowPunct/>
              <w:autoSpaceDE/>
              <w:autoSpaceDN/>
              <w:adjustRightInd/>
              <w:rPr>
                <w:rFonts w:ascii="宋体" w:hAnsi="宋体" w:eastAsia="宋体" w:cs="Calibri"/>
                <w:sz w:val="15"/>
                <w:szCs w:val="15"/>
              </w:rPr>
            </w:pPr>
            <w:r>
              <w:rPr>
                <w:rFonts w:hint="eastAsia" w:ascii="宋体" w:hAnsi="宋体" w:eastAsia="宋体" w:cs="Calibri"/>
                <w:sz w:val="15"/>
                <w:szCs w:val="15"/>
              </w:rPr>
              <w:t>完成及时率=（及时完成实际工作数/计划工作数）×6分。扣完为止。</w:t>
            </w:r>
          </w:p>
        </w:tc>
        <w:tc>
          <w:tcPr>
            <w:tcW w:w="528" w:type="pct"/>
            <w:shd w:val="clear" w:color="auto" w:fill="auto"/>
            <w:vAlign w:val="center"/>
          </w:tcPr>
          <w:p w14:paraId="0738D8AE">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工作计划和工作总结等相关资料</w:t>
            </w:r>
          </w:p>
        </w:tc>
        <w:tc>
          <w:tcPr>
            <w:tcW w:w="712" w:type="dxa"/>
            <w:shd w:val="clear" w:color="auto" w:fill="auto"/>
            <w:vAlign w:val="center"/>
          </w:tcPr>
          <w:p w14:paraId="15445D34">
            <w:pPr>
              <w:overflowPunct/>
              <w:autoSpaceDE/>
              <w:autoSpaceDN/>
              <w:adjustRightInd/>
              <w:jc w:val="center"/>
              <w:rPr>
                <w:rFonts w:ascii="宋体" w:hAnsi="宋体" w:eastAsia="宋体" w:cs="Calibri"/>
                <w:sz w:val="15"/>
                <w:szCs w:val="15"/>
              </w:rPr>
            </w:pPr>
            <w:r>
              <w:rPr>
                <w:rFonts w:hint="eastAsia" w:ascii="宋体" w:hAnsi="宋体" w:eastAsia="宋体" w:cs="Calibri"/>
                <w:sz w:val="15"/>
                <w:szCs w:val="15"/>
                <w:lang w:val="en-US" w:eastAsia="zh-CN"/>
              </w:rPr>
              <w:t>6</w:t>
            </w:r>
          </w:p>
        </w:tc>
        <w:tc>
          <w:tcPr>
            <w:tcW w:w="712" w:type="dxa"/>
            <w:shd w:val="clear" w:color="auto" w:fill="auto"/>
            <w:vAlign w:val="center"/>
          </w:tcPr>
          <w:p w14:paraId="3011AF99">
            <w:pPr>
              <w:overflowPunct/>
              <w:autoSpaceDE/>
              <w:autoSpaceDN/>
              <w:adjustRightInd/>
              <w:jc w:val="center"/>
              <w:rPr>
                <w:rFonts w:ascii="宋体" w:hAnsi="宋体" w:eastAsia="宋体" w:cs="Calibri"/>
                <w:sz w:val="15"/>
                <w:szCs w:val="15"/>
              </w:rPr>
            </w:pPr>
          </w:p>
        </w:tc>
        <w:tc>
          <w:tcPr>
            <w:tcW w:w="3127" w:type="dxa"/>
            <w:shd w:val="clear" w:color="auto" w:fill="auto"/>
            <w:vAlign w:val="center"/>
          </w:tcPr>
          <w:p w14:paraId="6D21B2CF">
            <w:pPr>
              <w:overflowPunct/>
              <w:autoSpaceDE/>
              <w:autoSpaceDN/>
              <w:adjustRightInd/>
              <w:jc w:val="left"/>
              <w:rPr>
                <w:rFonts w:ascii="宋体" w:hAnsi="宋体" w:eastAsia="宋体" w:cs="Calibri"/>
                <w:sz w:val="15"/>
                <w:szCs w:val="15"/>
              </w:rPr>
            </w:pPr>
          </w:p>
        </w:tc>
      </w:tr>
      <w:tr w14:paraId="3375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324" w:type="pct"/>
            <w:vMerge w:val="continue"/>
            <w:vAlign w:val="center"/>
          </w:tcPr>
          <w:p w14:paraId="6E0C468D">
            <w:pPr>
              <w:overflowPunct/>
              <w:autoSpaceDE/>
              <w:autoSpaceDN/>
              <w:adjustRightInd/>
              <w:jc w:val="left"/>
              <w:rPr>
                <w:rFonts w:ascii="宋体" w:hAnsi="宋体" w:eastAsia="宋体" w:cs="Calibri"/>
                <w:sz w:val="15"/>
                <w:szCs w:val="15"/>
              </w:rPr>
            </w:pPr>
          </w:p>
        </w:tc>
        <w:tc>
          <w:tcPr>
            <w:tcW w:w="336" w:type="pct"/>
            <w:vMerge w:val="continue"/>
            <w:vAlign w:val="center"/>
          </w:tcPr>
          <w:p w14:paraId="22FF9F12">
            <w:pPr>
              <w:overflowPunct/>
              <w:autoSpaceDE/>
              <w:autoSpaceDN/>
              <w:adjustRightInd/>
              <w:jc w:val="left"/>
              <w:rPr>
                <w:rFonts w:ascii="宋体" w:hAnsi="宋体" w:eastAsia="宋体" w:cs="Calibri"/>
                <w:sz w:val="15"/>
                <w:szCs w:val="15"/>
              </w:rPr>
            </w:pPr>
          </w:p>
        </w:tc>
        <w:tc>
          <w:tcPr>
            <w:tcW w:w="527" w:type="pct"/>
            <w:shd w:val="clear" w:color="auto" w:fill="auto"/>
            <w:vAlign w:val="center"/>
          </w:tcPr>
          <w:p w14:paraId="1503AB69">
            <w:pPr>
              <w:overflowPunct/>
              <w:autoSpaceDE/>
              <w:autoSpaceDN/>
              <w:adjustRightInd/>
              <w:jc w:val="center"/>
              <w:rPr>
                <w:rFonts w:ascii="宋体" w:hAnsi="宋体" w:eastAsia="宋体" w:cs="Calibri"/>
                <w:sz w:val="15"/>
                <w:szCs w:val="15"/>
              </w:rPr>
            </w:pPr>
            <w:r>
              <w:rPr>
                <w:rFonts w:hint="eastAsia" w:ascii="宋体" w:hAnsi="宋体" w:eastAsia="宋体" w:cs="Calibri"/>
                <w:sz w:val="15"/>
                <w:szCs w:val="15"/>
              </w:rPr>
              <w:t>4.质量达标率（6分）</w:t>
            </w:r>
          </w:p>
        </w:tc>
        <w:tc>
          <w:tcPr>
            <w:tcW w:w="240" w:type="pct"/>
            <w:shd w:val="clear" w:color="auto" w:fill="auto"/>
            <w:vAlign w:val="center"/>
          </w:tcPr>
          <w:p w14:paraId="2D900087">
            <w:pPr>
              <w:overflowPunct/>
              <w:autoSpaceDE/>
              <w:autoSpaceDN/>
              <w:adjustRightInd/>
              <w:jc w:val="center"/>
              <w:rPr>
                <w:rFonts w:ascii="宋体" w:hAnsi="宋体" w:eastAsia="宋体" w:cs="Calibri"/>
                <w:sz w:val="18"/>
                <w:szCs w:val="18"/>
              </w:rPr>
            </w:pPr>
            <w:r>
              <w:rPr>
                <w:rFonts w:hint="eastAsia" w:ascii="宋体" w:hAnsi="宋体" w:eastAsia="宋体" w:cs="Calibri"/>
                <w:sz w:val="18"/>
                <w:szCs w:val="18"/>
              </w:rPr>
              <w:t>6</w:t>
            </w:r>
          </w:p>
        </w:tc>
        <w:tc>
          <w:tcPr>
            <w:tcW w:w="671" w:type="pct"/>
            <w:shd w:val="clear" w:color="auto" w:fill="auto"/>
            <w:vAlign w:val="center"/>
          </w:tcPr>
          <w:p w14:paraId="212B642E">
            <w:pPr>
              <w:overflowPunct/>
              <w:autoSpaceDE/>
              <w:autoSpaceDN/>
              <w:adjustRightInd/>
              <w:rPr>
                <w:rFonts w:ascii="宋体" w:hAnsi="宋体" w:eastAsia="宋体" w:cs="Calibri"/>
                <w:sz w:val="15"/>
                <w:szCs w:val="15"/>
              </w:rPr>
            </w:pPr>
            <w:r>
              <w:rPr>
                <w:rFonts w:hint="eastAsia" w:ascii="宋体" w:hAnsi="宋体" w:eastAsia="宋体" w:cs="Calibri"/>
                <w:sz w:val="15"/>
                <w:szCs w:val="15"/>
              </w:rPr>
              <w:t>达到质量标准（绩效标准值）的实际工作数与计划工作数的比率,用以反映和考核部门履职质量目标的实现程度。</w:t>
            </w:r>
          </w:p>
        </w:tc>
        <w:tc>
          <w:tcPr>
            <w:tcW w:w="769" w:type="pct"/>
            <w:shd w:val="clear" w:color="auto" w:fill="auto"/>
            <w:vAlign w:val="center"/>
          </w:tcPr>
          <w:p w14:paraId="03636F76">
            <w:pPr>
              <w:overflowPunct/>
              <w:autoSpaceDE/>
              <w:autoSpaceDN/>
              <w:adjustRightInd/>
              <w:rPr>
                <w:rFonts w:ascii="宋体" w:hAnsi="宋体" w:eastAsia="宋体" w:cs="Calibri"/>
                <w:sz w:val="15"/>
                <w:szCs w:val="15"/>
              </w:rPr>
            </w:pPr>
            <w:r>
              <w:rPr>
                <w:rFonts w:hint="eastAsia" w:ascii="宋体" w:hAnsi="宋体" w:eastAsia="宋体" w:cs="Calibri"/>
                <w:sz w:val="15"/>
                <w:szCs w:val="15"/>
              </w:rPr>
              <w:t>质量达标率=（质量达标实际工作数/计划工作数）×100%。实际得分=达标率×6分。</w:t>
            </w:r>
          </w:p>
        </w:tc>
        <w:tc>
          <w:tcPr>
            <w:tcW w:w="528" w:type="pct"/>
            <w:shd w:val="clear" w:color="auto" w:fill="auto"/>
            <w:vAlign w:val="center"/>
          </w:tcPr>
          <w:p w14:paraId="0D81FBFA">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工作计划和工作总结等相关资料</w:t>
            </w:r>
          </w:p>
        </w:tc>
        <w:tc>
          <w:tcPr>
            <w:tcW w:w="712" w:type="dxa"/>
            <w:shd w:val="clear" w:color="auto" w:fill="auto"/>
            <w:vAlign w:val="center"/>
          </w:tcPr>
          <w:p w14:paraId="545B1DC6">
            <w:pPr>
              <w:overflowPunct/>
              <w:autoSpaceDE/>
              <w:autoSpaceDN/>
              <w:adjustRightInd/>
              <w:jc w:val="center"/>
              <w:rPr>
                <w:rFonts w:ascii="宋体" w:hAnsi="宋体" w:eastAsia="宋体" w:cs="Calibri"/>
                <w:sz w:val="15"/>
                <w:szCs w:val="15"/>
              </w:rPr>
            </w:pPr>
            <w:r>
              <w:rPr>
                <w:rFonts w:hint="eastAsia" w:ascii="宋体" w:hAnsi="宋体" w:eastAsia="宋体" w:cs="Calibri"/>
                <w:sz w:val="15"/>
                <w:szCs w:val="15"/>
                <w:lang w:val="en-US" w:eastAsia="zh-CN"/>
              </w:rPr>
              <w:t>5</w:t>
            </w:r>
          </w:p>
        </w:tc>
        <w:tc>
          <w:tcPr>
            <w:tcW w:w="712" w:type="dxa"/>
            <w:shd w:val="clear" w:color="auto" w:fill="auto"/>
            <w:vAlign w:val="center"/>
          </w:tcPr>
          <w:p w14:paraId="1583B13B">
            <w:pPr>
              <w:overflowPunct/>
              <w:autoSpaceDE/>
              <w:autoSpaceDN/>
              <w:adjustRightInd/>
              <w:jc w:val="center"/>
              <w:rPr>
                <w:rFonts w:ascii="宋体" w:hAnsi="宋体" w:eastAsia="宋体" w:cs="Calibri"/>
                <w:sz w:val="15"/>
                <w:szCs w:val="15"/>
              </w:rPr>
            </w:pPr>
            <w:r>
              <w:rPr>
                <w:rFonts w:hint="eastAsia" w:ascii="宋体" w:hAnsi="宋体" w:eastAsia="宋体" w:cs="Calibri"/>
                <w:sz w:val="15"/>
                <w:szCs w:val="15"/>
                <w:lang w:val="en-US" w:eastAsia="zh-CN"/>
              </w:rPr>
              <w:t>1</w:t>
            </w:r>
          </w:p>
        </w:tc>
        <w:tc>
          <w:tcPr>
            <w:tcW w:w="3127" w:type="dxa"/>
            <w:shd w:val="clear" w:color="auto" w:fill="auto"/>
            <w:vAlign w:val="center"/>
          </w:tcPr>
          <w:p w14:paraId="437245BC">
            <w:pPr>
              <w:overflowPunct/>
              <w:autoSpaceDE/>
              <w:autoSpaceDN/>
              <w:adjustRightInd/>
              <w:jc w:val="left"/>
              <w:rPr>
                <w:rFonts w:ascii="宋体" w:hAnsi="宋体" w:eastAsia="宋体" w:cs="Calibri"/>
                <w:sz w:val="15"/>
                <w:szCs w:val="15"/>
              </w:rPr>
            </w:pPr>
          </w:p>
        </w:tc>
      </w:tr>
      <w:tr w14:paraId="0BE7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324" w:type="pct"/>
            <w:vMerge w:val="continue"/>
            <w:vAlign w:val="center"/>
          </w:tcPr>
          <w:p w14:paraId="50BA7B28">
            <w:pPr>
              <w:overflowPunct/>
              <w:autoSpaceDE/>
              <w:autoSpaceDN/>
              <w:adjustRightInd/>
              <w:jc w:val="left"/>
              <w:rPr>
                <w:rFonts w:ascii="宋体" w:hAnsi="宋体" w:eastAsia="宋体" w:cs="Calibri"/>
                <w:sz w:val="15"/>
                <w:szCs w:val="15"/>
              </w:rPr>
            </w:pPr>
          </w:p>
        </w:tc>
        <w:tc>
          <w:tcPr>
            <w:tcW w:w="336" w:type="pct"/>
            <w:vMerge w:val="continue"/>
            <w:vAlign w:val="center"/>
          </w:tcPr>
          <w:p w14:paraId="22ABDEF1">
            <w:pPr>
              <w:overflowPunct/>
              <w:autoSpaceDE/>
              <w:autoSpaceDN/>
              <w:adjustRightInd/>
              <w:jc w:val="left"/>
              <w:rPr>
                <w:rFonts w:ascii="宋体" w:hAnsi="宋体" w:eastAsia="宋体" w:cs="Calibri"/>
                <w:sz w:val="15"/>
                <w:szCs w:val="15"/>
              </w:rPr>
            </w:pPr>
          </w:p>
        </w:tc>
        <w:tc>
          <w:tcPr>
            <w:tcW w:w="527" w:type="pct"/>
            <w:shd w:val="clear" w:color="auto" w:fill="auto"/>
            <w:vAlign w:val="center"/>
          </w:tcPr>
          <w:p w14:paraId="10BEC873">
            <w:pPr>
              <w:overflowPunct/>
              <w:autoSpaceDE/>
              <w:autoSpaceDN/>
              <w:adjustRightInd/>
              <w:jc w:val="center"/>
              <w:rPr>
                <w:rFonts w:ascii="宋体" w:hAnsi="宋体" w:eastAsia="宋体" w:cs="Calibri"/>
                <w:sz w:val="15"/>
                <w:szCs w:val="15"/>
              </w:rPr>
            </w:pPr>
            <w:r>
              <w:rPr>
                <w:rFonts w:hint="eastAsia" w:ascii="宋体" w:hAnsi="宋体" w:eastAsia="宋体" w:cs="Calibri"/>
                <w:sz w:val="15"/>
                <w:szCs w:val="15"/>
              </w:rPr>
              <w:t>5.重点工作办结率（6分）</w:t>
            </w:r>
          </w:p>
        </w:tc>
        <w:tc>
          <w:tcPr>
            <w:tcW w:w="240" w:type="pct"/>
            <w:shd w:val="clear" w:color="auto" w:fill="auto"/>
            <w:vAlign w:val="center"/>
          </w:tcPr>
          <w:p w14:paraId="1CD3D703">
            <w:pPr>
              <w:overflowPunct/>
              <w:autoSpaceDE/>
              <w:autoSpaceDN/>
              <w:adjustRightInd/>
              <w:jc w:val="center"/>
              <w:rPr>
                <w:rFonts w:ascii="宋体" w:hAnsi="宋体" w:eastAsia="宋体" w:cs="Calibri"/>
                <w:sz w:val="18"/>
                <w:szCs w:val="18"/>
              </w:rPr>
            </w:pPr>
            <w:r>
              <w:rPr>
                <w:rFonts w:hint="eastAsia" w:ascii="宋体" w:hAnsi="宋体" w:eastAsia="宋体" w:cs="Calibri"/>
                <w:sz w:val="18"/>
                <w:szCs w:val="18"/>
              </w:rPr>
              <w:t>6</w:t>
            </w:r>
          </w:p>
        </w:tc>
        <w:tc>
          <w:tcPr>
            <w:tcW w:w="671" w:type="pct"/>
            <w:shd w:val="clear" w:color="auto" w:fill="auto"/>
            <w:vAlign w:val="center"/>
          </w:tcPr>
          <w:p w14:paraId="0E648662">
            <w:pPr>
              <w:overflowPunct/>
              <w:autoSpaceDE/>
              <w:autoSpaceDN/>
              <w:adjustRightInd/>
              <w:rPr>
                <w:rFonts w:ascii="宋体" w:hAnsi="宋体" w:eastAsia="宋体" w:cs="Calibri"/>
                <w:sz w:val="15"/>
                <w:szCs w:val="15"/>
              </w:rPr>
            </w:pPr>
            <w:r>
              <w:rPr>
                <w:rFonts w:hint="eastAsia" w:ascii="宋体" w:hAnsi="宋体" w:eastAsia="宋体" w:cs="Calibri"/>
                <w:sz w:val="15"/>
                <w:szCs w:val="15"/>
              </w:rPr>
              <w:t>部门年度重点工作实际完成数与交办或下达数的比率，用以反映部门对重点工作的办理落实程度。</w:t>
            </w:r>
          </w:p>
        </w:tc>
        <w:tc>
          <w:tcPr>
            <w:tcW w:w="769" w:type="pct"/>
            <w:shd w:val="clear" w:color="auto" w:fill="auto"/>
            <w:vAlign w:val="center"/>
          </w:tcPr>
          <w:p w14:paraId="37F92083">
            <w:pPr>
              <w:overflowPunct/>
              <w:autoSpaceDE/>
              <w:autoSpaceDN/>
              <w:adjustRightInd/>
              <w:rPr>
                <w:rFonts w:ascii="宋体" w:hAnsi="宋体" w:eastAsia="宋体" w:cs="Calibri"/>
                <w:sz w:val="15"/>
                <w:szCs w:val="15"/>
              </w:rPr>
            </w:pPr>
            <w:r>
              <w:rPr>
                <w:rFonts w:hint="eastAsia" w:ascii="宋体" w:hAnsi="宋体" w:eastAsia="宋体" w:cs="Calibri"/>
                <w:sz w:val="15"/>
                <w:szCs w:val="15"/>
              </w:rPr>
              <w:t>重点工作办结率=（重点工作实际完成数/交办或下达数）×100%。实际得分=办结率×6分。</w:t>
            </w:r>
          </w:p>
        </w:tc>
        <w:tc>
          <w:tcPr>
            <w:tcW w:w="528" w:type="pct"/>
            <w:shd w:val="clear" w:color="auto" w:fill="auto"/>
            <w:vAlign w:val="center"/>
          </w:tcPr>
          <w:p w14:paraId="18BF4A0E">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工作计划和工作总结等相关资料</w:t>
            </w:r>
          </w:p>
        </w:tc>
        <w:tc>
          <w:tcPr>
            <w:tcW w:w="712" w:type="dxa"/>
            <w:shd w:val="clear" w:color="auto" w:fill="auto"/>
            <w:vAlign w:val="center"/>
          </w:tcPr>
          <w:p w14:paraId="1BDF1FC3">
            <w:pPr>
              <w:overflowPunct/>
              <w:autoSpaceDE/>
              <w:autoSpaceDN/>
              <w:adjustRightInd/>
              <w:jc w:val="center"/>
              <w:rPr>
                <w:rFonts w:ascii="宋体" w:hAnsi="宋体" w:eastAsia="宋体" w:cs="Calibri"/>
                <w:sz w:val="15"/>
                <w:szCs w:val="15"/>
              </w:rPr>
            </w:pPr>
            <w:r>
              <w:rPr>
                <w:rFonts w:hint="eastAsia" w:ascii="宋体" w:hAnsi="宋体" w:eastAsia="宋体" w:cs="Calibri"/>
                <w:sz w:val="15"/>
                <w:szCs w:val="15"/>
                <w:lang w:val="en-US" w:eastAsia="zh-CN"/>
              </w:rPr>
              <w:t>6</w:t>
            </w:r>
          </w:p>
        </w:tc>
        <w:tc>
          <w:tcPr>
            <w:tcW w:w="712" w:type="dxa"/>
            <w:shd w:val="clear" w:color="auto" w:fill="auto"/>
            <w:vAlign w:val="center"/>
          </w:tcPr>
          <w:p w14:paraId="1D55518A">
            <w:pPr>
              <w:overflowPunct/>
              <w:autoSpaceDE/>
              <w:autoSpaceDN/>
              <w:adjustRightInd/>
              <w:jc w:val="center"/>
              <w:rPr>
                <w:rFonts w:ascii="宋体" w:hAnsi="宋体" w:eastAsia="宋体" w:cs="Calibri"/>
                <w:sz w:val="15"/>
                <w:szCs w:val="15"/>
              </w:rPr>
            </w:pPr>
          </w:p>
        </w:tc>
        <w:tc>
          <w:tcPr>
            <w:tcW w:w="3127" w:type="dxa"/>
            <w:shd w:val="clear" w:color="auto" w:fill="auto"/>
            <w:vAlign w:val="center"/>
          </w:tcPr>
          <w:p w14:paraId="5F2622F5">
            <w:pPr>
              <w:overflowPunct/>
              <w:autoSpaceDE/>
              <w:autoSpaceDN/>
              <w:adjustRightInd/>
              <w:jc w:val="left"/>
              <w:rPr>
                <w:rFonts w:ascii="宋体" w:hAnsi="宋体" w:eastAsia="宋体" w:cs="Calibri"/>
                <w:sz w:val="15"/>
                <w:szCs w:val="15"/>
              </w:rPr>
            </w:pPr>
          </w:p>
        </w:tc>
      </w:tr>
      <w:tr w14:paraId="681D4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24" w:type="pct"/>
            <w:vMerge w:val="continue"/>
            <w:vAlign w:val="center"/>
          </w:tcPr>
          <w:p w14:paraId="520DE535">
            <w:pPr>
              <w:overflowPunct/>
              <w:autoSpaceDE/>
              <w:autoSpaceDN/>
              <w:adjustRightInd/>
              <w:jc w:val="left"/>
              <w:rPr>
                <w:rFonts w:ascii="宋体" w:hAnsi="宋体" w:eastAsia="宋体" w:cs="Calibri"/>
                <w:sz w:val="15"/>
                <w:szCs w:val="15"/>
              </w:rPr>
            </w:pPr>
          </w:p>
        </w:tc>
        <w:tc>
          <w:tcPr>
            <w:tcW w:w="336" w:type="pct"/>
            <w:vMerge w:val="restart"/>
            <w:shd w:val="clear" w:color="auto" w:fill="auto"/>
            <w:vAlign w:val="center"/>
          </w:tcPr>
          <w:p w14:paraId="14E328A3">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2.部门效果（20分）</w:t>
            </w:r>
          </w:p>
        </w:tc>
        <w:tc>
          <w:tcPr>
            <w:tcW w:w="527" w:type="pct"/>
            <w:shd w:val="clear" w:color="auto" w:fill="auto"/>
            <w:vAlign w:val="center"/>
          </w:tcPr>
          <w:p w14:paraId="6D026A82">
            <w:pPr>
              <w:overflowPunct/>
              <w:autoSpaceDE/>
              <w:autoSpaceDN/>
              <w:adjustRightInd/>
              <w:jc w:val="center"/>
              <w:rPr>
                <w:rFonts w:ascii="宋体" w:hAnsi="宋体" w:eastAsia="宋体" w:cs="Calibri"/>
                <w:sz w:val="15"/>
                <w:szCs w:val="15"/>
              </w:rPr>
            </w:pPr>
            <w:r>
              <w:rPr>
                <w:rFonts w:hint="eastAsia" w:ascii="宋体" w:hAnsi="宋体" w:eastAsia="宋体" w:cs="Calibri"/>
                <w:sz w:val="15"/>
                <w:szCs w:val="15"/>
              </w:rPr>
              <w:t>1.经济效益（3分）</w:t>
            </w:r>
          </w:p>
        </w:tc>
        <w:tc>
          <w:tcPr>
            <w:tcW w:w="240" w:type="pct"/>
            <w:shd w:val="clear" w:color="auto" w:fill="auto"/>
            <w:vAlign w:val="center"/>
          </w:tcPr>
          <w:p w14:paraId="62696BA5">
            <w:pPr>
              <w:overflowPunct/>
              <w:autoSpaceDE/>
              <w:autoSpaceDN/>
              <w:adjustRightInd/>
              <w:jc w:val="center"/>
              <w:rPr>
                <w:rFonts w:ascii="宋体" w:hAnsi="宋体" w:eastAsia="宋体" w:cs="Calibri"/>
                <w:sz w:val="18"/>
                <w:szCs w:val="18"/>
              </w:rPr>
            </w:pPr>
            <w:r>
              <w:rPr>
                <w:rFonts w:hint="eastAsia" w:ascii="宋体" w:hAnsi="宋体" w:eastAsia="宋体" w:cs="Calibri"/>
                <w:sz w:val="18"/>
                <w:szCs w:val="18"/>
              </w:rPr>
              <w:t>3</w:t>
            </w:r>
          </w:p>
        </w:tc>
        <w:tc>
          <w:tcPr>
            <w:tcW w:w="671" w:type="pct"/>
            <w:shd w:val="clear" w:color="auto" w:fill="auto"/>
            <w:vAlign w:val="center"/>
          </w:tcPr>
          <w:p w14:paraId="386E4F4E">
            <w:pPr>
              <w:overflowPunct/>
              <w:autoSpaceDE/>
              <w:autoSpaceDN/>
              <w:adjustRightInd/>
              <w:rPr>
                <w:rFonts w:ascii="宋体" w:hAnsi="宋体" w:eastAsia="宋体" w:cs="Calibri"/>
                <w:sz w:val="15"/>
                <w:szCs w:val="15"/>
              </w:rPr>
            </w:pPr>
            <w:r>
              <w:rPr>
                <w:rFonts w:hint="eastAsia" w:ascii="宋体" w:hAnsi="宋体" w:eastAsia="宋体" w:cs="Calibri"/>
                <w:sz w:val="15"/>
                <w:szCs w:val="15"/>
              </w:rPr>
              <w:t>部门履行职责对经济发展所带来的直接或间接影响。</w:t>
            </w:r>
          </w:p>
        </w:tc>
        <w:tc>
          <w:tcPr>
            <w:tcW w:w="769" w:type="pct"/>
            <w:shd w:val="clear" w:color="auto" w:fill="auto"/>
            <w:vAlign w:val="center"/>
          </w:tcPr>
          <w:p w14:paraId="26F68970">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部门履行职责对经济发展所带来的直接或间接影响，经济效益实现程度较直接影响较大得分（3分）。</w:t>
            </w:r>
          </w:p>
        </w:tc>
        <w:tc>
          <w:tcPr>
            <w:tcW w:w="528" w:type="pct"/>
            <w:shd w:val="clear" w:color="auto" w:fill="auto"/>
            <w:vAlign w:val="center"/>
          </w:tcPr>
          <w:p w14:paraId="5CB25FBF">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绩效目标、工作计划和工作总结等相关资料。</w:t>
            </w:r>
          </w:p>
        </w:tc>
        <w:tc>
          <w:tcPr>
            <w:tcW w:w="712" w:type="dxa"/>
            <w:shd w:val="clear" w:color="auto" w:fill="auto"/>
            <w:vAlign w:val="center"/>
          </w:tcPr>
          <w:p w14:paraId="5D6285ED">
            <w:pPr>
              <w:overflowPunct/>
              <w:autoSpaceDE/>
              <w:autoSpaceDN/>
              <w:adjustRightInd/>
              <w:jc w:val="center"/>
              <w:rPr>
                <w:rFonts w:ascii="宋体" w:hAnsi="宋体" w:eastAsia="宋体" w:cs="Calibri"/>
                <w:sz w:val="15"/>
                <w:szCs w:val="15"/>
              </w:rPr>
            </w:pPr>
            <w:r>
              <w:rPr>
                <w:rFonts w:hint="eastAsia" w:ascii="宋体" w:hAnsi="宋体" w:eastAsia="宋体" w:cs="Calibri"/>
                <w:sz w:val="15"/>
                <w:szCs w:val="15"/>
                <w:lang w:val="en-US" w:eastAsia="zh-CN"/>
              </w:rPr>
              <w:t>3</w:t>
            </w:r>
          </w:p>
        </w:tc>
        <w:tc>
          <w:tcPr>
            <w:tcW w:w="712" w:type="dxa"/>
            <w:shd w:val="clear" w:color="auto" w:fill="auto"/>
            <w:vAlign w:val="center"/>
          </w:tcPr>
          <w:p w14:paraId="27B4AFDC">
            <w:pPr>
              <w:overflowPunct/>
              <w:autoSpaceDE/>
              <w:autoSpaceDN/>
              <w:adjustRightInd/>
              <w:jc w:val="center"/>
              <w:rPr>
                <w:rFonts w:ascii="宋体" w:hAnsi="宋体" w:eastAsia="宋体" w:cs="Calibri"/>
                <w:sz w:val="15"/>
                <w:szCs w:val="15"/>
              </w:rPr>
            </w:pPr>
          </w:p>
        </w:tc>
        <w:tc>
          <w:tcPr>
            <w:tcW w:w="3127" w:type="dxa"/>
            <w:shd w:val="clear" w:color="auto" w:fill="auto"/>
            <w:vAlign w:val="center"/>
          </w:tcPr>
          <w:p w14:paraId="76125DB7">
            <w:pPr>
              <w:overflowPunct/>
              <w:autoSpaceDE/>
              <w:autoSpaceDN/>
              <w:adjustRightInd/>
              <w:jc w:val="left"/>
              <w:rPr>
                <w:rFonts w:ascii="宋体" w:hAnsi="宋体" w:eastAsia="宋体" w:cs="Calibri"/>
                <w:sz w:val="15"/>
                <w:szCs w:val="15"/>
              </w:rPr>
            </w:pPr>
          </w:p>
        </w:tc>
      </w:tr>
      <w:tr w14:paraId="7F80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24" w:type="pct"/>
            <w:vMerge w:val="continue"/>
            <w:vAlign w:val="center"/>
          </w:tcPr>
          <w:p w14:paraId="3CDB3C80">
            <w:pPr>
              <w:overflowPunct/>
              <w:autoSpaceDE/>
              <w:autoSpaceDN/>
              <w:adjustRightInd/>
              <w:jc w:val="left"/>
              <w:rPr>
                <w:rFonts w:ascii="宋体" w:hAnsi="宋体" w:eastAsia="宋体" w:cs="Calibri"/>
                <w:sz w:val="15"/>
                <w:szCs w:val="15"/>
              </w:rPr>
            </w:pPr>
          </w:p>
        </w:tc>
        <w:tc>
          <w:tcPr>
            <w:tcW w:w="336" w:type="pct"/>
            <w:vMerge w:val="continue"/>
            <w:vAlign w:val="center"/>
          </w:tcPr>
          <w:p w14:paraId="0AB6C2D7">
            <w:pPr>
              <w:overflowPunct/>
              <w:autoSpaceDE/>
              <w:autoSpaceDN/>
              <w:adjustRightInd/>
              <w:jc w:val="left"/>
              <w:rPr>
                <w:rFonts w:ascii="宋体" w:hAnsi="宋体" w:eastAsia="宋体" w:cs="Calibri"/>
                <w:sz w:val="15"/>
                <w:szCs w:val="15"/>
              </w:rPr>
            </w:pPr>
          </w:p>
        </w:tc>
        <w:tc>
          <w:tcPr>
            <w:tcW w:w="527" w:type="pct"/>
            <w:shd w:val="clear" w:color="auto" w:fill="auto"/>
            <w:vAlign w:val="center"/>
          </w:tcPr>
          <w:p w14:paraId="2083965C">
            <w:pPr>
              <w:overflowPunct/>
              <w:autoSpaceDE/>
              <w:autoSpaceDN/>
              <w:adjustRightInd/>
              <w:jc w:val="center"/>
              <w:rPr>
                <w:rFonts w:ascii="宋体" w:hAnsi="宋体" w:eastAsia="宋体" w:cs="Calibri"/>
                <w:sz w:val="15"/>
                <w:szCs w:val="15"/>
              </w:rPr>
            </w:pPr>
            <w:r>
              <w:rPr>
                <w:rFonts w:hint="eastAsia" w:ascii="宋体" w:hAnsi="宋体" w:eastAsia="宋体" w:cs="Calibri"/>
                <w:sz w:val="15"/>
                <w:szCs w:val="15"/>
              </w:rPr>
              <w:t>2.社会效益（10分）</w:t>
            </w:r>
          </w:p>
        </w:tc>
        <w:tc>
          <w:tcPr>
            <w:tcW w:w="240" w:type="pct"/>
            <w:shd w:val="clear" w:color="auto" w:fill="auto"/>
            <w:vAlign w:val="center"/>
          </w:tcPr>
          <w:p w14:paraId="3BFEF5FE">
            <w:pPr>
              <w:overflowPunct/>
              <w:autoSpaceDE/>
              <w:autoSpaceDN/>
              <w:adjustRightInd/>
              <w:jc w:val="center"/>
              <w:rPr>
                <w:rFonts w:ascii="宋体" w:hAnsi="宋体" w:eastAsia="宋体" w:cs="Calibri"/>
                <w:sz w:val="18"/>
                <w:szCs w:val="18"/>
              </w:rPr>
            </w:pPr>
            <w:r>
              <w:rPr>
                <w:rFonts w:hint="eastAsia" w:ascii="宋体" w:hAnsi="宋体" w:eastAsia="宋体" w:cs="Calibri"/>
                <w:sz w:val="18"/>
                <w:szCs w:val="18"/>
              </w:rPr>
              <w:t>10</w:t>
            </w:r>
          </w:p>
        </w:tc>
        <w:tc>
          <w:tcPr>
            <w:tcW w:w="671" w:type="pct"/>
            <w:shd w:val="clear" w:color="auto" w:fill="auto"/>
            <w:vAlign w:val="center"/>
          </w:tcPr>
          <w:p w14:paraId="40238FCE">
            <w:pPr>
              <w:overflowPunct/>
              <w:autoSpaceDE/>
              <w:autoSpaceDN/>
              <w:adjustRightInd/>
              <w:rPr>
                <w:rFonts w:ascii="宋体" w:hAnsi="宋体" w:eastAsia="宋体" w:cs="Calibri"/>
                <w:sz w:val="15"/>
                <w:szCs w:val="15"/>
              </w:rPr>
            </w:pPr>
            <w:r>
              <w:rPr>
                <w:rFonts w:hint="eastAsia" w:ascii="宋体" w:hAnsi="宋体" w:eastAsia="宋体" w:cs="Calibri"/>
                <w:sz w:val="15"/>
                <w:szCs w:val="15"/>
              </w:rPr>
              <w:t>部门履行职责对社会发展所带来的直接或间接影响。</w:t>
            </w:r>
          </w:p>
        </w:tc>
        <w:tc>
          <w:tcPr>
            <w:tcW w:w="769" w:type="pct"/>
            <w:shd w:val="clear" w:color="auto" w:fill="auto"/>
            <w:vAlign w:val="center"/>
          </w:tcPr>
          <w:p w14:paraId="559CC926">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部门履行职责对社会发展所带来的直接或间接影响，社会效益实现程度较直接影响较大得分（10分）；</w:t>
            </w:r>
          </w:p>
        </w:tc>
        <w:tc>
          <w:tcPr>
            <w:tcW w:w="528" w:type="pct"/>
            <w:shd w:val="clear" w:color="auto" w:fill="auto"/>
            <w:vAlign w:val="center"/>
          </w:tcPr>
          <w:p w14:paraId="178537CB">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绩效目标、工作计划和工作总结等相关资料。</w:t>
            </w:r>
          </w:p>
        </w:tc>
        <w:tc>
          <w:tcPr>
            <w:tcW w:w="712" w:type="dxa"/>
            <w:shd w:val="clear" w:color="auto" w:fill="auto"/>
            <w:vAlign w:val="center"/>
          </w:tcPr>
          <w:p w14:paraId="3AD173CD">
            <w:pPr>
              <w:overflowPunct/>
              <w:autoSpaceDE/>
              <w:autoSpaceDN/>
              <w:adjustRightInd/>
              <w:jc w:val="center"/>
              <w:rPr>
                <w:rFonts w:ascii="宋体" w:hAnsi="宋体" w:eastAsia="宋体" w:cs="Calibri"/>
                <w:sz w:val="15"/>
                <w:szCs w:val="15"/>
              </w:rPr>
            </w:pPr>
            <w:r>
              <w:rPr>
                <w:rFonts w:hint="eastAsia" w:ascii="宋体" w:hAnsi="宋体" w:eastAsia="宋体" w:cs="Calibri"/>
                <w:sz w:val="15"/>
                <w:szCs w:val="15"/>
                <w:lang w:val="en-US" w:eastAsia="zh-CN"/>
              </w:rPr>
              <w:t>9</w:t>
            </w:r>
          </w:p>
        </w:tc>
        <w:tc>
          <w:tcPr>
            <w:tcW w:w="712" w:type="dxa"/>
            <w:shd w:val="clear" w:color="auto" w:fill="auto"/>
            <w:vAlign w:val="center"/>
          </w:tcPr>
          <w:p w14:paraId="7BABDF89">
            <w:pPr>
              <w:overflowPunct/>
              <w:autoSpaceDE/>
              <w:autoSpaceDN/>
              <w:adjustRightInd/>
              <w:jc w:val="center"/>
              <w:rPr>
                <w:rFonts w:ascii="宋体" w:hAnsi="宋体" w:eastAsia="宋体" w:cs="Calibri"/>
                <w:sz w:val="15"/>
                <w:szCs w:val="15"/>
              </w:rPr>
            </w:pPr>
            <w:r>
              <w:rPr>
                <w:rFonts w:hint="eastAsia" w:ascii="宋体" w:hAnsi="宋体" w:eastAsia="宋体" w:cs="Calibri"/>
                <w:sz w:val="15"/>
                <w:szCs w:val="15"/>
                <w:lang w:val="en-US" w:eastAsia="zh-CN"/>
              </w:rPr>
              <w:t>1</w:t>
            </w:r>
          </w:p>
        </w:tc>
        <w:tc>
          <w:tcPr>
            <w:tcW w:w="3127" w:type="dxa"/>
            <w:shd w:val="clear" w:color="auto" w:fill="auto"/>
            <w:vAlign w:val="center"/>
          </w:tcPr>
          <w:p w14:paraId="73C38D60">
            <w:pPr>
              <w:overflowPunct/>
              <w:autoSpaceDE/>
              <w:autoSpaceDN/>
              <w:adjustRightInd/>
              <w:jc w:val="left"/>
              <w:rPr>
                <w:rFonts w:ascii="宋体" w:hAnsi="宋体" w:eastAsia="宋体" w:cs="Calibri"/>
                <w:sz w:val="15"/>
                <w:szCs w:val="15"/>
              </w:rPr>
            </w:pPr>
          </w:p>
        </w:tc>
      </w:tr>
      <w:tr w14:paraId="0CE02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24" w:type="pct"/>
            <w:vMerge w:val="continue"/>
            <w:vAlign w:val="center"/>
          </w:tcPr>
          <w:p w14:paraId="707D75F2">
            <w:pPr>
              <w:overflowPunct/>
              <w:autoSpaceDE/>
              <w:autoSpaceDN/>
              <w:adjustRightInd/>
              <w:jc w:val="left"/>
              <w:rPr>
                <w:rFonts w:ascii="宋体" w:hAnsi="宋体" w:eastAsia="宋体" w:cs="Calibri"/>
                <w:sz w:val="15"/>
                <w:szCs w:val="15"/>
              </w:rPr>
            </w:pPr>
          </w:p>
        </w:tc>
        <w:tc>
          <w:tcPr>
            <w:tcW w:w="336" w:type="pct"/>
            <w:vMerge w:val="continue"/>
            <w:vAlign w:val="center"/>
          </w:tcPr>
          <w:p w14:paraId="4D102473">
            <w:pPr>
              <w:overflowPunct/>
              <w:autoSpaceDE/>
              <w:autoSpaceDN/>
              <w:adjustRightInd/>
              <w:jc w:val="left"/>
              <w:rPr>
                <w:rFonts w:ascii="宋体" w:hAnsi="宋体" w:eastAsia="宋体" w:cs="Calibri"/>
                <w:sz w:val="15"/>
                <w:szCs w:val="15"/>
              </w:rPr>
            </w:pPr>
          </w:p>
        </w:tc>
        <w:tc>
          <w:tcPr>
            <w:tcW w:w="527" w:type="pct"/>
            <w:shd w:val="clear" w:color="auto" w:fill="auto"/>
            <w:vAlign w:val="center"/>
          </w:tcPr>
          <w:p w14:paraId="60F5B1E5">
            <w:pPr>
              <w:overflowPunct/>
              <w:autoSpaceDE/>
              <w:autoSpaceDN/>
              <w:adjustRightInd/>
              <w:jc w:val="center"/>
              <w:rPr>
                <w:rFonts w:ascii="宋体" w:hAnsi="宋体" w:eastAsia="宋体" w:cs="Calibri"/>
                <w:sz w:val="15"/>
                <w:szCs w:val="15"/>
              </w:rPr>
            </w:pPr>
            <w:r>
              <w:rPr>
                <w:rFonts w:hint="eastAsia" w:ascii="宋体" w:hAnsi="宋体" w:eastAsia="宋体" w:cs="Calibri"/>
                <w:sz w:val="15"/>
                <w:szCs w:val="15"/>
              </w:rPr>
              <w:t>3.生态效益（2分）</w:t>
            </w:r>
          </w:p>
        </w:tc>
        <w:tc>
          <w:tcPr>
            <w:tcW w:w="240" w:type="pct"/>
            <w:shd w:val="clear" w:color="auto" w:fill="auto"/>
            <w:vAlign w:val="center"/>
          </w:tcPr>
          <w:p w14:paraId="4BE4CE97">
            <w:pPr>
              <w:overflowPunct/>
              <w:autoSpaceDE/>
              <w:autoSpaceDN/>
              <w:adjustRightInd/>
              <w:jc w:val="center"/>
              <w:rPr>
                <w:rFonts w:ascii="宋体" w:hAnsi="宋体" w:eastAsia="宋体" w:cs="Calibri"/>
                <w:sz w:val="18"/>
                <w:szCs w:val="18"/>
              </w:rPr>
            </w:pPr>
            <w:r>
              <w:rPr>
                <w:rFonts w:hint="eastAsia" w:ascii="宋体" w:hAnsi="宋体" w:eastAsia="宋体" w:cs="Calibri"/>
                <w:sz w:val="18"/>
                <w:szCs w:val="18"/>
              </w:rPr>
              <w:t>2</w:t>
            </w:r>
          </w:p>
        </w:tc>
        <w:tc>
          <w:tcPr>
            <w:tcW w:w="671" w:type="pct"/>
            <w:shd w:val="clear" w:color="auto" w:fill="auto"/>
            <w:vAlign w:val="center"/>
          </w:tcPr>
          <w:p w14:paraId="74A51449">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部门履行职责对生态环境所带来的直接或间接影响。</w:t>
            </w:r>
          </w:p>
        </w:tc>
        <w:tc>
          <w:tcPr>
            <w:tcW w:w="769" w:type="pct"/>
            <w:shd w:val="clear" w:color="auto" w:fill="auto"/>
            <w:vAlign w:val="center"/>
          </w:tcPr>
          <w:p w14:paraId="00157AF8">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部门履行职责对生态环境所带来的直接或间接影响，生态效益实现程度较直接影响较大得分（2分）。</w:t>
            </w:r>
          </w:p>
        </w:tc>
        <w:tc>
          <w:tcPr>
            <w:tcW w:w="528" w:type="pct"/>
            <w:shd w:val="clear" w:color="auto" w:fill="auto"/>
            <w:vAlign w:val="center"/>
          </w:tcPr>
          <w:p w14:paraId="4F70DB01">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绩效目标、工作计划和工作总结等相关资料。</w:t>
            </w:r>
          </w:p>
        </w:tc>
        <w:tc>
          <w:tcPr>
            <w:tcW w:w="712" w:type="dxa"/>
            <w:shd w:val="clear" w:color="auto" w:fill="auto"/>
            <w:vAlign w:val="center"/>
          </w:tcPr>
          <w:p w14:paraId="09BE8319">
            <w:pPr>
              <w:overflowPunct/>
              <w:autoSpaceDE/>
              <w:autoSpaceDN/>
              <w:adjustRightInd/>
              <w:jc w:val="center"/>
              <w:rPr>
                <w:rFonts w:ascii="宋体" w:hAnsi="宋体" w:eastAsia="宋体" w:cs="Calibri"/>
                <w:sz w:val="15"/>
                <w:szCs w:val="15"/>
              </w:rPr>
            </w:pPr>
            <w:r>
              <w:rPr>
                <w:rFonts w:hint="eastAsia" w:ascii="宋体" w:hAnsi="宋体" w:eastAsia="宋体" w:cs="Calibri"/>
                <w:sz w:val="15"/>
                <w:szCs w:val="15"/>
                <w:lang w:val="en-US" w:eastAsia="zh-CN"/>
              </w:rPr>
              <w:t>2</w:t>
            </w:r>
          </w:p>
        </w:tc>
        <w:tc>
          <w:tcPr>
            <w:tcW w:w="712" w:type="dxa"/>
            <w:shd w:val="clear" w:color="auto" w:fill="auto"/>
            <w:vAlign w:val="center"/>
          </w:tcPr>
          <w:p w14:paraId="4D25364E">
            <w:pPr>
              <w:overflowPunct/>
              <w:autoSpaceDE/>
              <w:autoSpaceDN/>
              <w:adjustRightInd/>
              <w:jc w:val="center"/>
              <w:rPr>
                <w:rFonts w:ascii="宋体" w:hAnsi="宋体" w:eastAsia="宋体" w:cs="Calibri"/>
                <w:sz w:val="15"/>
                <w:szCs w:val="15"/>
              </w:rPr>
            </w:pPr>
          </w:p>
        </w:tc>
        <w:tc>
          <w:tcPr>
            <w:tcW w:w="3127" w:type="dxa"/>
            <w:shd w:val="clear" w:color="auto" w:fill="auto"/>
            <w:vAlign w:val="center"/>
          </w:tcPr>
          <w:p w14:paraId="23DFD230">
            <w:pPr>
              <w:overflowPunct/>
              <w:autoSpaceDE/>
              <w:autoSpaceDN/>
              <w:adjustRightInd/>
              <w:jc w:val="left"/>
              <w:rPr>
                <w:rFonts w:ascii="宋体" w:hAnsi="宋体" w:eastAsia="宋体" w:cs="Calibri"/>
                <w:sz w:val="15"/>
                <w:szCs w:val="15"/>
              </w:rPr>
            </w:pPr>
          </w:p>
        </w:tc>
      </w:tr>
      <w:tr w14:paraId="5E54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324" w:type="pct"/>
            <w:vMerge w:val="continue"/>
            <w:vAlign w:val="center"/>
          </w:tcPr>
          <w:p w14:paraId="35557688">
            <w:pPr>
              <w:overflowPunct/>
              <w:autoSpaceDE/>
              <w:autoSpaceDN/>
              <w:adjustRightInd/>
              <w:jc w:val="left"/>
              <w:rPr>
                <w:rFonts w:ascii="宋体" w:hAnsi="宋体" w:eastAsia="宋体" w:cs="Calibri"/>
                <w:sz w:val="15"/>
                <w:szCs w:val="15"/>
              </w:rPr>
            </w:pPr>
          </w:p>
        </w:tc>
        <w:tc>
          <w:tcPr>
            <w:tcW w:w="336" w:type="pct"/>
            <w:vMerge w:val="continue"/>
            <w:vAlign w:val="center"/>
          </w:tcPr>
          <w:p w14:paraId="25C97D4B">
            <w:pPr>
              <w:overflowPunct/>
              <w:autoSpaceDE/>
              <w:autoSpaceDN/>
              <w:adjustRightInd/>
              <w:jc w:val="left"/>
              <w:rPr>
                <w:rFonts w:ascii="宋体" w:hAnsi="宋体" w:eastAsia="宋体" w:cs="Calibri"/>
                <w:sz w:val="15"/>
                <w:szCs w:val="15"/>
              </w:rPr>
            </w:pPr>
          </w:p>
        </w:tc>
        <w:tc>
          <w:tcPr>
            <w:tcW w:w="527" w:type="pct"/>
            <w:shd w:val="clear" w:color="auto" w:fill="auto"/>
            <w:vAlign w:val="center"/>
          </w:tcPr>
          <w:p w14:paraId="69879253">
            <w:pPr>
              <w:overflowPunct/>
              <w:autoSpaceDE/>
              <w:autoSpaceDN/>
              <w:adjustRightInd/>
              <w:jc w:val="center"/>
              <w:rPr>
                <w:rFonts w:ascii="宋体" w:hAnsi="宋体" w:eastAsia="宋体" w:cs="Calibri"/>
                <w:sz w:val="15"/>
                <w:szCs w:val="15"/>
              </w:rPr>
            </w:pPr>
            <w:r>
              <w:rPr>
                <w:rFonts w:hint="eastAsia" w:ascii="宋体" w:hAnsi="宋体" w:eastAsia="宋体" w:cs="Calibri"/>
                <w:sz w:val="15"/>
                <w:szCs w:val="15"/>
              </w:rPr>
              <w:t>4.社会公众或服务对象满意度（5分）</w:t>
            </w:r>
          </w:p>
        </w:tc>
        <w:tc>
          <w:tcPr>
            <w:tcW w:w="240" w:type="pct"/>
            <w:shd w:val="clear" w:color="auto" w:fill="auto"/>
            <w:vAlign w:val="center"/>
          </w:tcPr>
          <w:p w14:paraId="4FFA2341">
            <w:pPr>
              <w:overflowPunct/>
              <w:autoSpaceDE/>
              <w:autoSpaceDN/>
              <w:adjustRightInd/>
              <w:jc w:val="center"/>
              <w:rPr>
                <w:rFonts w:ascii="宋体" w:hAnsi="宋体" w:eastAsia="宋体" w:cs="Calibri"/>
                <w:sz w:val="15"/>
                <w:szCs w:val="15"/>
              </w:rPr>
            </w:pPr>
            <w:r>
              <w:rPr>
                <w:rFonts w:hint="eastAsia" w:ascii="宋体" w:hAnsi="宋体" w:eastAsia="宋体" w:cs="Calibri"/>
                <w:sz w:val="15"/>
                <w:szCs w:val="15"/>
              </w:rPr>
              <w:t>5</w:t>
            </w:r>
          </w:p>
        </w:tc>
        <w:tc>
          <w:tcPr>
            <w:tcW w:w="671" w:type="pct"/>
            <w:shd w:val="clear" w:color="auto" w:fill="auto"/>
            <w:vAlign w:val="center"/>
          </w:tcPr>
          <w:p w14:paraId="0D8DED37">
            <w:pPr>
              <w:overflowPunct/>
              <w:autoSpaceDE/>
              <w:autoSpaceDN/>
              <w:adjustRightInd/>
              <w:rPr>
                <w:rFonts w:ascii="宋体" w:hAnsi="宋体" w:eastAsia="宋体" w:cs="Calibri"/>
                <w:sz w:val="15"/>
                <w:szCs w:val="15"/>
              </w:rPr>
            </w:pPr>
            <w:r>
              <w:rPr>
                <w:rFonts w:hint="eastAsia" w:ascii="宋体" w:hAnsi="宋体" w:eastAsia="宋体" w:cs="Calibri"/>
                <w:sz w:val="15"/>
                <w:szCs w:val="15"/>
              </w:rPr>
              <w:t>社会公众或部门的服务对象对部门履职效果的满意程度。</w:t>
            </w:r>
          </w:p>
        </w:tc>
        <w:tc>
          <w:tcPr>
            <w:tcW w:w="769" w:type="pct"/>
            <w:shd w:val="clear" w:color="auto" w:fill="auto"/>
            <w:vAlign w:val="center"/>
          </w:tcPr>
          <w:p w14:paraId="19F9157C">
            <w:pPr>
              <w:overflowPunct/>
              <w:autoSpaceDE/>
              <w:autoSpaceDN/>
              <w:adjustRightInd/>
              <w:rPr>
                <w:rFonts w:ascii="宋体" w:hAnsi="宋体" w:eastAsia="宋体" w:cs="Calibri"/>
                <w:sz w:val="15"/>
                <w:szCs w:val="15"/>
              </w:rPr>
            </w:pPr>
            <w:r>
              <w:rPr>
                <w:rFonts w:hint="eastAsia" w:ascii="宋体" w:hAnsi="宋体" w:eastAsia="宋体" w:cs="Calibri"/>
                <w:sz w:val="15"/>
                <w:szCs w:val="15"/>
              </w:rPr>
              <w:t>按收集到的服务对象的满意率计算得分达到90%以上，得5分；每小1%，扣1分，扣完为。。</w:t>
            </w:r>
          </w:p>
        </w:tc>
        <w:tc>
          <w:tcPr>
            <w:tcW w:w="528" w:type="pct"/>
            <w:shd w:val="clear" w:color="auto" w:fill="auto"/>
            <w:vAlign w:val="center"/>
          </w:tcPr>
          <w:p w14:paraId="789AADC0">
            <w:pPr>
              <w:overflowPunct/>
              <w:autoSpaceDE/>
              <w:autoSpaceDN/>
              <w:adjustRightInd/>
              <w:jc w:val="left"/>
              <w:rPr>
                <w:rFonts w:ascii="宋体" w:hAnsi="宋体" w:eastAsia="宋体" w:cs="Calibri"/>
                <w:sz w:val="15"/>
                <w:szCs w:val="15"/>
              </w:rPr>
            </w:pPr>
            <w:r>
              <w:rPr>
                <w:rFonts w:hint="eastAsia" w:ascii="宋体" w:hAnsi="宋体" w:eastAsia="宋体" w:cs="Calibri"/>
                <w:sz w:val="15"/>
                <w:szCs w:val="15"/>
              </w:rPr>
              <w:t>问卷调查、访谈</w:t>
            </w:r>
          </w:p>
        </w:tc>
        <w:tc>
          <w:tcPr>
            <w:tcW w:w="712" w:type="dxa"/>
            <w:shd w:val="clear" w:color="auto" w:fill="auto"/>
            <w:vAlign w:val="center"/>
          </w:tcPr>
          <w:p w14:paraId="4993EE96">
            <w:pPr>
              <w:overflowPunct/>
              <w:autoSpaceDE/>
              <w:autoSpaceDN/>
              <w:adjustRightInd/>
              <w:jc w:val="center"/>
              <w:rPr>
                <w:rFonts w:ascii="宋体" w:hAnsi="宋体" w:eastAsia="宋体" w:cs="Calibri"/>
                <w:sz w:val="15"/>
                <w:szCs w:val="15"/>
              </w:rPr>
            </w:pPr>
            <w:r>
              <w:rPr>
                <w:rFonts w:hint="eastAsia" w:ascii="宋体" w:hAnsi="宋体" w:eastAsia="宋体" w:cs="Calibri"/>
                <w:sz w:val="15"/>
                <w:szCs w:val="15"/>
                <w:lang w:val="en-US" w:eastAsia="zh-CN"/>
              </w:rPr>
              <w:t>5</w:t>
            </w:r>
          </w:p>
        </w:tc>
        <w:tc>
          <w:tcPr>
            <w:tcW w:w="712" w:type="dxa"/>
            <w:shd w:val="clear" w:color="auto" w:fill="auto"/>
            <w:vAlign w:val="center"/>
          </w:tcPr>
          <w:p w14:paraId="5383CFC1">
            <w:pPr>
              <w:overflowPunct/>
              <w:autoSpaceDE/>
              <w:autoSpaceDN/>
              <w:adjustRightInd/>
              <w:jc w:val="center"/>
              <w:rPr>
                <w:rFonts w:ascii="宋体" w:hAnsi="宋体" w:eastAsia="宋体" w:cs="Calibri"/>
                <w:sz w:val="15"/>
                <w:szCs w:val="15"/>
              </w:rPr>
            </w:pPr>
          </w:p>
        </w:tc>
        <w:tc>
          <w:tcPr>
            <w:tcW w:w="3127" w:type="dxa"/>
            <w:shd w:val="clear" w:color="auto" w:fill="auto"/>
            <w:vAlign w:val="center"/>
          </w:tcPr>
          <w:p w14:paraId="2132F4A0">
            <w:pPr>
              <w:overflowPunct/>
              <w:autoSpaceDE/>
              <w:autoSpaceDN/>
              <w:adjustRightInd/>
              <w:jc w:val="left"/>
              <w:rPr>
                <w:rFonts w:ascii="宋体" w:hAnsi="宋体" w:eastAsia="宋体" w:cs="Calibri"/>
                <w:sz w:val="15"/>
                <w:szCs w:val="15"/>
              </w:rPr>
            </w:pPr>
          </w:p>
        </w:tc>
      </w:tr>
      <w:tr w14:paraId="0179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60" w:type="pct"/>
            <w:gridSpan w:val="2"/>
            <w:shd w:val="clear" w:color="auto" w:fill="auto"/>
            <w:vAlign w:val="center"/>
          </w:tcPr>
          <w:p w14:paraId="1C62CE61">
            <w:pPr>
              <w:overflowPunct/>
              <w:autoSpaceDE/>
              <w:autoSpaceDN/>
              <w:adjustRightInd/>
              <w:jc w:val="center"/>
              <w:rPr>
                <w:rFonts w:ascii="宋体" w:hAnsi="宋体" w:eastAsia="宋体" w:cs="Calibri"/>
                <w:b/>
                <w:bCs/>
                <w:sz w:val="15"/>
                <w:szCs w:val="15"/>
              </w:rPr>
            </w:pPr>
            <w:r>
              <w:rPr>
                <w:rFonts w:hint="eastAsia" w:ascii="宋体" w:hAnsi="宋体" w:eastAsia="宋体" w:cs="Calibri"/>
                <w:b/>
                <w:bCs/>
                <w:sz w:val="15"/>
                <w:szCs w:val="15"/>
              </w:rPr>
              <w:t>合计</w:t>
            </w:r>
          </w:p>
        </w:tc>
        <w:tc>
          <w:tcPr>
            <w:tcW w:w="527" w:type="pct"/>
            <w:shd w:val="clear" w:color="auto" w:fill="auto"/>
            <w:vAlign w:val="center"/>
          </w:tcPr>
          <w:p w14:paraId="137FFF53">
            <w:pPr>
              <w:overflowPunct/>
              <w:autoSpaceDE/>
              <w:autoSpaceDN/>
              <w:adjustRightInd/>
              <w:jc w:val="center"/>
              <w:rPr>
                <w:rFonts w:ascii="宋体" w:hAnsi="宋体" w:eastAsia="宋体" w:cs="Calibri"/>
                <w:b/>
                <w:bCs/>
                <w:sz w:val="15"/>
                <w:szCs w:val="15"/>
              </w:rPr>
            </w:pPr>
          </w:p>
        </w:tc>
        <w:tc>
          <w:tcPr>
            <w:tcW w:w="240" w:type="pct"/>
            <w:shd w:val="clear" w:color="auto" w:fill="auto"/>
            <w:vAlign w:val="center"/>
          </w:tcPr>
          <w:p w14:paraId="06272D0A">
            <w:pPr>
              <w:overflowPunct/>
              <w:autoSpaceDE/>
              <w:autoSpaceDN/>
              <w:adjustRightInd/>
              <w:jc w:val="center"/>
              <w:rPr>
                <w:rFonts w:ascii="宋体" w:hAnsi="宋体" w:eastAsia="宋体" w:cs="Calibri"/>
                <w:b/>
                <w:bCs/>
                <w:sz w:val="15"/>
                <w:szCs w:val="15"/>
              </w:rPr>
            </w:pPr>
            <w:r>
              <w:rPr>
                <w:rFonts w:hint="eastAsia" w:ascii="宋体" w:hAnsi="宋体" w:eastAsia="宋体" w:cs="Calibri"/>
                <w:b/>
                <w:bCs/>
                <w:sz w:val="15"/>
                <w:szCs w:val="15"/>
              </w:rPr>
              <w:t>100</w:t>
            </w:r>
          </w:p>
        </w:tc>
        <w:tc>
          <w:tcPr>
            <w:tcW w:w="1968" w:type="pct"/>
            <w:gridSpan w:val="3"/>
            <w:shd w:val="clear" w:color="auto" w:fill="auto"/>
            <w:vAlign w:val="center"/>
          </w:tcPr>
          <w:p w14:paraId="216DB19C">
            <w:pPr>
              <w:overflowPunct/>
              <w:autoSpaceDE/>
              <w:autoSpaceDN/>
              <w:adjustRightInd/>
              <w:jc w:val="left"/>
              <w:rPr>
                <w:rFonts w:ascii="宋体" w:hAnsi="宋体" w:eastAsia="宋体" w:cs="Calibri"/>
                <w:b/>
                <w:bCs/>
                <w:sz w:val="15"/>
                <w:szCs w:val="15"/>
              </w:rPr>
            </w:pPr>
            <w:r>
              <w:rPr>
                <w:rFonts w:hint="eastAsia" w:ascii="宋体" w:hAnsi="宋体" w:eastAsia="宋体" w:cs="Calibri"/>
                <w:b/>
                <w:bCs/>
                <w:sz w:val="15"/>
                <w:szCs w:val="15"/>
              </w:rPr>
              <w:t>　</w:t>
            </w:r>
          </w:p>
        </w:tc>
        <w:tc>
          <w:tcPr>
            <w:tcW w:w="712" w:type="dxa"/>
            <w:shd w:val="clear" w:color="auto" w:fill="auto"/>
            <w:vAlign w:val="center"/>
          </w:tcPr>
          <w:p w14:paraId="313ACBCC">
            <w:pPr>
              <w:overflowPunct/>
              <w:autoSpaceDE/>
              <w:autoSpaceDN/>
              <w:adjustRightInd/>
              <w:jc w:val="center"/>
              <w:rPr>
                <w:rFonts w:ascii="宋体" w:hAnsi="宋体" w:eastAsia="宋体" w:cs="Calibri"/>
                <w:b/>
                <w:bCs/>
                <w:sz w:val="15"/>
                <w:szCs w:val="15"/>
              </w:rPr>
            </w:pPr>
            <w:r>
              <w:rPr>
                <w:rFonts w:hint="eastAsia" w:ascii="宋体" w:hAnsi="宋体" w:eastAsia="宋体" w:cs="Calibri"/>
                <w:b/>
                <w:bCs/>
                <w:sz w:val="15"/>
                <w:szCs w:val="15"/>
                <w:lang w:val="en-US" w:eastAsia="zh-CN"/>
              </w:rPr>
              <w:t>95</w:t>
            </w:r>
          </w:p>
        </w:tc>
        <w:tc>
          <w:tcPr>
            <w:tcW w:w="712" w:type="dxa"/>
            <w:shd w:val="clear" w:color="auto" w:fill="auto"/>
            <w:vAlign w:val="center"/>
          </w:tcPr>
          <w:p w14:paraId="655186DC">
            <w:pPr>
              <w:overflowPunct/>
              <w:autoSpaceDE/>
              <w:autoSpaceDN/>
              <w:adjustRightInd/>
              <w:jc w:val="center"/>
              <w:rPr>
                <w:rFonts w:ascii="宋体" w:hAnsi="宋体" w:eastAsia="宋体" w:cs="Calibri"/>
                <w:b/>
                <w:bCs/>
                <w:sz w:val="15"/>
                <w:szCs w:val="15"/>
              </w:rPr>
            </w:pPr>
            <w:r>
              <w:rPr>
                <w:rFonts w:hint="eastAsia" w:ascii="宋体" w:hAnsi="宋体" w:eastAsia="宋体" w:cs="Calibri"/>
                <w:b/>
                <w:bCs/>
                <w:sz w:val="15"/>
                <w:szCs w:val="15"/>
                <w:lang w:val="en-US" w:eastAsia="zh-CN"/>
              </w:rPr>
              <w:t>5</w:t>
            </w:r>
          </w:p>
        </w:tc>
        <w:tc>
          <w:tcPr>
            <w:tcW w:w="3127" w:type="dxa"/>
            <w:shd w:val="clear" w:color="auto" w:fill="auto"/>
            <w:noWrap/>
            <w:vAlign w:val="center"/>
          </w:tcPr>
          <w:p w14:paraId="1EE980E6">
            <w:pPr>
              <w:overflowPunct/>
              <w:autoSpaceDE/>
              <w:autoSpaceDN/>
              <w:adjustRightInd/>
              <w:jc w:val="left"/>
              <w:rPr>
                <w:rFonts w:ascii="宋体" w:hAnsi="宋体" w:eastAsia="宋体" w:cs="Calibri"/>
                <w:b/>
                <w:bCs/>
                <w:sz w:val="15"/>
                <w:szCs w:val="15"/>
              </w:rPr>
            </w:pPr>
            <w:r>
              <w:rPr>
                <w:rFonts w:hint="eastAsia" w:ascii="宋体" w:hAnsi="宋体" w:eastAsia="宋体" w:cs="Calibri"/>
                <w:b/>
                <w:bCs/>
                <w:sz w:val="15"/>
                <w:szCs w:val="15"/>
              </w:rPr>
              <w:t>　</w:t>
            </w:r>
          </w:p>
        </w:tc>
      </w:tr>
    </w:tbl>
    <w:p w14:paraId="15DF6F16">
      <w:pPr>
        <w:widowControl w:val="0"/>
        <w:overflowPunct/>
        <w:rPr>
          <w:rFonts w:ascii="仿宋_GB2312" w:hAnsi="等线 Light" w:eastAsia="仿宋_GB2312"/>
          <w:sz w:val="15"/>
          <w:szCs w:val="15"/>
        </w:rPr>
      </w:pPr>
    </w:p>
    <w:p w14:paraId="50CEE4BC"/>
    <w:p w14:paraId="65654DD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0000000000000000000"/>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014358"/>
      <w:docPartObj>
        <w:docPartGallery w:val="autotext"/>
      </w:docPartObj>
    </w:sdtPr>
    <w:sdtContent>
      <w:p w14:paraId="06C2C755">
        <w:pPr>
          <w:pStyle w:val="4"/>
          <w:jc w:val="right"/>
        </w:pPr>
        <w:r>
          <w:fldChar w:fldCharType="begin"/>
        </w:r>
        <w:r>
          <w:instrText xml:space="preserve"> PAGE   \* MERGEFORMAT </w:instrText>
        </w:r>
        <w:r>
          <w:fldChar w:fldCharType="separate"/>
        </w:r>
        <w:r>
          <w:rPr>
            <w:lang w:val="zh-CN"/>
          </w:rPr>
          <w:t>1</w:t>
        </w:r>
        <w:r>
          <w:fldChar w:fldCharType="end"/>
        </w:r>
      </w:p>
    </w:sdtContent>
  </w:sdt>
  <w:p w14:paraId="6D4C85AB">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wZmM4ZmNkM2I0ZGY5MDk5M2M1NTIwYmQzNjNiOTAifQ=="/>
  </w:docVars>
  <w:rsids>
    <w:rsidRoot w:val="00AD3BCF"/>
    <w:rsid w:val="00036766"/>
    <w:rsid w:val="004C57FC"/>
    <w:rsid w:val="00566162"/>
    <w:rsid w:val="008518F0"/>
    <w:rsid w:val="00A54756"/>
    <w:rsid w:val="00AD3BCF"/>
    <w:rsid w:val="00E77650"/>
    <w:rsid w:val="11EA67D1"/>
    <w:rsid w:val="16A9432E"/>
    <w:rsid w:val="31152129"/>
    <w:rsid w:val="3CF32DB6"/>
    <w:rsid w:val="447F4B17"/>
    <w:rsid w:val="5BE469EF"/>
    <w:rsid w:val="771457A9"/>
    <w:rsid w:val="7EB81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overflowPunct w:val="0"/>
      <w:autoSpaceDE w:val="0"/>
      <w:autoSpaceDN w:val="0"/>
      <w:adjustRightInd w:val="0"/>
      <w:jc w:val="both"/>
    </w:pPr>
    <w:rPr>
      <w:rFonts w:ascii="@楷体_GB2312" w:hAnsi="@楷体_GB2312" w:eastAsia="等线" w:cs="@楷体_GB2312"/>
      <w:kern w:val="0"/>
      <w:sz w:val="21"/>
      <w:szCs w:val="20"/>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Calibri" w:hAnsi="Calibri" w:eastAsia="Calibr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line="240" w:lineRule="auto"/>
    </w:pPr>
    <w:rPr>
      <w:spacing w:val="0"/>
      <w:szCs w:val="24"/>
    </w:rPr>
  </w:style>
  <w:style w:type="paragraph" w:styleId="4">
    <w:name w:val="footer"/>
    <w:basedOn w:val="1"/>
    <w:link w:val="12"/>
    <w:unhideWhenUsed/>
    <w:qFormat/>
    <w:uiPriority w:val="99"/>
    <w:pPr>
      <w:widowControl w:val="0"/>
      <w:tabs>
        <w:tab w:val="center" w:pos="4153"/>
        <w:tab w:val="right" w:pos="8306"/>
      </w:tabs>
      <w:overflowPunct/>
      <w:autoSpaceDE/>
      <w:autoSpaceDN/>
      <w:adjustRightInd/>
      <w:snapToGrid w:val="0"/>
      <w:jc w:val="left"/>
    </w:pPr>
    <w:rPr>
      <w:rFonts w:asciiTheme="minorHAnsi" w:hAnsiTheme="minorHAnsi" w:eastAsiaTheme="minorEastAsia" w:cstheme="minorBidi"/>
      <w:kern w:val="2"/>
      <w:sz w:val="18"/>
      <w:szCs w:val="18"/>
    </w:rPr>
  </w:style>
  <w:style w:type="paragraph" w:styleId="5">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0"/>
    <w:rPr>
      <w:rFonts w:cs="Times New Roman"/>
      <w:color w:val="0000FF"/>
      <w:u w:val="single"/>
    </w:rPr>
  </w:style>
  <w:style w:type="paragraph" w:customStyle="1" w:styleId="10">
    <w:name w:val="实施方案正文"/>
    <w:basedOn w:val="1"/>
    <w:qFormat/>
    <w:uiPriority w:val="99"/>
    <w:pPr>
      <w:ind w:firstLine="566" w:firstLineChars="202"/>
    </w:pPr>
    <w:rPr>
      <w:szCs w:val="28"/>
    </w:rPr>
  </w:style>
  <w:style w:type="character" w:customStyle="1" w:styleId="11">
    <w:name w:val="标题 2 Char"/>
    <w:basedOn w:val="8"/>
    <w:link w:val="2"/>
    <w:semiHidden/>
    <w:qFormat/>
    <w:uiPriority w:val="9"/>
    <w:rPr>
      <w:rFonts w:asciiTheme="majorHAnsi" w:hAnsiTheme="majorHAnsi" w:eastAsiaTheme="majorEastAsia" w:cstheme="majorBidi"/>
      <w:b/>
      <w:bCs/>
      <w:kern w:val="0"/>
      <w:sz w:val="32"/>
      <w:szCs w:val="32"/>
    </w:rPr>
  </w:style>
  <w:style w:type="character" w:customStyle="1" w:styleId="12">
    <w:name w:val="页脚 Char"/>
    <w:basedOn w:val="8"/>
    <w:link w:val="4"/>
    <w:qFormat/>
    <w:uiPriority w:val="99"/>
    <w:rPr>
      <w:sz w:val="18"/>
      <w:szCs w:val="18"/>
    </w:rPr>
  </w:style>
  <w:style w:type="character" w:customStyle="1" w:styleId="13">
    <w:name w:val="标题 2 Char1"/>
    <w:link w:val="2"/>
    <w:qFormat/>
    <w:uiPriority w:val="9"/>
    <w:rPr>
      <w:rFonts w:ascii="Calibri" w:hAnsi="Calibri" w:eastAsia="Calibri" w:cs="@楷体_GB2312"/>
      <w:b/>
      <w:bCs/>
      <w:kern w:val="0"/>
      <w:sz w:val="32"/>
      <w:szCs w:val="32"/>
    </w:rPr>
  </w:style>
  <w:style w:type="paragraph" w:customStyle="1" w:styleId="14">
    <w:name w:val="列出段落1"/>
    <w:basedOn w:val="1"/>
    <w:qFormat/>
    <w:uiPriority w:val="0"/>
    <w:pPr>
      <w:widowControl w:val="0"/>
      <w:overflowPunct/>
      <w:autoSpaceDE/>
      <w:autoSpaceDN/>
      <w:adjustRightInd/>
      <w:ind w:firstLine="420" w:firstLineChars="200"/>
    </w:pPr>
    <w:rPr>
      <w:rFonts w:ascii="Calibri" w:hAnsi="Calibri" w:eastAsia="宋体" w:cs="Calibri"/>
      <w:kern w:val="2"/>
      <w:szCs w:val="21"/>
    </w:rPr>
  </w:style>
  <w:style w:type="character" w:customStyle="1" w:styleId="15">
    <w:name w:val="页眉 Char"/>
    <w:basedOn w:val="8"/>
    <w:link w:val="5"/>
    <w:semiHidden/>
    <w:qFormat/>
    <w:uiPriority w:val="99"/>
    <w:rPr>
      <w:rFonts w:ascii="@楷体_GB2312" w:hAnsi="@楷体_GB2312" w:eastAsia="等线" w:cs="@楷体_GB2312"/>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fmczj</Company>
  <Pages>16</Pages>
  <Words>3920</Words>
  <Characters>4185</Characters>
  <Lines>28</Lines>
  <Paragraphs>7</Paragraphs>
  <TotalTime>1</TotalTime>
  <ScaleCrop>false</ScaleCrop>
  <LinksUpToDate>false</LinksUpToDate>
  <CharactersWithSpaces>4193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2022-03-14T05:51:00Z</dcterms:created>
  <dc:creator>张子明</dc:creator>
  <cp:lastModifiedBy>wjjcw</cp:lastModifiedBy>
  <dcterms:modified xsi:type="dcterms:W3CDTF">2025-04-14T07:12:36Z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6516C23A5BF2409EA6B6326F903EB3C7_13</vt:lpwstr>
  </property>
  <property fmtid="{D5CDD505-2E9C-101B-9397-08002B2CF9AE}" pid="4" name="KSOTemplateDocerSaveRecord">
    <vt:lpwstr>eyJoZGlkIjoiM2EwZmM4ZmNkM2I0ZGY5MDk5M2M1NTIwYmQzNjNiOTAiLCJ1c2VySWQiOiIxNTI0MTE0ODcxIn0=</vt:lpwstr>
  </property>
</Properties>
</file>