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0A8DB">
      <w:pPr>
        <w:topLinePunct/>
        <w:spacing w:line="540" w:lineRule="exact"/>
        <w:jc w:val="center"/>
        <w:rPr>
          <w:rFonts w:ascii="方正小标宋简体" w:hAnsi="Times New Roman" w:eastAsia="方正小标宋简体" w:cs="Times New Roman"/>
          <w:sz w:val="44"/>
          <w:szCs w:val="44"/>
        </w:rPr>
      </w:pPr>
      <w:bookmarkStart w:id="0" w:name="_Hlk514329293"/>
      <w:bookmarkStart w:id="1" w:name="_Hlk514321036"/>
      <w:bookmarkStart w:id="2" w:name="_Hlk59973128"/>
      <w:bookmarkStart w:id="3" w:name="_Hlk63441701"/>
      <w:r>
        <w:rPr>
          <w:rFonts w:hint="eastAsia" w:ascii="方正小标宋简体" w:hAnsi="Times New Roman" w:eastAsia="方正小标宋简体" w:cs="Times New Roman"/>
          <w:spacing w:val="-20"/>
          <w:sz w:val="44"/>
          <w:szCs w:val="44"/>
        </w:rPr>
        <w:t xml:space="preserve">  政协富民县委员会办公室202</w:t>
      </w:r>
      <w:r>
        <w:rPr>
          <w:rFonts w:hint="eastAsia" w:ascii="方正小标宋简体" w:hAnsi="Times New Roman" w:eastAsia="方正小标宋简体" w:cs="Times New Roman"/>
          <w:spacing w:val="-20"/>
          <w:sz w:val="44"/>
          <w:szCs w:val="44"/>
          <w:lang w:val="en-US" w:eastAsia="zh-CN"/>
        </w:rPr>
        <w:t>4</w:t>
      </w:r>
      <w:r>
        <w:rPr>
          <w:rFonts w:hint="eastAsia" w:ascii="方正小标宋简体" w:hAnsi="Times New Roman" w:eastAsia="方正小标宋简体" w:cs="Times New Roman"/>
          <w:spacing w:val="-20"/>
          <w:sz w:val="44"/>
          <w:szCs w:val="44"/>
        </w:rPr>
        <w:t>年度政协会议</w:t>
      </w:r>
      <w:r>
        <w:rPr>
          <w:rFonts w:hint="eastAsia" w:ascii="方正小标宋简体" w:hAnsi="Times New Roman" w:eastAsia="方正小标宋简体" w:cs="Times New Roman"/>
          <w:spacing w:val="-20"/>
          <w:sz w:val="44"/>
          <w:szCs w:val="44"/>
          <w:lang w:val="en-US" w:eastAsia="zh-CN"/>
        </w:rPr>
        <w:t>专项</w:t>
      </w:r>
      <w:r>
        <w:rPr>
          <w:rFonts w:hint="eastAsia" w:ascii="方正小标宋简体" w:hAnsi="Times New Roman" w:eastAsia="方正小标宋简体" w:cs="Times New Roman"/>
          <w:spacing w:val="-20"/>
          <w:sz w:val="44"/>
          <w:szCs w:val="44"/>
        </w:rPr>
        <w:t>经费</w:t>
      </w:r>
      <w:r>
        <w:rPr>
          <w:rFonts w:hint="eastAsia" w:ascii="方正小标宋简体" w:hAnsi="Times New Roman" w:eastAsia="方正小标宋简体" w:cs="Times New Roman"/>
          <w:sz w:val="44"/>
          <w:szCs w:val="44"/>
        </w:rPr>
        <w:t>项目支出绩效评价报告</w:t>
      </w:r>
    </w:p>
    <w:p w14:paraId="2EA0C0CA">
      <w:pPr>
        <w:topLinePunct/>
        <w:spacing w:line="540" w:lineRule="exact"/>
        <w:ind w:firstLine="800" w:firstLineChars="250"/>
        <w:rPr>
          <w:rFonts w:ascii="Times New Roman" w:hAnsi="Times New Roman" w:eastAsia="仿宋_GB2312" w:cs="Times New Roman"/>
          <w:sz w:val="32"/>
          <w:szCs w:val="32"/>
        </w:rPr>
      </w:pPr>
    </w:p>
    <w:p w14:paraId="6C2C6819">
      <w:pPr>
        <w:topLinePunct/>
        <w:spacing w:line="540" w:lineRule="exact"/>
        <w:ind w:firstLine="800" w:firstLineChars="250"/>
        <w:rPr>
          <w:rFonts w:ascii="Times New Roman" w:hAnsi="Times New Roman" w:eastAsia="仿宋_GB2312" w:cs="Times New Roman"/>
          <w:sz w:val="32"/>
          <w:szCs w:val="32"/>
        </w:rPr>
      </w:pPr>
      <w:bookmarkStart w:id="6" w:name="_GoBack"/>
      <w:bookmarkEnd w:id="6"/>
    </w:p>
    <w:p w14:paraId="0756170A">
      <w:pPr>
        <w:topLinePunct/>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一、项目基本情况</w:t>
      </w:r>
    </w:p>
    <w:p w14:paraId="39FAFF9C">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（一）项目概况</w:t>
      </w:r>
    </w:p>
    <w:p w14:paraId="53AF265B">
      <w:pPr>
        <w:topLinePunct/>
        <w:spacing w:line="560" w:lineRule="exact"/>
        <w:ind w:firstLine="643" w:firstLineChars="200"/>
        <w:rPr>
          <w:rFonts w:ascii="仿宋_GB2312" w:hAnsi="楷体" w:eastAsia="仿宋_GB2312" w:cs="Times New Roman"/>
          <w:b/>
          <w:sz w:val="32"/>
          <w:szCs w:val="32"/>
        </w:rPr>
      </w:pPr>
      <w:r>
        <w:rPr>
          <w:rFonts w:hint="eastAsia" w:ascii="仿宋_GB2312" w:hAnsi="楷体" w:eastAsia="仿宋_GB2312" w:cs="Times New Roman"/>
          <w:b/>
          <w:sz w:val="32"/>
          <w:szCs w:val="32"/>
        </w:rPr>
        <w:t>1.立项背景及目的。</w:t>
      </w:r>
    </w:p>
    <w:p w14:paraId="44E75DFF">
      <w:pPr>
        <w:topLinePunct/>
        <w:spacing w:line="560" w:lineRule="exact"/>
        <w:ind w:firstLine="640" w:firstLineChars="200"/>
        <w:rPr>
          <w:rFonts w:ascii="仿宋_GB2312" w:hAnsi="Times New Roman" w:eastAsia="仿宋_GB2312" w:cs="Times New Roman"/>
          <w:b/>
          <w:sz w:val="32"/>
          <w:szCs w:val="32"/>
        </w:rPr>
      </w:pPr>
      <w:r>
        <w:rPr>
          <w:rFonts w:hint="eastAsia" w:ascii="仿宋_GB2312" w:eastAsia="仿宋_GB2312"/>
          <w:color w:val="000000"/>
          <w:sz w:val="32"/>
          <w:szCs w:val="16"/>
          <w:shd w:val="clear" w:color="auto" w:fill="FFFFFF"/>
        </w:rPr>
        <w:t>政协会议是中国政治生活中发扬社会主义民主的重要形式，为不断充实与完善中国共产党领导的多党合作和政治协商制度。</w:t>
      </w:r>
      <w:r>
        <w:rPr>
          <w:rFonts w:hint="eastAsia" w:ascii="仿宋_GB2312" w:eastAsia="仿宋_GB2312"/>
          <w:color w:val="3D3D3D"/>
          <w:sz w:val="32"/>
          <w:szCs w:val="16"/>
          <w:shd w:val="clear" w:color="auto" w:fill="FFFFFF"/>
        </w:rPr>
        <w:t>充分发挥人民政协作为协商民主重要渠道和专门协商机构作用，进一步提升政治协商制度化、规范化、程序化水平，增强参政议政、民主监督实效。特设立专项会议费项目，为202</w:t>
      </w:r>
      <w:r>
        <w:rPr>
          <w:rFonts w:hint="eastAsia" w:ascii="仿宋_GB2312" w:eastAsia="仿宋_GB2312"/>
          <w:color w:val="3D3D3D"/>
          <w:sz w:val="32"/>
          <w:szCs w:val="16"/>
          <w:shd w:val="clear" w:color="auto" w:fill="FFFFFF"/>
          <w:lang w:val="en-US" w:eastAsia="zh-CN"/>
        </w:rPr>
        <w:t>4</w:t>
      </w:r>
      <w:r>
        <w:rPr>
          <w:rFonts w:hint="eastAsia" w:ascii="仿宋_GB2312" w:eastAsia="仿宋_GB2312"/>
          <w:color w:val="3D3D3D"/>
          <w:sz w:val="32"/>
          <w:szCs w:val="16"/>
          <w:shd w:val="clear" w:color="auto" w:fill="FFFFFF"/>
        </w:rPr>
        <w:t>年度政协富民县委员</w:t>
      </w:r>
      <w:r>
        <w:rPr>
          <w:rFonts w:hint="eastAsia" w:ascii="仿宋_GB2312" w:eastAsia="仿宋_GB2312"/>
          <w:color w:val="3D3D3D"/>
          <w:sz w:val="32"/>
          <w:szCs w:val="16"/>
          <w:shd w:val="clear" w:color="auto" w:fill="FFFFFF"/>
          <w:lang w:eastAsia="zh-CN"/>
        </w:rPr>
        <w:t>全会</w:t>
      </w:r>
      <w:r>
        <w:rPr>
          <w:rFonts w:hint="eastAsia" w:ascii="仿宋_GB2312" w:eastAsia="仿宋_GB2312"/>
          <w:color w:val="3D3D3D"/>
          <w:sz w:val="32"/>
          <w:szCs w:val="16"/>
          <w:shd w:val="clear" w:color="auto" w:fill="FFFFFF"/>
        </w:rPr>
        <w:t>及相关政协会议提供资金保障。</w:t>
      </w:r>
    </w:p>
    <w:p w14:paraId="769F72DA">
      <w:pPr>
        <w:topLinePunct/>
        <w:spacing w:line="560" w:lineRule="exact"/>
        <w:ind w:firstLine="643" w:firstLineChars="200"/>
        <w:rPr>
          <w:rFonts w:ascii="Times New Roman" w:hAnsi="Times New Roman" w:eastAsia="仿宋_GB2312" w:cs="Times New Roman"/>
          <w:b/>
          <w:sz w:val="32"/>
          <w:szCs w:val="32"/>
        </w:rPr>
      </w:pPr>
      <w:r>
        <w:rPr>
          <w:rFonts w:hint="eastAsia" w:ascii="仿宋_GB2312" w:hAnsi="Times New Roman" w:eastAsia="仿宋_GB2312" w:cs="Times New Roman"/>
          <w:b/>
          <w:sz w:val="32"/>
          <w:szCs w:val="32"/>
        </w:rPr>
        <w:t>2.项目实施情况</w:t>
      </w:r>
      <w:r>
        <w:rPr>
          <w:rFonts w:ascii="Times New Roman" w:hAnsi="Times New Roman" w:eastAsia="仿宋_GB2312" w:cs="Times New Roman"/>
          <w:b/>
          <w:sz w:val="32"/>
          <w:szCs w:val="32"/>
        </w:rPr>
        <w:t>。</w:t>
      </w:r>
    </w:p>
    <w:p w14:paraId="0F20E515">
      <w:pPr>
        <w:pStyle w:val="5"/>
        <w:widowControl w:val="0"/>
        <w:shd w:val="clear" w:color="auto" w:fill="FFFFFF"/>
        <w:spacing w:before="0" w:beforeAutospacing="0" w:after="0" w:afterAutospacing="0" w:line="560" w:lineRule="exact"/>
        <w:ind w:firstLine="640" w:firstLineChars="200"/>
        <w:rPr>
          <w:rFonts w:hint="eastAsia" w:ascii="仿宋_GB2312" w:hAnsi="sinsum" w:eastAsia="仿宋_GB2312"/>
          <w:color w:val="333333"/>
          <w:sz w:val="32"/>
          <w:szCs w:val="16"/>
        </w:rPr>
      </w:pPr>
      <w:r>
        <w:rPr>
          <w:rFonts w:hint="eastAsia" w:ascii="仿宋_GB2312" w:hAnsi="sinsum" w:eastAsia="仿宋_GB2312"/>
          <w:color w:val="333333"/>
          <w:sz w:val="32"/>
          <w:szCs w:val="16"/>
        </w:rPr>
        <w:t>富民县政协委员会会议费纳入202</w:t>
      </w:r>
      <w:r>
        <w:rPr>
          <w:rFonts w:hint="eastAsia" w:ascii="仿宋_GB2312" w:hAnsi="sinsum" w:eastAsia="仿宋_GB2312"/>
          <w:color w:val="333333"/>
          <w:sz w:val="32"/>
          <w:szCs w:val="16"/>
          <w:lang w:val="en-US" w:eastAsia="zh-CN"/>
        </w:rPr>
        <w:t>4</w:t>
      </w:r>
      <w:r>
        <w:rPr>
          <w:rFonts w:hint="eastAsia" w:ascii="仿宋_GB2312" w:hAnsi="sinsum" w:eastAsia="仿宋_GB2312"/>
          <w:color w:val="333333"/>
          <w:sz w:val="32"/>
          <w:szCs w:val="16"/>
        </w:rPr>
        <w:t>年度年初财政预算，按时足额拨款到位，充分保障了召开会议各个环节的运行。</w:t>
      </w:r>
    </w:p>
    <w:p w14:paraId="6D51CB2D">
      <w:pPr>
        <w:pStyle w:val="5"/>
        <w:widowControl w:val="0"/>
        <w:shd w:val="clear" w:color="auto" w:fill="FFFFFF"/>
        <w:spacing w:before="0" w:beforeAutospacing="0" w:after="0" w:afterAutospacing="0" w:line="560" w:lineRule="exact"/>
        <w:ind w:firstLine="640" w:firstLineChars="200"/>
        <w:rPr>
          <w:rFonts w:hint="eastAsia" w:ascii="仿宋_GB2312" w:hAnsi="sinsum" w:eastAsia="仿宋_GB2312"/>
          <w:color w:val="333333"/>
          <w:sz w:val="32"/>
          <w:szCs w:val="16"/>
        </w:rPr>
      </w:pPr>
      <w:r>
        <w:rPr>
          <w:rFonts w:hint="eastAsia" w:ascii="仿宋_GB2312" w:hAnsi="sinsum" w:eastAsia="仿宋_GB2312"/>
          <w:color w:val="333333"/>
          <w:sz w:val="32"/>
          <w:szCs w:val="16"/>
        </w:rPr>
        <w:t>会议贯彻中央八项规定、县委的实施意见和县委的实施办法，厉行勤俭节约，严格执行财务制度，尽量避免浪费。直至202</w:t>
      </w:r>
      <w:r>
        <w:rPr>
          <w:rFonts w:hint="eastAsia" w:ascii="仿宋_GB2312" w:hAnsi="sinsum" w:eastAsia="仿宋_GB2312"/>
          <w:color w:val="333333"/>
          <w:sz w:val="32"/>
          <w:szCs w:val="16"/>
          <w:lang w:val="en-US" w:eastAsia="zh-CN"/>
        </w:rPr>
        <w:t>4</w:t>
      </w:r>
      <w:r>
        <w:rPr>
          <w:rFonts w:hint="eastAsia" w:ascii="仿宋_GB2312" w:hAnsi="sinsum" w:eastAsia="仿宋_GB2312"/>
          <w:color w:val="333333"/>
          <w:sz w:val="32"/>
          <w:szCs w:val="16"/>
        </w:rPr>
        <w:t>年末结束，为圆满召开政协相关各类会议，达到政协会议民主协商、参政议政提供了资金保障。</w:t>
      </w:r>
    </w:p>
    <w:p w14:paraId="212A1FB4">
      <w:pPr>
        <w:topLinePunct/>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3.资金来源及使用情况。</w:t>
      </w:r>
    </w:p>
    <w:p w14:paraId="7B416139">
      <w:pPr>
        <w:topLinePunct/>
        <w:spacing w:line="560" w:lineRule="exact"/>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年度政协富民县委员会会议专项经费年初预算4</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sz w:val="32"/>
          <w:szCs w:val="32"/>
        </w:rPr>
        <w:t>会议</w:t>
      </w:r>
      <w:r>
        <w:rPr>
          <w:rFonts w:hint="eastAsia" w:ascii="仿宋_GB2312" w:eastAsia="仿宋_GB2312"/>
          <w:color w:val="000000"/>
          <w:sz w:val="32"/>
          <w:szCs w:val="32"/>
          <w:shd w:val="clear" w:color="auto" w:fill="FFFFFF"/>
        </w:rPr>
        <w:t>严格按照中央八项规定，厉行勤俭节约，根据实际参训人数进行支出，至202</w:t>
      </w:r>
      <w:r>
        <w:rPr>
          <w:rFonts w:hint="eastAsia" w:ascii="仿宋_GB2312" w:eastAsia="仿宋_GB2312"/>
          <w:color w:val="000000"/>
          <w:sz w:val="32"/>
          <w:szCs w:val="32"/>
          <w:shd w:val="clear" w:color="auto" w:fill="FFFFFF"/>
          <w:lang w:val="en-US" w:eastAsia="zh-CN"/>
        </w:rPr>
        <w:t>4</w:t>
      </w:r>
      <w:r>
        <w:rPr>
          <w:rFonts w:hint="eastAsia" w:ascii="仿宋_GB2312" w:eastAsia="仿宋_GB2312"/>
          <w:color w:val="000000"/>
          <w:sz w:val="32"/>
          <w:szCs w:val="32"/>
          <w:shd w:val="clear" w:color="auto" w:fill="FFFFFF"/>
        </w:rPr>
        <w:t>年末政协相关</w:t>
      </w:r>
      <w:r>
        <w:rPr>
          <w:rFonts w:hint="eastAsia" w:ascii="仿宋_GB2312" w:hAnsi="sinsum" w:eastAsia="仿宋_GB2312"/>
          <w:color w:val="333333"/>
          <w:sz w:val="32"/>
          <w:szCs w:val="32"/>
          <w:shd w:val="clear" w:color="auto" w:fill="FFFFFF"/>
        </w:rPr>
        <w:t>会议经费实际费用支出</w:t>
      </w:r>
      <w:r>
        <w:rPr>
          <w:rFonts w:hint="eastAsia" w:ascii="仿宋_GB2312" w:hAnsi="sinsum" w:eastAsia="仿宋_GB2312"/>
          <w:color w:val="333333"/>
          <w:sz w:val="32"/>
          <w:szCs w:val="32"/>
          <w:shd w:val="clear" w:color="auto" w:fill="FFFFFF"/>
          <w:lang w:val="en-US" w:eastAsia="zh-CN"/>
        </w:rPr>
        <w:t>29.58</w:t>
      </w:r>
      <w:r>
        <w:rPr>
          <w:rFonts w:hint="eastAsia" w:ascii="仿宋_GB2312" w:hAnsi="sinsum" w:eastAsia="仿宋_GB2312"/>
          <w:color w:val="333333"/>
          <w:sz w:val="32"/>
          <w:szCs w:val="32"/>
          <w:shd w:val="clear" w:color="auto" w:fill="FFFFFF"/>
        </w:rPr>
        <w:t>万元，节约了</w:t>
      </w:r>
      <w:r>
        <w:rPr>
          <w:rFonts w:hint="eastAsia" w:ascii="仿宋_GB2312" w:hAnsi="sinsum" w:eastAsia="仿宋_GB2312"/>
          <w:color w:val="333333"/>
          <w:sz w:val="32"/>
          <w:szCs w:val="32"/>
          <w:shd w:val="clear" w:color="auto" w:fill="FFFFFF"/>
          <w:lang w:val="en-US" w:eastAsia="zh-CN"/>
        </w:rPr>
        <w:t>10.42</w:t>
      </w:r>
      <w:r>
        <w:rPr>
          <w:rFonts w:hint="eastAsia" w:ascii="仿宋_GB2312" w:hAnsi="sinsum" w:eastAsia="仿宋_GB2312"/>
          <w:color w:val="333333"/>
          <w:sz w:val="32"/>
          <w:szCs w:val="32"/>
          <w:shd w:val="clear" w:color="auto" w:fill="FFFFFF"/>
        </w:rPr>
        <w:t>万元。财政预算</w:t>
      </w:r>
      <w:r>
        <w:rPr>
          <w:rFonts w:hint="eastAsia" w:ascii="仿宋_GB2312" w:eastAsia="仿宋_GB2312"/>
          <w:color w:val="000000"/>
          <w:sz w:val="32"/>
          <w:szCs w:val="32"/>
          <w:shd w:val="clear" w:color="auto" w:fill="FFFFFF"/>
        </w:rPr>
        <w:t>资金及时拨款到位，充分保障了召开会议各个环节的运行。</w:t>
      </w:r>
    </w:p>
    <w:p w14:paraId="6600FC8F">
      <w:pPr>
        <w:topLinePunct/>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4.组织及管理情况。</w:t>
      </w:r>
    </w:p>
    <w:p w14:paraId="106AC011">
      <w:pPr>
        <w:topLinePunct/>
        <w:spacing w:line="560" w:lineRule="exact"/>
        <w:ind w:firstLine="640" w:firstLineChars="200"/>
        <w:rPr>
          <w:rFonts w:ascii="仿宋_GB2312" w:hAnsi="Times New Roman" w:eastAsia="仿宋_GB2312" w:cs="Times New Roman"/>
          <w:b/>
          <w:sz w:val="32"/>
          <w:szCs w:val="32"/>
        </w:rPr>
      </w:pPr>
      <w:r>
        <w:rPr>
          <w:rFonts w:hint="eastAsia" w:ascii="仿宋_GB2312" w:eastAsia="仿宋_GB2312"/>
          <w:color w:val="000000"/>
          <w:sz w:val="32"/>
          <w:szCs w:val="32"/>
          <w:shd w:val="clear" w:color="auto" w:fill="FFFFFF"/>
        </w:rPr>
        <w:t>县政协会议经费属历年延续项目，在使用过程中均严格按照规定执行。在机关领导的统筹安排下，相关人员按照会议要求</w:t>
      </w:r>
      <w:r>
        <w:rPr>
          <w:rFonts w:hint="eastAsia" w:ascii="仿宋_GB2312" w:eastAsia="仿宋_GB2312"/>
          <w:color w:val="000000"/>
          <w:sz w:val="32"/>
          <w:szCs w:val="16"/>
          <w:shd w:val="clear" w:color="auto" w:fill="FFFFFF"/>
        </w:rPr>
        <w:t>各司其职，共同准备会议的各项工作。</w:t>
      </w:r>
    </w:p>
    <w:p w14:paraId="5EABB822">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（二）绩效目标</w:t>
      </w:r>
    </w:p>
    <w:p w14:paraId="30478143">
      <w:pPr>
        <w:pStyle w:val="11"/>
        <w:numPr>
          <w:ilvl w:val="0"/>
          <w:numId w:val="1"/>
        </w:numPr>
        <w:topLinePunct/>
        <w:spacing w:line="560" w:lineRule="exact"/>
        <w:ind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总目标。</w:t>
      </w:r>
    </w:p>
    <w:p w14:paraId="3BBAB284">
      <w:pPr>
        <w:topLinePunct/>
        <w:spacing w:line="560" w:lineRule="exact"/>
        <w:ind w:firstLine="627" w:firstLineChars="196"/>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通过年初预算，落实保障会议资金</w:t>
      </w:r>
      <w:r>
        <w:rPr>
          <w:rFonts w:hint="eastAsia" w:ascii="Times New Roman" w:hAnsi="Times New Roman" w:eastAsia="仿宋_GB2312" w:cs="Times New Roman"/>
          <w:b/>
          <w:sz w:val="32"/>
          <w:szCs w:val="32"/>
        </w:rPr>
        <w:t>，</w:t>
      </w:r>
      <w:r>
        <w:rPr>
          <w:rFonts w:hint="eastAsia" w:ascii="仿宋_GB2312" w:eastAsia="仿宋_GB2312"/>
          <w:color w:val="000000"/>
          <w:sz w:val="32"/>
          <w:szCs w:val="21"/>
        </w:rPr>
        <w:t>认真履行政治协商、民主监督、参政议政职能。</w:t>
      </w:r>
    </w:p>
    <w:p w14:paraId="141E0A65">
      <w:pPr>
        <w:topLinePunct/>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2.年度目标。</w:t>
      </w:r>
    </w:p>
    <w:p w14:paraId="1ED2171F">
      <w:pPr>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（1）产出目标。</w:t>
      </w:r>
    </w:p>
    <w:p w14:paraId="3490512B">
      <w:pPr>
        <w:topLinePunct/>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olor w:val="000000"/>
          <w:sz w:val="32"/>
          <w:szCs w:val="21"/>
        </w:rPr>
        <w:t>按照年初工作计划组织召开了政协全体委员会，常务委员会，主席会议等会议；统筹县政协全体委员会、常务委员会、主席会等会议组织工作，贯彻落实会议召开资金保障。</w:t>
      </w:r>
    </w:p>
    <w:p w14:paraId="63E84CB9">
      <w:pPr>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（2）效果目标。</w:t>
      </w:r>
    </w:p>
    <w:p w14:paraId="035C3661">
      <w:pPr>
        <w:topLinePunct/>
        <w:spacing w:line="560" w:lineRule="exact"/>
        <w:ind w:firstLine="640" w:firstLineChars="200"/>
        <w:rPr>
          <w:rFonts w:ascii="仿宋_GB2312" w:hAnsi="Times New Roman" w:eastAsia="仿宋_GB2312" w:cs="Times New Roman"/>
          <w:sz w:val="32"/>
          <w:szCs w:val="32"/>
        </w:rPr>
      </w:pPr>
      <w:r>
        <w:rPr>
          <w:rFonts w:hint="eastAsia" w:ascii="仿宋_GB2312" w:hAnsi="sinsum" w:eastAsia="仿宋_GB2312"/>
          <w:color w:val="333333"/>
          <w:sz w:val="32"/>
          <w:szCs w:val="32"/>
          <w:shd w:val="clear" w:color="auto" w:fill="FFFFFF"/>
        </w:rPr>
        <w:t>通过会议的召开，政协委员把对政治经济、文化和社会生活中的重要问题以及人民普遍关心的问题开展调查研究后的结果，进行协商讨论，通过调研报告、提案、建议或其他形式，向党和政府提出意见和建议。</w:t>
      </w:r>
      <w:r>
        <w:rPr>
          <w:rFonts w:hint="eastAsia" w:ascii="仿宋_GB2312" w:eastAsia="仿宋_GB2312"/>
          <w:color w:val="000000"/>
          <w:sz w:val="32"/>
          <w:szCs w:val="32"/>
        </w:rPr>
        <w:t>认真履行政治协商、民主监督、参政议政职能，切实发挥协调关系、汇聚力量、建言献策、服务大局的作用。</w:t>
      </w:r>
    </w:p>
    <w:p w14:paraId="6529F174">
      <w:pPr>
        <w:topLinePunct/>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二、绩效评价工作情况</w:t>
      </w:r>
    </w:p>
    <w:p w14:paraId="03E68CC3">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（一）绩效评价目的</w:t>
      </w:r>
    </w:p>
    <w:p w14:paraId="5A3E2E2F">
      <w:pPr>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14:paraId="5D9B02BB">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（二）绩效评价原则、评价方法</w:t>
      </w:r>
    </w:p>
    <w:p w14:paraId="38BB03BC">
      <w:pPr>
        <w:topLinePunct/>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1.绩效评价原则。</w:t>
      </w:r>
    </w:p>
    <w:p w14:paraId="6A99D36A">
      <w:pPr>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（1）科学规范。</w:t>
      </w:r>
    </w:p>
    <w:p w14:paraId="1E7A8BB4">
      <w:pPr>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（2）公开公正。</w:t>
      </w:r>
    </w:p>
    <w:p w14:paraId="64811B4B">
      <w:pPr>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（3）绩效相关。</w:t>
      </w:r>
    </w:p>
    <w:p w14:paraId="6A78F0F4">
      <w:pPr>
        <w:topLinePunct/>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2.绩效评价方法。</w:t>
      </w:r>
    </w:p>
    <w:p w14:paraId="77EB61B6">
      <w:pPr>
        <w:topLinePunct/>
        <w:spacing w:line="56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根据设置的绩效评价指标，结合各项工作实际完成情况，采用综合考核进行打分，以评分结果认定评价等级。主要采用绩效目标与绩效结果进行比较，并结合指标评价、数据采集和服务对象满意度等对部门项目支出进行全面、细化、量化的评价。</w:t>
      </w:r>
    </w:p>
    <w:p w14:paraId="3F47FB28">
      <w:pPr>
        <w:topLinePunct/>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三、评价结论</w:t>
      </w:r>
    </w:p>
    <w:p w14:paraId="67E90F02">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（一）评价结果</w:t>
      </w:r>
    </w:p>
    <w:p w14:paraId="2DD7C8A2">
      <w:pPr>
        <w:topLinePunct/>
        <w:spacing w:line="560" w:lineRule="exact"/>
        <w:ind w:firstLine="800" w:firstLineChars="2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经评价，该项目总体完成情况良好，资金绩效目标明确，预算编制合理，项目和资金管理较为落实，项目效果良好。自评结果为：优秀。</w:t>
      </w:r>
    </w:p>
    <w:p w14:paraId="17D7A96E">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（二）主要绩效</w:t>
      </w:r>
    </w:p>
    <w:p w14:paraId="5FEBA0B5">
      <w:pPr>
        <w:topLinePunct/>
        <w:spacing w:line="560" w:lineRule="exact"/>
        <w:ind w:firstLine="640" w:firstLineChars="200"/>
        <w:rPr>
          <w:rFonts w:ascii="Times New Roman" w:hAnsi="Times New Roman" w:eastAsia="楷体_GB2312" w:cs="Times New Roman"/>
          <w:sz w:val="32"/>
          <w:szCs w:val="32"/>
        </w:rPr>
      </w:pPr>
      <w:r>
        <w:rPr>
          <w:rFonts w:hint="eastAsia" w:ascii="仿宋_GB2312" w:eastAsia="仿宋_GB2312"/>
          <w:color w:val="000000"/>
          <w:sz w:val="32"/>
          <w:szCs w:val="21"/>
        </w:rPr>
        <w:t>202</w:t>
      </w:r>
      <w:r>
        <w:rPr>
          <w:rFonts w:hint="eastAsia" w:ascii="仿宋_GB2312" w:eastAsia="仿宋_GB2312"/>
          <w:color w:val="000000"/>
          <w:sz w:val="32"/>
          <w:szCs w:val="21"/>
          <w:lang w:val="en-US" w:eastAsia="zh-CN"/>
        </w:rPr>
        <w:t>4</w:t>
      </w:r>
      <w:r>
        <w:rPr>
          <w:rFonts w:hint="eastAsia" w:ascii="仿宋_GB2312" w:eastAsia="仿宋_GB2312"/>
          <w:color w:val="000000"/>
          <w:sz w:val="32"/>
          <w:szCs w:val="21"/>
        </w:rPr>
        <w:t>年度累计召开政协全会1次，开展常务委员活动</w:t>
      </w:r>
      <w:r>
        <w:rPr>
          <w:rFonts w:hint="eastAsia" w:ascii="仿宋_GB2312" w:eastAsia="仿宋_GB2312"/>
          <w:color w:val="000000"/>
          <w:sz w:val="32"/>
          <w:szCs w:val="21"/>
          <w:lang w:val="en-US" w:eastAsia="zh-CN"/>
        </w:rPr>
        <w:t>8</w:t>
      </w:r>
      <w:r>
        <w:rPr>
          <w:rFonts w:hint="eastAsia" w:ascii="仿宋_GB2312" w:eastAsia="仿宋_GB2312"/>
          <w:color w:val="000000"/>
          <w:sz w:val="32"/>
          <w:szCs w:val="21"/>
        </w:rPr>
        <w:t>次，开展情况按照年初预设计划完成，充分发挥政协工作的积极性，政协工作服务经济社会发展，关注民生福祉，为增加人民群众获得感发声致力社会建设，为构建和谐美丽幸福湘阴支招。政协专项在进行过程中得到政协委员的高度认可，各级领导的高度重视，202</w:t>
      </w:r>
      <w:r>
        <w:rPr>
          <w:rFonts w:hint="eastAsia" w:ascii="仿宋_GB2312" w:eastAsia="仿宋_GB2312"/>
          <w:color w:val="000000"/>
          <w:sz w:val="32"/>
          <w:szCs w:val="21"/>
          <w:lang w:val="en-US" w:eastAsia="zh-CN"/>
        </w:rPr>
        <w:t>4</w:t>
      </w:r>
      <w:r>
        <w:rPr>
          <w:rFonts w:hint="eastAsia" w:ascii="仿宋_GB2312" w:eastAsia="仿宋_GB2312"/>
          <w:color w:val="000000"/>
          <w:sz w:val="32"/>
          <w:szCs w:val="21"/>
        </w:rPr>
        <w:t>年工作圆满完成。202</w:t>
      </w:r>
      <w:r>
        <w:rPr>
          <w:rFonts w:hint="eastAsia" w:ascii="仿宋_GB2312" w:eastAsia="仿宋_GB2312"/>
          <w:color w:val="000000"/>
          <w:sz w:val="32"/>
          <w:szCs w:val="21"/>
          <w:lang w:val="en-US" w:eastAsia="zh-CN"/>
        </w:rPr>
        <w:t>4</w:t>
      </w:r>
      <w:r>
        <w:rPr>
          <w:rFonts w:hint="eastAsia" w:ascii="仿宋_GB2312" w:eastAsia="仿宋_GB2312"/>
          <w:color w:val="000000"/>
          <w:sz w:val="32"/>
          <w:szCs w:val="21"/>
        </w:rPr>
        <w:t>年度实际支出控制在预算内，未出现超支情况。进一步加强履职服务与管理，推动更好地履行职责，同时通过对会议经费项目活动提供经费保障。达到牢牢把握团结和民主两大主题，认真履行政治协商、民主监督、参政议政职能，切实发挥协调关系、汇聚力量、建言献策、服务大局的作用。</w:t>
      </w:r>
    </w:p>
    <w:p w14:paraId="0E60DCE1">
      <w:pPr>
        <w:pStyle w:val="5"/>
        <w:widowControl w:val="0"/>
        <w:shd w:val="clear" w:color="auto" w:fill="FFFFFF"/>
        <w:spacing w:before="0" w:beforeAutospacing="0" w:after="0" w:afterAutospacing="0" w:line="560" w:lineRule="exact"/>
        <w:ind w:firstLine="640" w:firstLineChars="200"/>
        <w:textAlignment w:val="baseline"/>
        <w:rPr>
          <w:rFonts w:ascii="Times New Roman" w:hAnsi="黑体" w:eastAsia="黑体" w:cs="Times New Roman"/>
          <w:sz w:val="32"/>
          <w:szCs w:val="32"/>
        </w:rPr>
      </w:pPr>
      <w:r>
        <w:rPr>
          <w:rFonts w:ascii="Times New Roman" w:hAnsi="黑体" w:eastAsia="黑体" w:cs="Times New Roman"/>
          <w:sz w:val="32"/>
          <w:szCs w:val="32"/>
        </w:rPr>
        <w:t>四、成本效益分析。</w:t>
      </w:r>
    </w:p>
    <w:p w14:paraId="6173D861">
      <w:pPr>
        <w:pStyle w:val="5"/>
        <w:widowControl w:val="0"/>
        <w:shd w:val="clear" w:color="auto" w:fill="FFFFFF"/>
        <w:spacing w:before="0" w:beforeAutospacing="0" w:after="0" w:afterAutospacing="0" w:line="560" w:lineRule="exact"/>
        <w:ind w:firstLine="640" w:firstLineChars="200"/>
        <w:jc w:val="both"/>
        <w:textAlignment w:val="baseline"/>
        <w:rPr>
          <w:rFonts w:ascii="仿宋_GB2312" w:eastAsia="仿宋_GB2312"/>
          <w:color w:val="000000"/>
          <w:sz w:val="32"/>
          <w:szCs w:val="16"/>
        </w:rPr>
      </w:pPr>
      <w:r>
        <w:rPr>
          <w:rFonts w:hint="eastAsia" w:ascii="仿宋_GB2312" w:eastAsia="仿宋_GB2312"/>
          <w:color w:val="000000"/>
          <w:sz w:val="32"/>
          <w:szCs w:val="16"/>
        </w:rPr>
        <w:t>按照年初工作计划召开政协全会、常委会主席会等相关会议，年初财政预算安排资金4</w:t>
      </w:r>
      <w:r>
        <w:rPr>
          <w:rFonts w:hint="eastAsia" w:ascii="仿宋_GB2312" w:eastAsia="仿宋_GB2312"/>
          <w:color w:val="000000"/>
          <w:sz w:val="32"/>
          <w:szCs w:val="16"/>
          <w:lang w:val="en-US" w:eastAsia="zh-CN"/>
        </w:rPr>
        <w:t>0</w:t>
      </w:r>
      <w:r>
        <w:rPr>
          <w:rFonts w:hint="eastAsia" w:ascii="仿宋_GB2312" w:eastAsia="仿宋_GB2312"/>
          <w:color w:val="000000"/>
          <w:sz w:val="32"/>
          <w:szCs w:val="16"/>
        </w:rPr>
        <w:t>万元作为我单位召开会议的支出。至年末实际支付会议费</w:t>
      </w:r>
      <w:r>
        <w:rPr>
          <w:rFonts w:hint="eastAsia" w:ascii="仿宋_GB2312" w:hAnsi="sinsum" w:eastAsia="仿宋_GB2312"/>
          <w:color w:val="333333"/>
          <w:sz w:val="32"/>
          <w:szCs w:val="32"/>
          <w:shd w:val="clear" w:color="auto" w:fill="FFFFFF"/>
          <w:lang w:val="en-US" w:eastAsia="zh-CN"/>
        </w:rPr>
        <w:t>29.58</w:t>
      </w:r>
      <w:r>
        <w:rPr>
          <w:rFonts w:hint="eastAsia" w:ascii="仿宋_GB2312" w:hAnsi="sinsum" w:eastAsia="仿宋_GB2312"/>
          <w:color w:val="333333"/>
          <w:sz w:val="32"/>
          <w:szCs w:val="32"/>
          <w:shd w:val="clear" w:color="auto" w:fill="FFFFFF"/>
        </w:rPr>
        <w:t>万元，资金</w:t>
      </w:r>
      <w:r>
        <w:rPr>
          <w:rFonts w:hint="eastAsia" w:ascii="仿宋_GB2312" w:eastAsia="仿宋_GB2312"/>
          <w:color w:val="000000"/>
          <w:sz w:val="32"/>
          <w:szCs w:val="16"/>
        </w:rPr>
        <w:t>按时足额拨款到位，充分保障了召开会议各个环节的运行。</w:t>
      </w:r>
    </w:p>
    <w:p w14:paraId="0A372F92">
      <w:pPr>
        <w:pStyle w:val="5"/>
        <w:widowControl w:val="0"/>
        <w:shd w:val="clear" w:color="auto" w:fill="FFFFFF"/>
        <w:spacing w:before="0" w:beforeAutospacing="0" w:after="0" w:afterAutospacing="0" w:line="560" w:lineRule="exact"/>
        <w:ind w:firstLine="640" w:firstLineChars="200"/>
        <w:jc w:val="both"/>
        <w:textAlignment w:val="baseline"/>
        <w:rPr>
          <w:rFonts w:ascii="仿宋_GB2312" w:eastAsia="仿宋_GB2312"/>
          <w:color w:val="000000"/>
          <w:sz w:val="32"/>
          <w:szCs w:val="16"/>
        </w:rPr>
      </w:pPr>
      <w:r>
        <w:rPr>
          <w:rFonts w:hint="eastAsia" w:ascii="仿宋_GB2312" w:eastAsia="仿宋_GB2312"/>
          <w:color w:val="000000"/>
          <w:sz w:val="32"/>
          <w:szCs w:val="16"/>
        </w:rPr>
        <w:t>通过相关会议的召开，政协委员把对政治经济、文化和社会生活中的重要问题以及人民普遍关心的问题开展调查研究后的结果进行协商讨论，通过调研报告、提案、建议或其他形式，向党和政府提出意见和建议。圆满完成年度预算目标。</w:t>
      </w:r>
    </w:p>
    <w:p w14:paraId="7F060F46">
      <w:pPr>
        <w:topLinePunct/>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五、主要经验及做法、存在的问题和建议</w:t>
      </w:r>
    </w:p>
    <w:p w14:paraId="747457B9">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（一）主要经验及做法</w:t>
      </w:r>
    </w:p>
    <w:p w14:paraId="4004EE4A">
      <w:pPr>
        <w:pStyle w:val="5"/>
        <w:spacing w:before="0" w:beforeAutospacing="0" w:after="0" w:afterAutospacing="0"/>
        <w:ind w:firstLine="645"/>
        <w:rPr>
          <w:color w:val="000000"/>
          <w:sz w:val="32"/>
          <w:szCs w:val="32"/>
        </w:rPr>
      </w:pPr>
      <w:r>
        <w:rPr>
          <w:rFonts w:hint="eastAsia" w:ascii="仿宋_GB2312" w:eastAsia="仿宋_GB2312"/>
          <w:color w:val="000000"/>
          <w:sz w:val="32"/>
          <w:szCs w:val="32"/>
        </w:rPr>
        <w:t>项目经费严格按照单位的财务制度和预算支出范围的使用。县财政局国库支付局统一支付，按照项目计划安排和实际工作情况开支，做到了专款专用。资金的使用符合国家财经法规和财务管理制度以及有关专项资金管理办法的规定，不存在截留、挤占、挪用、虚列支出等情况。</w:t>
      </w:r>
    </w:p>
    <w:p w14:paraId="26918C6D">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（二）存在的问题</w:t>
      </w:r>
    </w:p>
    <w:p w14:paraId="7544D2DC">
      <w:pPr>
        <w:topLinePunct/>
        <w:spacing w:line="560" w:lineRule="exact"/>
        <w:ind w:firstLine="640" w:firstLineChars="200"/>
        <w:rPr>
          <w:rFonts w:ascii="仿宋_GB2312" w:hAnsi="Times New Roman" w:eastAsia="仿宋_GB2312" w:cs="Times New Roman"/>
          <w:sz w:val="32"/>
          <w:szCs w:val="32"/>
        </w:rPr>
      </w:pPr>
      <w:r>
        <w:rPr>
          <w:rFonts w:hint="eastAsia" w:ascii="仿宋_GB2312" w:eastAsia="仿宋_GB2312"/>
          <w:color w:val="3D3D3D"/>
          <w:sz w:val="32"/>
          <w:szCs w:val="32"/>
          <w:shd w:val="clear" w:color="auto" w:fill="FFFFFF"/>
        </w:rPr>
        <w:t>项目支出核算难以十分精准。由于多数项目为非工程建设类项目，而是行政支出类事项，有些支出与机关行政运转支出难以精确区分，项目资金的核算和管理难以做到精准精细。</w:t>
      </w:r>
    </w:p>
    <w:p w14:paraId="172D3210">
      <w:pPr>
        <w:topLinePunct/>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（三）建议和改进措施</w:t>
      </w:r>
    </w:p>
    <w:p w14:paraId="68CAB31B">
      <w:pPr>
        <w:topLinePunct/>
        <w:spacing w:line="560" w:lineRule="exact"/>
        <w:ind w:firstLine="640" w:firstLineChars="200"/>
        <w:rPr>
          <w:rFonts w:ascii="仿宋_GB2312" w:hAnsi="Times New Roman" w:eastAsia="仿宋_GB2312" w:cs="Times New Roman"/>
          <w:sz w:val="32"/>
          <w:szCs w:val="32"/>
        </w:rPr>
      </w:pPr>
      <w:r>
        <w:rPr>
          <w:rFonts w:hint="eastAsia" w:ascii="仿宋_GB2312" w:eastAsia="仿宋_GB2312"/>
          <w:color w:val="000000"/>
          <w:sz w:val="32"/>
          <w:szCs w:val="18"/>
        </w:rPr>
        <w:t>加强学习，提升绩效管理水平重视和加强财务管理能力建设，抓好各项目管理人员和财务人员的培训和指导，提高预决算管理水平，增强预算绩效管理意识，提高项目绩效管理水平。</w:t>
      </w:r>
    </w:p>
    <w:bookmarkEnd w:id="0"/>
    <w:bookmarkEnd w:id="1"/>
    <w:bookmarkEnd w:id="2"/>
    <w:bookmarkEnd w:id="3"/>
    <w:p w14:paraId="294381DB">
      <w:pPr>
        <w:spacing w:line="560" w:lineRule="exact"/>
        <w:ind w:firstLine="640" w:firstLineChars="200"/>
        <w:rPr>
          <w:rFonts w:ascii="Times New Roman" w:hAnsi="Times New Roman" w:eastAsia="仿宋_GB2312" w:cs="Times New Roman"/>
          <w:sz w:val="32"/>
          <w:szCs w:val="32"/>
        </w:rPr>
      </w:pPr>
      <w:bookmarkStart w:id="4" w:name="_Toc2916"/>
    </w:p>
    <w:p w14:paraId="0469E4DC">
      <w:pPr>
        <w:spacing w:line="560" w:lineRule="exact"/>
        <w:ind w:firstLine="640" w:firstLineChars="200"/>
        <w:rPr>
          <w:rFonts w:ascii="Times New Roman" w:hAnsi="Times New Roman" w:eastAsia="仿宋_GB2312" w:cs="Times New Roman"/>
          <w:sz w:val="32"/>
          <w:szCs w:val="32"/>
        </w:rPr>
      </w:pPr>
    </w:p>
    <w:p w14:paraId="49DE7A64">
      <w:pPr>
        <w:spacing w:line="560" w:lineRule="exact"/>
        <w:ind w:firstLine="640" w:firstLineChars="200"/>
        <w:rPr>
          <w:rFonts w:ascii="Times New Roman" w:hAnsi="Times New Roman" w:eastAsia="仿宋_GB2312" w:cs="Times New Roman"/>
          <w:sz w:val="32"/>
          <w:szCs w:val="32"/>
        </w:rPr>
      </w:pPr>
    </w:p>
    <w:p w14:paraId="5235EBA4">
      <w:pPr>
        <w:spacing w:line="560" w:lineRule="exact"/>
        <w:ind w:firstLine="640" w:firstLineChars="200"/>
        <w:rPr>
          <w:rFonts w:ascii="Times New Roman" w:hAnsi="Times New Roman" w:eastAsia="仿宋_GB2312" w:cs="Times New Roman"/>
          <w:sz w:val="32"/>
          <w:szCs w:val="32"/>
        </w:rPr>
      </w:pPr>
    </w:p>
    <w:p w14:paraId="71C0C3B7">
      <w:pPr>
        <w:spacing w:line="560" w:lineRule="exact"/>
        <w:ind w:firstLine="640" w:firstLineChars="200"/>
        <w:rPr>
          <w:rFonts w:ascii="Times New Roman" w:hAnsi="Times New Roman" w:eastAsia="仿宋_GB2312" w:cs="Times New Roman"/>
          <w:sz w:val="32"/>
          <w:szCs w:val="32"/>
        </w:rPr>
      </w:pPr>
    </w:p>
    <w:p w14:paraId="09D9F750">
      <w:pPr>
        <w:spacing w:line="560" w:lineRule="exact"/>
        <w:ind w:firstLine="640" w:firstLineChars="200"/>
        <w:rPr>
          <w:rFonts w:ascii="Times New Roman" w:hAnsi="Times New Roman" w:eastAsia="仿宋_GB2312" w:cs="Times New Roman"/>
          <w:sz w:val="32"/>
          <w:szCs w:val="32"/>
        </w:rPr>
      </w:pPr>
    </w:p>
    <w:p w14:paraId="7ADDBE4F">
      <w:pPr>
        <w:spacing w:line="560" w:lineRule="exact"/>
        <w:ind w:firstLine="640" w:firstLineChars="200"/>
        <w:rPr>
          <w:rFonts w:ascii="Times New Roman" w:hAnsi="Times New Roman" w:eastAsia="仿宋_GB2312" w:cs="Times New Roman"/>
          <w:sz w:val="32"/>
          <w:szCs w:val="32"/>
        </w:rPr>
      </w:pPr>
    </w:p>
    <w:p w14:paraId="5C0A7062">
      <w:pPr>
        <w:spacing w:line="560" w:lineRule="exact"/>
        <w:ind w:firstLine="640" w:firstLineChars="200"/>
        <w:rPr>
          <w:rFonts w:ascii="Times New Roman" w:hAnsi="Times New Roman" w:eastAsia="仿宋_GB2312" w:cs="Times New Roman"/>
          <w:sz w:val="32"/>
          <w:szCs w:val="32"/>
        </w:rPr>
      </w:pPr>
    </w:p>
    <w:p w14:paraId="2FDA2C5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bookmarkEnd w:id="4"/>
      <w:r>
        <w:rPr>
          <w:rFonts w:hint="eastAsia" w:ascii="Times New Roman" w:hAnsi="Times New Roman" w:eastAsia="仿宋_GB2312" w:cs="Times New Roman"/>
          <w:sz w:val="32"/>
          <w:szCs w:val="32"/>
        </w:rPr>
        <w:t>政协富民县委员会办公室202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年度政协会议经费项目资金</w:t>
      </w:r>
      <w:r>
        <w:rPr>
          <w:rFonts w:ascii="Times New Roman" w:hAnsi="Times New Roman" w:eastAsia="仿宋_GB2312" w:cs="Times New Roman"/>
          <w:sz w:val="32"/>
          <w:szCs w:val="32"/>
        </w:rPr>
        <w:t>支出绩效评价指标体系及打分表</w:t>
      </w:r>
    </w:p>
    <w:p w14:paraId="2D09484B">
      <w:pPr>
        <w:ind w:firstLine="640" w:firstLineChars="200"/>
        <w:rPr>
          <w:rFonts w:ascii="Times New Roman" w:hAnsi="Times New Roman" w:eastAsia="仿宋_GB2312" w:cs="Times New Roman"/>
          <w:sz w:val="32"/>
          <w:szCs w:val="32"/>
        </w:rPr>
      </w:pPr>
    </w:p>
    <w:p w14:paraId="22312E05">
      <w:pPr>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p w14:paraId="72422450">
      <w:pPr>
        <w:pStyle w:val="2"/>
        <w:widowControl w:val="0"/>
        <w:overflowPunct/>
        <w:autoSpaceDE/>
        <w:autoSpaceDN/>
        <w:adjustRightInd/>
        <w:spacing w:before="120" w:after="120" w:line="415" w:lineRule="auto"/>
        <w:ind w:firstLine="560" w:firstLineChars="200"/>
        <w:jc w:val="left"/>
        <w:rPr>
          <w:rFonts w:ascii="Times New Roman" w:hAnsi="Times New Roman" w:eastAsia="仿宋_GB2312"/>
          <w:b w:val="0"/>
          <w:kern w:val="2"/>
          <w:sz w:val="28"/>
          <w:szCs w:val="28"/>
        </w:rPr>
      </w:pPr>
      <w:bookmarkStart w:id="5" w:name="_Toc72852509"/>
      <w:r>
        <w:rPr>
          <w:rFonts w:ascii="Times New Roman" w:hAnsi="Times New Roman" w:eastAsia="仿宋_GB2312"/>
          <w:b w:val="0"/>
          <w:kern w:val="2"/>
          <w:sz w:val="28"/>
          <w:szCs w:val="28"/>
        </w:rPr>
        <w:t>附件1</w:t>
      </w:r>
    </w:p>
    <w:bookmarkEnd w:id="5"/>
    <w:p w14:paraId="03C19158">
      <w:pPr>
        <w:pStyle w:val="2"/>
        <w:widowControl w:val="0"/>
        <w:overflowPunct/>
        <w:autoSpaceDE/>
        <w:autoSpaceDN/>
        <w:adjustRightInd/>
        <w:spacing w:before="120" w:after="120" w:line="415" w:lineRule="auto"/>
        <w:ind w:firstLine="723" w:firstLineChars="200"/>
        <w:jc w:val="center"/>
        <w:rPr>
          <w:rFonts w:ascii="Times New Roman" w:hAnsi="Times New Roman" w:eastAsia="仿宋_GB2312"/>
          <w:kern w:val="2"/>
          <w:sz w:val="36"/>
          <w:szCs w:val="36"/>
        </w:rPr>
      </w:pPr>
      <w:r>
        <w:rPr>
          <w:rFonts w:hint="eastAsia" w:ascii="Times New Roman" w:hAnsi="Times New Roman" w:eastAsia="仿宋_GB2312"/>
          <w:kern w:val="2"/>
          <w:sz w:val="36"/>
          <w:szCs w:val="36"/>
        </w:rPr>
        <w:t>政协富民县委员会办公室202</w:t>
      </w:r>
      <w:r>
        <w:rPr>
          <w:rFonts w:hint="eastAsia" w:ascii="Times New Roman" w:hAnsi="Times New Roman" w:eastAsia="仿宋_GB2312"/>
          <w:kern w:val="2"/>
          <w:sz w:val="36"/>
          <w:szCs w:val="36"/>
          <w:lang w:val="en-US" w:eastAsia="zh-CN"/>
        </w:rPr>
        <w:t>4</w:t>
      </w:r>
      <w:r>
        <w:rPr>
          <w:rFonts w:hint="eastAsia" w:ascii="Times New Roman" w:hAnsi="Times New Roman" w:eastAsia="仿宋_GB2312"/>
          <w:kern w:val="2"/>
          <w:sz w:val="36"/>
          <w:szCs w:val="36"/>
        </w:rPr>
        <w:t>年度政协会议经费项目资金</w:t>
      </w:r>
      <w:r>
        <w:rPr>
          <w:rFonts w:ascii="Times New Roman" w:hAnsi="Times New Roman" w:eastAsia="仿宋_GB2312"/>
          <w:kern w:val="2"/>
          <w:sz w:val="36"/>
          <w:szCs w:val="36"/>
        </w:rPr>
        <w:t>支出绩效评价指标体系及打分表</w:t>
      </w:r>
    </w:p>
    <w:p w14:paraId="18F2CD86">
      <w:pPr>
        <w:rPr>
          <w:rFonts w:ascii="Times New Roman" w:hAnsi="Times New Roman" w:cs="Times New Roman"/>
        </w:rPr>
      </w:pPr>
    </w:p>
    <w:tbl>
      <w:tblPr>
        <w:tblStyle w:val="6"/>
        <w:tblW w:w="13953" w:type="dxa"/>
        <w:tblInd w:w="-5" w:type="dxa"/>
        <w:tblLayout w:type="fixed"/>
        <w:tblCellMar>
          <w:top w:w="0" w:type="dxa"/>
          <w:left w:w="108" w:type="dxa"/>
          <w:bottom w:w="0" w:type="dxa"/>
          <w:right w:w="108" w:type="dxa"/>
        </w:tblCellMar>
      </w:tblPr>
      <w:tblGrid>
        <w:gridCol w:w="845"/>
        <w:gridCol w:w="975"/>
        <w:gridCol w:w="1356"/>
        <w:gridCol w:w="2275"/>
        <w:gridCol w:w="4533"/>
        <w:gridCol w:w="531"/>
        <w:gridCol w:w="693"/>
        <w:gridCol w:w="699"/>
        <w:gridCol w:w="2046"/>
      </w:tblGrid>
      <w:tr w14:paraId="35919219">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14:paraId="4B09A22E">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一级</w:t>
            </w:r>
          </w:p>
          <w:p w14:paraId="526FD8B2">
            <w:pPr>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14:paraId="648620D3">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二级</w:t>
            </w:r>
          </w:p>
          <w:p w14:paraId="28F6C7CD">
            <w:pPr>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7027438">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388BE40">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指标解释</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679DE98A">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评价标准</w:t>
            </w:r>
          </w:p>
        </w:tc>
        <w:tc>
          <w:tcPr>
            <w:tcW w:w="531" w:type="dxa"/>
            <w:tcBorders>
              <w:top w:val="single" w:color="auto" w:sz="4" w:space="0"/>
              <w:left w:val="single" w:color="auto" w:sz="4" w:space="0"/>
              <w:bottom w:val="single" w:color="auto" w:sz="4" w:space="0"/>
              <w:right w:val="single" w:color="auto" w:sz="4" w:space="0"/>
            </w:tcBorders>
            <w:vAlign w:val="center"/>
          </w:tcPr>
          <w:p w14:paraId="57925715">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0CD45329">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E874854">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245647A4">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扣分原因</w:t>
            </w:r>
          </w:p>
        </w:tc>
      </w:tr>
      <w:tr w14:paraId="4FFE327C">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8DD2CF">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决策</w:t>
            </w:r>
            <w:r>
              <w:rPr>
                <w:rFonts w:ascii="Times New Roman" w:hAnsi="Times New Roman" w:eastAsia="宋体" w:cs="Times New Roman"/>
                <w:kern w:val="0"/>
                <w:sz w:val="18"/>
                <w:szCs w:val="18"/>
              </w:rPr>
              <w:t>(10)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5F023B">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项目立项</w:t>
            </w:r>
            <w:r>
              <w:rPr>
                <w:rFonts w:ascii="Times New Roman" w:hAnsi="Times New Roman" w:eastAsia="宋体" w:cs="Times New Roman"/>
                <w:kern w:val="0"/>
                <w:sz w:val="18"/>
                <w:szCs w:val="18"/>
              </w:rPr>
              <w:t>(7</w:t>
            </w:r>
            <w:r>
              <w:rPr>
                <w:rFonts w:ascii="Times New Roman" w:hAnsi="Arial Narrow" w:eastAsia="宋体" w:cs="Times New Roman"/>
                <w:kern w:val="0"/>
                <w:sz w:val="18"/>
                <w:szCs w:val="18"/>
              </w:rPr>
              <w:t>分</w:t>
            </w:r>
            <w:r>
              <w:rPr>
                <w:rFonts w:ascii="Times New Roman" w:hAnsi="Times New Roman" w:eastAsia="宋体" w:cs="Times New Roman"/>
                <w:kern w:val="0"/>
                <w:sz w:val="18"/>
                <w:szCs w:val="18"/>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6625D41">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项目立项规范性（</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6526134">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项目的申请、设立过程是否符合相关要求，用以反映和考核项目立项的规范情况。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140737C4">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项目是否按照规定的程序申请设立；</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文件、材料是否符合相关要求；</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③</w:t>
            </w:r>
            <w:r>
              <w:rPr>
                <w:rFonts w:ascii="Times New Roman" w:hAnsi="Arial Narrow" w:eastAsia="宋体" w:cs="Times New Roman"/>
                <w:kern w:val="0"/>
                <w:sz w:val="18"/>
                <w:szCs w:val="18"/>
              </w:rPr>
              <w:t>事前是否已经过必要的可行性研究、专家论证、风险评估、集体决策等。</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0.5</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36508E36">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381B4B0">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ACDA337">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09924CEA">
            <w:pPr>
              <w:widowControl/>
              <w:jc w:val="center"/>
              <w:rPr>
                <w:rFonts w:ascii="Times New Roman" w:hAnsi="Times New Roman" w:eastAsia="宋体" w:cs="Times New Roman"/>
                <w:kern w:val="0"/>
                <w:sz w:val="18"/>
                <w:szCs w:val="18"/>
              </w:rPr>
            </w:pPr>
          </w:p>
        </w:tc>
      </w:tr>
      <w:tr w14:paraId="4360AE6E">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3CD5378">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CAB1D6">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002A307">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绩效目标合理性（</w:t>
            </w:r>
            <w:r>
              <w:rPr>
                <w:rFonts w:ascii="Times New Roman" w:hAnsi="Times New Roman" w:eastAsia="宋体" w:cs="Times New Roman"/>
                <w:kern w:val="0"/>
                <w:sz w:val="18"/>
                <w:szCs w:val="18"/>
              </w:rPr>
              <w:t>2</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78014E5">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项目所设定的绩效目标是否依据充分，是否符合客观实际，用以反映和考核项目绩效目标与项目实施的相符情况。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1A5209A0">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是否符合国家相关法律法规、国民经济发展规划和党委政府决策；</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是否与项目实施单位或委托单位职责密切相关；</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③</w:t>
            </w:r>
            <w:r>
              <w:rPr>
                <w:rFonts w:ascii="Times New Roman" w:hAnsi="Arial Narrow" w:eastAsia="宋体" w:cs="Times New Roman"/>
                <w:kern w:val="0"/>
                <w:sz w:val="18"/>
                <w:szCs w:val="18"/>
              </w:rPr>
              <w:t>项目是否为促进事业发展所必需；</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④</w:t>
            </w:r>
            <w:r>
              <w:rPr>
                <w:rFonts w:ascii="Times New Roman" w:hAnsi="Arial Narrow" w:eastAsia="宋体" w:cs="Times New Roman"/>
                <w:kern w:val="0"/>
                <w:sz w:val="18"/>
                <w:szCs w:val="18"/>
              </w:rPr>
              <w:t>项目预期产出效益和效果是否符合正常的业绩水平。</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0.5</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5837D131">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4586956E">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FB02709">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60FBF1EF">
            <w:pPr>
              <w:widowControl/>
              <w:jc w:val="center"/>
              <w:rPr>
                <w:rFonts w:ascii="Times New Roman" w:hAnsi="Times New Roman" w:eastAsia="宋体" w:cs="Times New Roman"/>
                <w:kern w:val="0"/>
                <w:sz w:val="18"/>
                <w:szCs w:val="18"/>
              </w:rPr>
            </w:pPr>
          </w:p>
        </w:tc>
      </w:tr>
      <w:tr w14:paraId="44E4CE88">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ADECC78">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56F4ED">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9CB3C12">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绩效指标明确性（</w:t>
            </w:r>
            <w:r>
              <w:rPr>
                <w:rFonts w:ascii="Times New Roman" w:hAnsi="Times New Roman" w:eastAsia="宋体" w:cs="Times New Roman"/>
                <w:kern w:val="0"/>
                <w:sz w:val="18"/>
                <w:szCs w:val="18"/>
              </w:rPr>
              <w:t>4</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6023019">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依据绩效目标设定的绩效指标是否清晰、细化、可衡量等，用以反映和考核项目绩效目标的明细化情况。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16AA487F">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是否将项目绩效目标细化分解为具体的绩效指标；</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是否通过清晰、可衡量的指标值予以体现；</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③</w:t>
            </w:r>
            <w:r>
              <w:rPr>
                <w:rFonts w:ascii="Times New Roman" w:hAnsi="Arial Narrow" w:eastAsia="宋体" w:cs="Times New Roman"/>
                <w:kern w:val="0"/>
                <w:sz w:val="18"/>
                <w:szCs w:val="18"/>
              </w:rPr>
              <w:t>是否与项目年度任务数或计划数相对应；</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④</w:t>
            </w:r>
            <w:r>
              <w:rPr>
                <w:rFonts w:ascii="Times New Roman" w:hAnsi="Arial Narrow" w:eastAsia="宋体" w:cs="Times New Roman"/>
                <w:kern w:val="0"/>
                <w:sz w:val="18"/>
                <w:szCs w:val="18"/>
              </w:rPr>
              <w:t>是否与预算确定的项目投资额或资金量相匹配。</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67316419">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624E0295">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576E61B">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7EDCC6F8">
            <w:pPr>
              <w:widowControl/>
              <w:jc w:val="center"/>
              <w:rPr>
                <w:rFonts w:ascii="Times New Roman" w:hAnsi="Times New Roman" w:eastAsia="宋体" w:cs="Times New Roman"/>
                <w:kern w:val="0"/>
                <w:sz w:val="18"/>
                <w:szCs w:val="18"/>
              </w:rPr>
            </w:pPr>
          </w:p>
        </w:tc>
      </w:tr>
      <w:tr w14:paraId="45898908">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B5AA87C">
            <w:pPr>
              <w:widowControl/>
              <w:jc w:val="left"/>
              <w:rPr>
                <w:rFonts w:ascii="Times New Roman" w:hAnsi="Times New Roman" w:eastAsia="宋体" w:cs="Times New Roman"/>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C1347">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资金落实</w:t>
            </w:r>
            <w:r>
              <w:rPr>
                <w:rFonts w:ascii="Times New Roman" w:hAnsi="Times New Roman" w:eastAsia="宋体" w:cs="Times New Roman"/>
                <w:kern w:val="0"/>
                <w:sz w:val="18"/>
                <w:szCs w:val="18"/>
              </w:rPr>
              <w:t>(3</w:t>
            </w:r>
            <w:r>
              <w:rPr>
                <w:rFonts w:ascii="Times New Roman" w:hAnsi="Arial Narrow" w:eastAsia="宋体" w:cs="Times New Roman"/>
                <w:kern w:val="0"/>
                <w:sz w:val="18"/>
                <w:szCs w:val="18"/>
              </w:rPr>
              <w:t>分</w:t>
            </w:r>
            <w:r>
              <w:rPr>
                <w:rFonts w:ascii="Times New Roman" w:hAnsi="Times New Roman" w:eastAsia="宋体" w:cs="Times New Roman"/>
                <w:kern w:val="0"/>
                <w:sz w:val="18"/>
                <w:szCs w:val="18"/>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DB97EAC">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资金到位率（</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8B07DE9">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实际到位资金与计划投入资金的比率，用以反映和考核资金落实情况对项目实施的总体保障程度。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032F4DDF">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资金到位率</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（实际到位资金</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计划投入资金）</w:t>
            </w:r>
            <w:r>
              <w:rPr>
                <w:rFonts w:ascii="Times New Roman" w:hAnsi="Times New Roman" w:eastAsia="宋体" w:cs="Times New Roman"/>
                <w:kern w:val="0"/>
                <w:sz w:val="18"/>
                <w:szCs w:val="18"/>
              </w:rPr>
              <w:t>×100%</w:t>
            </w:r>
            <w:r>
              <w:rPr>
                <w:rFonts w:ascii="Times New Roman" w:hAnsi="Arial Narrow" w:eastAsia="宋体" w:cs="Times New Roman"/>
                <w:kern w:val="0"/>
                <w:sz w:val="18"/>
                <w:szCs w:val="18"/>
              </w:rPr>
              <w:t>。</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资金到位率大于</w:t>
            </w:r>
            <w:r>
              <w:rPr>
                <w:rFonts w:ascii="Times New Roman" w:hAnsi="Times New Roman" w:eastAsia="宋体" w:cs="Times New Roman"/>
                <w:kern w:val="0"/>
                <w:sz w:val="18"/>
                <w:szCs w:val="18"/>
              </w:rPr>
              <w:t>90%</w:t>
            </w:r>
            <w:r>
              <w:rPr>
                <w:rFonts w:ascii="Times New Roman" w:hAnsi="Arial Narrow" w:eastAsia="宋体" w:cs="Times New Roman"/>
                <w:kern w:val="0"/>
                <w:sz w:val="18"/>
                <w:szCs w:val="18"/>
              </w:rPr>
              <w:t>的得满分，每少</w:t>
            </w:r>
            <w:r>
              <w:rPr>
                <w:rFonts w:ascii="Times New Roman" w:hAnsi="Times New Roman" w:eastAsia="宋体" w:cs="Times New Roman"/>
                <w:kern w:val="0"/>
                <w:sz w:val="18"/>
                <w:szCs w:val="18"/>
              </w:rPr>
              <w:t>5</w:t>
            </w:r>
            <w:r>
              <w:rPr>
                <w:rFonts w:ascii="Times New Roman" w:hAnsi="Arial Narrow" w:eastAsia="宋体" w:cs="Times New Roman"/>
                <w:kern w:val="0"/>
                <w:sz w:val="18"/>
                <w:szCs w:val="18"/>
              </w:rPr>
              <w:t>个百分点扣</w:t>
            </w:r>
            <w:r>
              <w:rPr>
                <w:rFonts w:ascii="Times New Roman" w:hAnsi="Times New Roman" w:eastAsia="宋体" w:cs="Times New Roman"/>
                <w:kern w:val="0"/>
                <w:sz w:val="18"/>
                <w:szCs w:val="18"/>
              </w:rPr>
              <w:t>0.5</w:t>
            </w:r>
            <w:r>
              <w:rPr>
                <w:rFonts w:ascii="Times New Roman" w:hAnsi="Arial Narrow" w:eastAsia="宋体" w:cs="Times New Roman"/>
                <w:kern w:val="0"/>
                <w:sz w:val="18"/>
                <w:szCs w:val="18"/>
              </w:rPr>
              <w:t>分，扣完为止。</w:t>
            </w:r>
          </w:p>
        </w:tc>
        <w:tc>
          <w:tcPr>
            <w:tcW w:w="531" w:type="dxa"/>
            <w:tcBorders>
              <w:top w:val="single" w:color="auto" w:sz="4" w:space="0"/>
              <w:left w:val="single" w:color="auto" w:sz="4" w:space="0"/>
              <w:bottom w:val="single" w:color="auto" w:sz="4" w:space="0"/>
              <w:right w:val="single" w:color="auto" w:sz="4" w:space="0"/>
            </w:tcBorders>
            <w:vAlign w:val="center"/>
          </w:tcPr>
          <w:p w14:paraId="63888497">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428927F8">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13D423E">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44D7A54A">
            <w:pPr>
              <w:widowControl/>
              <w:jc w:val="center"/>
              <w:rPr>
                <w:rFonts w:ascii="Times New Roman" w:hAnsi="Times New Roman" w:eastAsia="宋体" w:cs="Times New Roman"/>
                <w:kern w:val="0"/>
                <w:sz w:val="18"/>
                <w:szCs w:val="18"/>
              </w:rPr>
            </w:pPr>
          </w:p>
        </w:tc>
      </w:tr>
      <w:tr w14:paraId="3CDBACFB">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2341400">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60C24C">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F4EC3B0">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到位及时率（</w:t>
            </w:r>
            <w:r>
              <w:rPr>
                <w:rFonts w:ascii="Times New Roman" w:hAnsi="Times New Roman" w:eastAsia="宋体" w:cs="Times New Roman"/>
                <w:kern w:val="0"/>
                <w:sz w:val="18"/>
                <w:szCs w:val="18"/>
              </w:rPr>
              <w:t>2</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FCDF9B0">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及时到位资金与应到位资金的比率，用以反映和考核项目资金落实的及时性程度。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5A997509">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到位及时率</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（及时到位资金</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应到位资金）</w:t>
            </w:r>
            <w:r>
              <w:rPr>
                <w:rFonts w:ascii="Times New Roman" w:hAnsi="Times New Roman" w:eastAsia="宋体" w:cs="Times New Roman"/>
                <w:kern w:val="0"/>
                <w:sz w:val="18"/>
                <w:szCs w:val="18"/>
              </w:rPr>
              <w:t>×100%</w:t>
            </w:r>
            <w:r>
              <w:rPr>
                <w:rFonts w:ascii="Times New Roman" w:hAnsi="Arial Narrow" w:eastAsia="宋体" w:cs="Times New Roman"/>
                <w:kern w:val="0"/>
                <w:sz w:val="18"/>
                <w:szCs w:val="18"/>
              </w:rPr>
              <w:t>。</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到位及时率大于</w:t>
            </w:r>
            <w:r>
              <w:rPr>
                <w:rFonts w:ascii="Times New Roman" w:hAnsi="Times New Roman" w:eastAsia="宋体" w:cs="Times New Roman"/>
                <w:kern w:val="0"/>
                <w:sz w:val="18"/>
                <w:szCs w:val="18"/>
              </w:rPr>
              <w:t>90%</w:t>
            </w:r>
            <w:r>
              <w:rPr>
                <w:rFonts w:ascii="Times New Roman" w:hAnsi="Arial Narrow" w:eastAsia="宋体" w:cs="Times New Roman"/>
                <w:kern w:val="0"/>
                <w:sz w:val="18"/>
                <w:szCs w:val="18"/>
              </w:rPr>
              <w:t>的得满分，每低</w:t>
            </w:r>
            <w:r>
              <w:rPr>
                <w:rFonts w:ascii="Times New Roman" w:hAnsi="Times New Roman" w:eastAsia="宋体" w:cs="Times New Roman"/>
                <w:kern w:val="0"/>
                <w:sz w:val="18"/>
                <w:szCs w:val="18"/>
              </w:rPr>
              <w:t>5</w:t>
            </w:r>
            <w:r>
              <w:rPr>
                <w:rFonts w:ascii="Times New Roman" w:hAnsi="Arial Narrow" w:eastAsia="宋体" w:cs="Times New Roman"/>
                <w:kern w:val="0"/>
                <w:sz w:val="18"/>
                <w:szCs w:val="18"/>
              </w:rPr>
              <w:t>个百分点，扣</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分，扣完为止。</w:t>
            </w:r>
          </w:p>
        </w:tc>
        <w:tc>
          <w:tcPr>
            <w:tcW w:w="531" w:type="dxa"/>
            <w:tcBorders>
              <w:top w:val="single" w:color="auto" w:sz="4" w:space="0"/>
              <w:left w:val="single" w:color="auto" w:sz="4" w:space="0"/>
              <w:bottom w:val="single" w:color="auto" w:sz="4" w:space="0"/>
              <w:right w:val="single" w:color="auto" w:sz="4" w:space="0"/>
            </w:tcBorders>
            <w:vAlign w:val="center"/>
          </w:tcPr>
          <w:p w14:paraId="172158B9">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0B970499">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4975684">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71803392">
            <w:pPr>
              <w:widowControl/>
              <w:jc w:val="center"/>
              <w:rPr>
                <w:rFonts w:ascii="Times New Roman" w:hAnsi="Times New Roman" w:eastAsia="宋体" w:cs="Times New Roman"/>
                <w:kern w:val="0"/>
                <w:sz w:val="18"/>
                <w:szCs w:val="18"/>
              </w:rPr>
            </w:pPr>
          </w:p>
        </w:tc>
      </w:tr>
      <w:tr w14:paraId="45D93DDE">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DA395A">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过程（</w:t>
            </w:r>
            <w:r>
              <w:rPr>
                <w:rFonts w:ascii="Times New Roman" w:hAnsi="Times New Roman" w:eastAsia="宋体" w:cs="Times New Roman"/>
                <w:kern w:val="0"/>
                <w:sz w:val="18"/>
                <w:szCs w:val="18"/>
              </w:rPr>
              <w:t>30</w:t>
            </w:r>
            <w:r>
              <w:rPr>
                <w:rFonts w:ascii="Times New Roman" w:hAnsi="Arial Narrow" w:eastAsia="宋体" w:cs="Times New Roman"/>
                <w:kern w:val="0"/>
                <w:sz w:val="18"/>
                <w:szCs w:val="18"/>
              </w:rPr>
              <w:t>）</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DD22CD">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业务管理（</w:t>
            </w:r>
            <w:r>
              <w:rPr>
                <w:rFonts w:ascii="Times New Roman" w:hAnsi="Times New Roman" w:eastAsia="宋体" w:cs="Times New Roman"/>
                <w:kern w:val="0"/>
                <w:sz w:val="18"/>
                <w:szCs w:val="18"/>
              </w:rPr>
              <w:t>18</w:t>
            </w:r>
            <w:r>
              <w:rPr>
                <w:rFonts w:ascii="Times New Roman" w:hAnsi="Arial Narrow" w:eastAsia="宋体" w:cs="Times New Roman"/>
                <w:kern w:val="0"/>
                <w:sz w:val="18"/>
                <w:szCs w:val="18"/>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737FD74">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管理制度健全性（</w:t>
            </w:r>
            <w:r>
              <w:rPr>
                <w:rFonts w:ascii="Times New Roman" w:hAnsi="Times New Roman" w:eastAsia="宋体" w:cs="Times New Roman"/>
                <w:kern w:val="0"/>
                <w:sz w:val="18"/>
                <w:szCs w:val="18"/>
              </w:rPr>
              <w:t>4</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EF1ED0B">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项目实施单位的业务管理制度是否健全，用以反映和考核业务管理制度对项目顺利实施的保障情况。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16BE331D">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是否已制定或具有相应的业务管理制度；</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业务管理制度是否合法、合规、完整。</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2</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49653DDD">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18FC0042">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DB10C8D">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6D30A26A">
            <w:pPr>
              <w:widowControl/>
              <w:jc w:val="left"/>
              <w:rPr>
                <w:rFonts w:ascii="Times New Roman" w:hAnsi="Times New Roman" w:eastAsia="宋体" w:cs="Times New Roman"/>
                <w:kern w:val="0"/>
                <w:sz w:val="18"/>
                <w:szCs w:val="18"/>
              </w:rPr>
            </w:pPr>
          </w:p>
        </w:tc>
      </w:tr>
      <w:tr w14:paraId="3DB34714">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BE69C02">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0592CB">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B34E642">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制度执行有效性（</w:t>
            </w:r>
            <w:r>
              <w:rPr>
                <w:rFonts w:ascii="Times New Roman" w:hAnsi="Times New Roman" w:eastAsia="宋体" w:cs="Times New Roman"/>
                <w:kern w:val="0"/>
                <w:sz w:val="18"/>
                <w:szCs w:val="18"/>
              </w:rPr>
              <w:t>5</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E857C2C">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项目实施是否符合相关业务管理规定，用以反映和考核业务管理制度的有效执行情况。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77867D92">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是否遵守相关法律法规和业务管理规定；</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项目调整及支出调整手续是否完备；</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③</w:t>
            </w:r>
            <w:r>
              <w:rPr>
                <w:rFonts w:ascii="Times New Roman" w:hAnsi="Arial Narrow" w:eastAsia="宋体" w:cs="Times New Roman"/>
                <w:kern w:val="0"/>
                <w:sz w:val="18"/>
                <w:szCs w:val="18"/>
              </w:rPr>
              <w:t>项目合同书、验收报告、技术鉴定等资料是否齐全并及时归档；</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④</w:t>
            </w:r>
            <w:r>
              <w:rPr>
                <w:rFonts w:ascii="Times New Roman" w:hAnsi="Arial Narrow" w:eastAsia="宋体" w:cs="Times New Roman"/>
                <w:kern w:val="0"/>
                <w:sz w:val="18"/>
                <w:szCs w:val="18"/>
              </w:rPr>
              <w:t>项目实施的人员条件、场地设备、信息支撑等是否落实到位。</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4A1494E3">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76CF532">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3300281">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6CBF9635">
            <w:pPr>
              <w:widowControl/>
              <w:jc w:val="center"/>
              <w:rPr>
                <w:rFonts w:ascii="Times New Roman" w:hAnsi="Times New Roman" w:eastAsia="宋体" w:cs="Times New Roman"/>
                <w:kern w:val="0"/>
                <w:sz w:val="18"/>
                <w:szCs w:val="18"/>
              </w:rPr>
            </w:pPr>
          </w:p>
        </w:tc>
      </w:tr>
      <w:tr w14:paraId="4C552061">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329F142">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341D73B">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1AACD74">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项目质量可控性（</w:t>
            </w:r>
            <w:r>
              <w:rPr>
                <w:rFonts w:ascii="Times New Roman" w:hAnsi="Times New Roman" w:eastAsia="宋体" w:cs="Times New Roman"/>
                <w:kern w:val="0"/>
                <w:sz w:val="18"/>
                <w:szCs w:val="18"/>
              </w:rPr>
              <w:t>5</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2CBB0A0">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项目实施单位是否为达到项目质量要求而采取了必需的措施</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用以反映和考核项目实施单位对项目质量的控制情况。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464C0B2A">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是否已制定或具有相应的项目质量要求或标准；</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是否采取了相应的项目质量检查、验收等必需的控制措施或手段。</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2.5</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37EA1668">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158B4A3">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660CA81">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39C74AB0">
            <w:pPr>
              <w:widowControl/>
              <w:jc w:val="left"/>
              <w:rPr>
                <w:rFonts w:ascii="Times New Roman" w:hAnsi="Times New Roman" w:eastAsia="宋体" w:cs="Times New Roman"/>
                <w:kern w:val="0"/>
                <w:sz w:val="18"/>
                <w:szCs w:val="18"/>
              </w:rPr>
            </w:pPr>
          </w:p>
        </w:tc>
      </w:tr>
      <w:tr w14:paraId="278EB854">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E8ED664">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5233A6">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6D0075C">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资金分配的合理性（</w:t>
            </w:r>
            <w:r>
              <w:rPr>
                <w:rFonts w:ascii="Times New Roman" w:hAnsi="Times New Roman" w:eastAsia="宋体" w:cs="Times New Roman"/>
                <w:kern w:val="0"/>
                <w:sz w:val="18"/>
                <w:szCs w:val="18"/>
              </w:rPr>
              <w:t>2</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B1AA3BD">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资金分配及结果</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362A9154">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资金分配方案是否充分，分配标准是否合理、明确；</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分配结果是否公开、透明。一项不符合扣一分，严重的此项完全不得分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1FACC9F0">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47EE9221">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DFD2E03">
            <w:pPr>
              <w:widowControl/>
              <w:jc w:val="center"/>
              <w:rPr>
                <w:rFonts w:ascii="Times New Roman" w:hAnsi="Times New Roman" w:eastAsia="宋体" w:cs="Times New Roman"/>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53076FA5">
            <w:pPr>
              <w:widowControl/>
              <w:jc w:val="center"/>
              <w:rPr>
                <w:rFonts w:ascii="Times New Roman" w:hAnsi="Times New Roman" w:eastAsia="宋体" w:cs="Times New Roman"/>
                <w:kern w:val="0"/>
                <w:sz w:val="18"/>
                <w:szCs w:val="18"/>
              </w:rPr>
            </w:pPr>
          </w:p>
        </w:tc>
      </w:tr>
      <w:tr w14:paraId="0F6E23AB">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C3F5A34">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B79113E">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4107E8B">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预算执行率（</w:t>
            </w:r>
            <w:r>
              <w:rPr>
                <w:rFonts w:ascii="Times New Roman" w:hAnsi="Times New Roman" w:eastAsia="宋体" w:cs="Times New Roman"/>
                <w:kern w:val="0"/>
                <w:sz w:val="18"/>
                <w:szCs w:val="18"/>
              </w:rPr>
              <w:t>2</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50C674D">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考察项目预算执行的进度。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5FA7798C">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预算执行率</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实际支出金额</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项目预算金额</w:t>
            </w:r>
            <w:r>
              <w:rPr>
                <w:rFonts w:ascii="Times New Roman" w:hAnsi="Times New Roman" w:eastAsia="宋体" w:cs="Times New Roman"/>
                <w:kern w:val="0"/>
                <w:sz w:val="18"/>
                <w:szCs w:val="18"/>
              </w:rPr>
              <w:t>×100%</w:t>
            </w:r>
            <w:r>
              <w:rPr>
                <w:rFonts w:ascii="Times New Roman" w:hAnsi="Arial Narrow" w:eastAsia="宋体" w:cs="Times New Roman"/>
                <w:kern w:val="0"/>
                <w:sz w:val="18"/>
                <w:szCs w:val="18"/>
              </w:rPr>
              <w:t>。</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预算执行率</w:t>
            </w:r>
            <w:r>
              <w:rPr>
                <w:rFonts w:ascii="Times New Roman" w:hAnsi="Times New Roman" w:eastAsia="宋体" w:cs="Times New Roman"/>
                <w:kern w:val="0"/>
                <w:sz w:val="18"/>
                <w:szCs w:val="18"/>
              </w:rPr>
              <w:t>95%</w:t>
            </w:r>
            <w:r>
              <w:rPr>
                <w:rFonts w:ascii="Times New Roman" w:hAnsi="Arial Narrow" w:eastAsia="宋体" w:cs="Times New Roman"/>
                <w:kern w:val="0"/>
                <w:sz w:val="18"/>
                <w:szCs w:val="18"/>
              </w:rPr>
              <w:t>以上，得满分；低于</w:t>
            </w:r>
            <w:r>
              <w:rPr>
                <w:rFonts w:ascii="Times New Roman" w:hAnsi="Times New Roman" w:eastAsia="宋体" w:cs="Times New Roman"/>
                <w:kern w:val="0"/>
                <w:sz w:val="18"/>
                <w:szCs w:val="18"/>
              </w:rPr>
              <w:t>95%</w:t>
            </w:r>
            <w:r>
              <w:rPr>
                <w:rFonts w:ascii="Times New Roman" w:hAnsi="Arial Narrow" w:eastAsia="宋体" w:cs="Times New Roman"/>
                <w:kern w:val="0"/>
                <w:sz w:val="18"/>
                <w:szCs w:val="18"/>
              </w:rPr>
              <w:t>，每下降</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扣权重的</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；预算执行率</w:t>
            </w:r>
            <w:r>
              <w:rPr>
                <w:rFonts w:ascii="Times New Roman" w:hAnsi="Times New Roman" w:eastAsia="宋体" w:cs="Times New Roman"/>
                <w:kern w:val="0"/>
                <w:sz w:val="18"/>
                <w:szCs w:val="18"/>
              </w:rPr>
              <w:t>60%</w:t>
            </w:r>
            <w:r>
              <w:rPr>
                <w:rFonts w:ascii="Times New Roman" w:hAnsi="Arial Narrow" w:eastAsia="宋体" w:cs="Times New Roman"/>
                <w:kern w:val="0"/>
                <w:sz w:val="18"/>
                <w:szCs w:val="18"/>
              </w:rPr>
              <w:t>以下，不计分</w:t>
            </w:r>
          </w:p>
        </w:tc>
        <w:tc>
          <w:tcPr>
            <w:tcW w:w="531" w:type="dxa"/>
            <w:tcBorders>
              <w:top w:val="single" w:color="auto" w:sz="4" w:space="0"/>
              <w:left w:val="single" w:color="auto" w:sz="4" w:space="0"/>
              <w:bottom w:val="single" w:color="auto" w:sz="4" w:space="0"/>
              <w:right w:val="single" w:color="auto" w:sz="4" w:space="0"/>
            </w:tcBorders>
            <w:vAlign w:val="center"/>
          </w:tcPr>
          <w:p w14:paraId="6B62E1D7">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634AE2C4">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209C990">
            <w:pPr>
              <w:widowControl/>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1</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272A0DBF">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预算执行率</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实际支出金额</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项目预算金额</w:t>
            </w:r>
            <w:r>
              <w:rPr>
                <w:rFonts w:ascii="Times New Roman" w:hAnsi="Times New Roman" w:eastAsia="宋体" w:cs="Times New Roman"/>
                <w:kern w:val="0"/>
                <w:sz w:val="18"/>
                <w:szCs w:val="18"/>
              </w:rPr>
              <w:t>×100%</w:t>
            </w:r>
            <w:r>
              <w:rPr>
                <w:rFonts w:ascii="Times New Roman" w:hAnsi="Arial Narrow" w:eastAsia="宋体" w:cs="Times New Roman"/>
                <w:kern w:val="0"/>
                <w:sz w:val="18"/>
                <w:szCs w:val="18"/>
              </w:rPr>
              <w:t>。低于</w:t>
            </w:r>
            <w:r>
              <w:rPr>
                <w:rFonts w:ascii="Times New Roman" w:hAnsi="Times New Roman" w:eastAsia="宋体" w:cs="Times New Roman"/>
                <w:kern w:val="0"/>
                <w:sz w:val="18"/>
                <w:szCs w:val="18"/>
              </w:rPr>
              <w:t>95%</w:t>
            </w:r>
            <w:r>
              <w:rPr>
                <w:rFonts w:ascii="Times New Roman" w:hAnsi="Arial Narrow" w:eastAsia="宋体" w:cs="Times New Roman"/>
                <w:kern w:val="0"/>
                <w:sz w:val="18"/>
                <w:szCs w:val="18"/>
              </w:rPr>
              <w:t>，每下降</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扣权重的</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w:t>
            </w:r>
          </w:p>
        </w:tc>
      </w:tr>
      <w:tr w14:paraId="6D287427">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331906B5">
            <w:pPr>
              <w:widowControl/>
              <w:jc w:val="left"/>
              <w:rPr>
                <w:rFonts w:ascii="Times New Roman" w:hAnsi="Times New Roman" w:eastAsia="宋体" w:cs="Times New Roman"/>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8D0ACF">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财务管理（</w:t>
            </w:r>
            <w:r>
              <w:rPr>
                <w:rFonts w:ascii="Times New Roman" w:hAnsi="Times New Roman" w:eastAsia="宋体" w:cs="Times New Roman"/>
                <w:kern w:val="0"/>
                <w:sz w:val="18"/>
                <w:szCs w:val="18"/>
              </w:rPr>
              <w:t>12</w:t>
            </w:r>
            <w:r>
              <w:rPr>
                <w:rFonts w:ascii="Times New Roman" w:hAnsi="Arial Narrow" w:eastAsia="宋体" w:cs="Times New Roman"/>
                <w:kern w:val="0"/>
                <w:sz w:val="18"/>
                <w:szCs w:val="18"/>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4350FDF">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管理制度健全性（</w:t>
            </w:r>
            <w:r>
              <w:rPr>
                <w:rFonts w:ascii="Times New Roman" w:hAnsi="Times New Roman" w:eastAsia="宋体" w:cs="Times New Roman"/>
                <w:kern w:val="0"/>
                <w:sz w:val="18"/>
                <w:szCs w:val="18"/>
              </w:rPr>
              <w:t>3</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3DB70A9">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项目实施单位的财务制度是否健全，用以反映和考核财务管理制度对资金规范、安全运行的保障情况。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148D3D04">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是否已制定或具有相应的项目资金管理办法；</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项目资金管理办法是否符合相关财务会计制度的规定。</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一项不符合扣一分，严重的此项完全不得分。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42099B3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591D4E51">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F49B2FE">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70444DC8">
            <w:pPr>
              <w:widowControl/>
              <w:jc w:val="left"/>
              <w:rPr>
                <w:rFonts w:ascii="Times New Roman" w:hAnsi="Times New Roman" w:eastAsia="宋体" w:cs="Times New Roman"/>
                <w:kern w:val="0"/>
                <w:sz w:val="18"/>
                <w:szCs w:val="18"/>
              </w:rPr>
            </w:pPr>
          </w:p>
        </w:tc>
      </w:tr>
      <w:tr w14:paraId="7C558295">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62DB6B1">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9F3A9D">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3714401">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资金使用合规性（</w:t>
            </w:r>
            <w:r>
              <w:rPr>
                <w:rFonts w:ascii="Times New Roman" w:hAnsi="Times New Roman" w:eastAsia="宋体" w:cs="Times New Roman"/>
                <w:kern w:val="0"/>
                <w:sz w:val="18"/>
                <w:szCs w:val="18"/>
              </w:rPr>
              <w:t>5</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96776C5">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项目资金使用是否符合相关的财务管理制度规定，用以反映和考核项目资金的规范运行情况。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0A46C066">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是否符合国家财经法规和财务管理制度以及有关专项资金管理办法的规定；</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资金的拨付是否有完整的审批程序和手续；</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③</w:t>
            </w:r>
            <w:r>
              <w:rPr>
                <w:rFonts w:ascii="Times New Roman" w:hAnsi="Arial Narrow" w:eastAsia="宋体" w:cs="Times New Roman"/>
                <w:kern w:val="0"/>
                <w:sz w:val="18"/>
                <w:szCs w:val="18"/>
              </w:rPr>
              <w:t>项目的重大开支是否经过评估认证；</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④</w:t>
            </w:r>
            <w:r>
              <w:rPr>
                <w:rFonts w:ascii="Times New Roman" w:hAnsi="Arial Narrow" w:eastAsia="宋体" w:cs="Times New Roman"/>
                <w:kern w:val="0"/>
                <w:sz w:val="18"/>
                <w:szCs w:val="18"/>
              </w:rPr>
              <w:t>是否符合项目预算批复或合同规定的用途；</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⑤</w:t>
            </w:r>
            <w:r>
              <w:rPr>
                <w:rFonts w:ascii="Times New Roman" w:hAnsi="Arial Narrow" w:eastAsia="宋体" w:cs="Times New Roman"/>
                <w:kern w:val="0"/>
                <w:sz w:val="18"/>
                <w:szCs w:val="18"/>
              </w:rPr>
              <w:t>是否存在截留、挤占、挪用、虚列支出等情况。</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一项不符合扣一分，严重的此项完全不得分。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1522ED6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ECE4749">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6F97336">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107307AC">
            <w:pPr>
              <w:widowControl/>
              <w:jc w:val="left"/>
              <w:rPr>
                <w:rFonts w:ascii="Times New Roman" w:hAnsi="Times New Roman" w:eastAsia="宋体" w:cs="Times New Roman"/>
                <w:kern w:val="0"/>
                <w:sz w:val="18"/>
                <w:szCs w:val="18"/>
              </w:rPr>
            </w:pPr>
          </w:p>
        </w:tc>
      </w:tr>
      <w:tr w14:paraId="46FAF02A">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2748885">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C97E4A">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8746A48">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财务监控有效性（</w:t>
            </w:r>
            <w:r>
              <w:rPr>
                <w:rFonts w:ascii="Times New Roman" w:hAnsi="Times New Roman" w:eastAsia="宋体" w:cs="Times New Roman"/>
                <w:kern w:val="0"/>
                <w:sz w:val="18"/>
                <w:szCs w:val="18"/>
              </w:rPr>
              <w:t>4</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EA19BC0">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项目实施单位是否为保障资金的安全、规范运行而采取了必要的监控措施，用以反映和考核项目实施单位对资金运行的控制情况。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50F80948">
            <w:pPr>
              <w:widowControl/>
              <w:jc w:val="left"/>
              <w:rPr>
                <w:rFonts w:ascii="Times New Roman" w:hAnsi="Times New Roman" w:eastAsia="宋体" w:cs="Times New Roman"/>
                <w:kern w:val="0"/>
                <w:sz w:val="18"/>
                <w:szCs w:val="18"/>
              </w:rPr>
            </w:pPr>
            <w:r>
              <w:rPr>
                <w:rFonts w:ascii="Times New Roman" w:hAnsi="宋体" w:eastAsia="宋体" w:cs="Times New Roman"/>
                <w:kern w:val="0"/>
                <w:sz w:val="18"/>
                <w:szCs w:val="18"/>
              </w:rPr>
              <w:t>①</w:t>
            </w:r>
            <w:r>
              <w:rPr>
                <w:rFonts w:ascii="Times New Roman" w:hAnsi="Arial Narrow" w:eastAsia="宋体" w:cs="Times New Roman"/>
                <w:kern w:val="0"/>
                <w:sz w:val="18"/>
                <w:szCs w:val="18"/>
              </w:rPr>
              <w:t>是否已制定或具有相应的监控机制；</w:t>
            </w:r>
            <w:r>
              <w:rPr>
                <w:rFonts w:ascii="Times New Roman" w:hAnsi="Times New Roman" w:eastAsia="宋体" w:cs="Times New Roman"/>
                <w:kern w:val="0"/>
                <w:sz w:val="18"/>
                <w:szCs w:val="18"/>
              </w:rPr>
              <w:br w:type="textWrapping"/>
            </w:r>
            <w:r>
              <w:rPr>
                <w:rFonts w:ascii="Times New Roman" w:hAnsi="宋体" w:eastAsia="宋体" w:cs="Times New Roman"/>
                <w:kern w:val="0"/>
                <w:sz w:val="18"/>
                <w:szCs w:val="18"/>
              </w:rPr>
              <w:t>②</w:t>
            </w:r>
            <w:r>
              <w:rPr>
                <w:rFonts w:ascii="Times New Roman" w:hAnsi="Arial Narrow" w:eastAsia="宋体" w:cs="Times New Roman"/>
                <w:kern w:val="0"/>
                <w:sz w:val="18"/>
                <w:szCs w:val="18"/>
              </w:rPr>
              <w:t>是否采取了相应的财务检查等必要的监控措施或手段。</w:t>
            </w:r>
            <w:r>
              <w:rPr>
                <w:rFonts w:ascii="Times New Roman" w:hAnsi="Times New Roman" w:eastAsia="宋体" w:cs="Times New Roman"/>
                <w:kern w:val="0"/>
                <w:sz w:val="18"/>
                <w:szCs w:val="18"/>
              </w:rPr>
              <w:br w:type="textWrapping"/>
            </w:r>
            <w:r>
              <w:rPr>
                <w:rFonts w:ascii="Times New Roman" w:hAnsi="Arial Narrow" w:eastAsia="宋体" w:cs="Times New Roman"/>
                <w:kern w:val="0"/>
                <w:sz w:val="18"/>
                <w:szCs w:val="18"/>
              </w:rPr>
              <w:t>一项不符合扣二分，严重的此项完全不得分。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7C6D598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136ED88D">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B0680CE">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5CF08F80">
            <w:pPr>
              <w:widowControl/>
              <w:jc w:val="center"/>
              <w:rPr>
                <w:rFonts w:ascii="Times New Roman" w:hAnsi="Times New Roman" w:eastAsia="宋体" w:cs="Times New Roman"/>
                <w:kern w:val="0"/>
                <w:sz w:val="18"/>
                <w:szCs w:val="18"/>
              </w:rPr>
            </w:pPr>
          </w:p>
        </w:tc>
      </w:tr>
      <w:tr w14:paraId="26F3F61F">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874D7">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产出（</w:t>
            </w:r>
            <w:r>
              <w:rPr>
                <w:rFonts w:ascii="Times New Roman" w:hAnsi="Times New Roman" w:eastAsia="宋体" w:cs="Times New Roman"/>
                <w:kern w:val="0"/>
                <w:sz w:val="18"/>
                <w:szCs w:val="18"/>
              </w:rPr>
              <w:t>30</w:t>
            </w:r>
            <w:r>
              <w:rPr>
                <w:rFonts w:ascii="Times New Roman" w:hAnsi="Arial Narrow" w:eastAsia="宋体" w:cs="Times New Roman"/>
                <w:kern w:val="0"/>
                <w:sz w:val="18"/>
                <w:szCs w:val="18"/>
              </w:rPr>
              <w:t>）</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779850">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项目产出（</w:t>
            </w:r>
            <w:r>
              <w:rPr>
                <w:rFonts w:ascii="Times New Roman" w:hAnsi="Times New Roman" w:eastAsia="宋体" w:cs="Times New Roman"/>
                <w:kern w:val="0"/>
                <w:sz w:val="18"/>
                <w:szCs w:val="18"/>
              </w:rPr>
              <w:t>30</w:t>
            </w:r>
            <w:r>
              <w:rPr>
                <w:rFonts w:ascii="Times New Roman" w:hAnsi="Arial Narrow" w:eastAsia="宋体" w:cs="Times New Roman"/>
                <w:kern w:val="0"/>
                <w:sz w:val="18"/>
                <w:szCs w:val="18"/>
              </w:rPr>
              <w:t>）</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67FDE77">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完成数量（</w:t>
            </w:r>
            <w:r>
              <w:rPr>
                <w:rFonts w:ascii="Times New Roman" w:hAnsi="Times New Roman" w:eastAsia="宋体" w:cs="Times New Roman"/>
                <w:kern w:val="0"/>
                <w:sz w:val="18"/>
                <w:szCs w:val="18"/>
              </w:rPr>
              <w:t>10</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60F8860">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项目实施的实际产出数与计划产出数的比率，用以反映和考核项目产出数量目标的实现程度。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5DA2929B">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2</w:t>
            </w:r>
            <w:r>
              <w:rPr>
                <w:rFonts w:ascii="Times New Roman" w:hAnsi="Arial Narrow" w:eastAsia="宋体" w:cs="Times New Roman"/>
                <w:kern w:val="0"/>
                <w:sz w:val="18"/>
                <w:szCs w:val="18"/>
              </w:rPr>
              <w:t>分，与目标严重不符不得分。</w:t>
            </w:r>
          </w:p>
        </w:tc>
        <w:tc>
          <w:tcPr>
            <w:tcW w:w="531" w:type="dxa"/>
            <w:tcBorders>
              <w:top w:val="single" w:color="auto" w:sz="4" w:space="0"/>
              <w:left w:val="single" w:color="auto" w:sz="4" w:space="0"/>
              <w:bottom w:val="single" w:color="auto" w:sz="4" w:space="0"/>
              <w:right w:val="single" w:color="auto" w:sz="4" w:space="0"/>
            </w:tcBorders>
            <w:vAlign w:val="center"/>
          </w:tcPr>
          <w:p w14:paraId="28FB2D8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5ED243E">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F2B642F">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5B5FF8D6">
            <w:pPr>
              <w:widowControl/>
              <w:jc w:val="center"/>
              <w:rPr>
                <w:rFonts w:ascii="Times New Roman" w:hAnsi="Times New Roman" w:eastAsia="宋体" w:cs="Times New Roman"/>
                <w:kern w:val="0"/>
                <w:sz w:val="18"/>
                <w:szCs w:val="18"/>
              </w:rPr>
            </w:pPr>
          </w:p>
        </w:tc>
      </w:tr>
      <w:tr w14:paraId="76F4244B">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87C3DFD">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6D59C21">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36513BB">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完成及时性（</w:t>
            </w:r>
            <w:r>
              <w:rPr>
                <w:rFonts w:ascii="Times New Roman" w:hAnsi="Times New Roman" w:eastAsia="宋体" w:cs="Times New Roman"/>
                <w:kern w:val="0"/>
                <w:sz w:val="18"/>
                <w:szCs w:val="18"/>
              </w:rPr>
              <w:t>4</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53940FE">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项目实际提前完成时间与计划完成时间的比率，用以反映和考核项目产出时效目标的实现程度。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69FFFE2C">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一项不符合扣</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分，严重的此项完全不得分。</w:t>
            </w:r>
          </w:p>
        </w:tc>
        <w:tc>
          <w:tcPr>
            <w:tcW w:w="531" w:type="dxa"/>
            <w:tcBorders>
              <w:top w:val="single" w:color="auto" w:sz="4" w:space="0"/>
              <w:left w:val="single" w:color="auto" w:sz="4" w:space="0"/>
              <w:bottom w:val="single" w:color="auto" w:sz="4" w:space="0"/>
              <w:right w:val="single" w:color="auto" w:sz="4" w:space="0"/>
            </w:tcBorders>
            <w:vAlign w:val="center"/>
          </w:tcPr>
          <w:p w14:paraId="486BFF6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043FB0F0">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0787A29">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029E2963">
            <w:pPr>
              <w:widowControl/>
              <w:jc w:val="left"/>
              <w:rPr>
                <w:rFonts w:ascii="Times New Roman" w:hAnsi="Times New Roman" w:eastAsia="宋体" w:cs="Times New Roman"/>
                <w:kern w:val="0"/>
                <w:sz w:val="18"/>
                <w:szCs w:val="18"/>
              </w:rPr>
            </w:pPr>
          </w:p>
        </w:tc>
      </w:tr>
      <w:tr w14:paraId="2B1D60E5">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16E7B62">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1A0270">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A335799">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质量达标率（</w:t>
            </w:r>
            <w:r>
              <w:rPr>
                <w:rFonts w:ascii="Times New Roman" w:hAnsi="Times New Roman" w:eastAsia="宋体" w:cs="Times New Roman"/>
                <w:kern w:val="0"/>
                <w:sz w:val="18"/>
                <w:szCs w:val="18"/>
              </w:rPr>
              <w:t>12</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879572F">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项目完成的质量达标产出数与实际产出数的比率，用以反映和考核项目产出质量目标的实现程度。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08C00A03">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项目验收通过率达</w:t>
            </w:r>
            <w:r>
              <w:rPr>
                <w:rFonts w:ascii="Times New Roman" w:hAnsi="Times New Roman" w:eastAsia="宋体" w:cs="Times New Roman"/>
                <w:kern w:val="0"/>
                <w:sz w:val="18"/>
                <w:szCs w:val="18"/>
              </w:rPr>
              <w:t>95%</w:t>
            </w:r>
            <w:r>
              <w:rPr>
                <w:rFonts w:ascii="Times New Roman" w:hAnsi="Arial Narrow" w:eastAsia="宋体" w:cs="Times New Roman"/>
                <w:kern w:val="0"/>
                <w:sz w:val="18"/>
                <w:szCs w:val="18"/>
              </w:rPr>
              <w:t>及以上，得满分；未通过一个扣一分，扣完为止。</w:t>
            </w:r>
          </w:p>
        </w:tc>
        <w:tc>
          <w:tcPr>
            <w:tcW w:w="531" w:type="dxa"/>
            <w:tcBorders>
              <w:top w:val="single" w:color="auto" w:sz="4" w:space="0"/>
              <w:left w:val="single" w:color="auto" w:sz="4" w:space="0"/>
              <w:bottom w:val="single" w:color="auto" w:sz="4" w:space="0"/>
              <w:right w:val="single" w:color="auto" w:sz="4" w:space="0"/>
            </w:tcBorders>
            <w:vAlign w:val="center"/>
          </w:tcPr>
          <w:p w14:paraId="3A48E9D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746EDC94">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06AA8FE">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2096526C">
            <w:pPr>
              <w:widowControl/>
              <w:rPr>
                <w:rFonts w:ascii="Times New Roman" w:hAnsi="Times New Roman" w:eastAsia="宋体" w:cs="Times New Roman"/>
                <w:kern w:val="0"/>
                <w:sz w:val="18"/>
                <w:szCs w:val="18"/>
              </w:rPr>
            </w:pPr>
          </w:p>
        </w:tc>
      </w:tr>
      <w:tr w14:paraId="2DA43DAB">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611D1E8">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21E83C">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5CEF2AC">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资金变动率（</w:t>
            </w:r>
            <w:r>
              <w:rPr>
                <w:rFonts w:ascii="Times New Roman" w:hAnsi="Times New Roman" w:eastAsia="宋体" w:cs="Times New Roman"/>
                <w:kern w:val="0"/>
                <w:sz w:val="18"/>
                <w:szCs w:val="18"/>
              </w:rPr>
              <w:t>4</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1C6BBBC">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完成项目计划工作目标的变动成本与计划成本的比率，用以反映和考核项目的变动程度。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4F84FD4B">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变动率</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（实际成本</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计划成本）</w:t>
            </w:r>
            <w:r>
              <w:rPr>
                <w:rFonts w:ascii="Times New Roman" w:hAnsi="Times New Roman" w:eastAsia="宋体" w:cs="Times New Roman"/>
                <w:kern w:val="0"/>
                <w:sz w:val="18"/>
                <w:szCs w:val="18"/>
              </w:rPr>
              <w:t>/</w:t>
            </w:r>
            <w:r>
              <w:rPr>
                <w:rFonts w:ascii="Times New Roman" w:hAnsi="Arial Narrow" w:eastAsia="宋体" w:cs="Times New Roman"/>
                <w:kern w:val="0"/>
                <w:sz w:val="18"/>
                <w:szCs w:val="18"/>
              </w:rPr>
              <w:t>计划成本</w:t>
            </w:r>
            <w:r>
              <w:rPr>
                <w:rFonts w:ascii="Times New Roman" w:hAnsi="Times New Roman" w:eastAsia="宋体" w:cs="Times New Roman"/>
                <w:kern w:val="0"/>
                <w:sz w:val="18"/>
                <w:szCs w:val="18"/>
              </w:rPr>
              <w:t>]×100%</w:t>
            </w:r>
            <w:r>
              <w:rPr>
                <w:rFonts w:ascii="Times New Roman" w:hAnsi="Arial Narrow" w:eastAsia="宋体" w:cs="Times New Roman"/>
                <w:kern w:val="0"/>
                <w:sz w:val="18"/>
                <w:szCs w:val="18"/>
              </w:rPr>
              <w:t>。</w:t>
            </w:r>
          </w:p>
        </w:tc>
        <w:tc>
          <w:tcPr>
            <w:tcW w:w="531" w:type="dxa"/>
            <w:tcBorders>
              <w:top w:val="single" w:color="auto" w:sz="4" w:space="0"/>
              <w:left w:val="single" w:color="auto" w:sz="4" w:space="0"/>
              <w:bottom w:val="single" w:color="auto" w:sz="4" w:space="0"/>
              <w:right w:val="single" w:color="auto" w:sz="4" w:space="0"/>
            </w:tcBorders>
            <w:vAlign w:val="center"/>
          </w:tcPr>
          <w:p w14:paraId="62A8A11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8C5E25B">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EE65F33">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65B45D57">
            <w:pPr>
              <w:widowControl/>
              <w:rPr>
                <w:rFonts w:hint="eastAsia" w:ascii="Times New Roman" w:hAnsi="Times New Roman" w:eastAsia="宋体" w:cs="Times New Roman"/>
                <w:kern w:val="0"/>
                <w:sz w:val="18"/>
                <w:szCs w:val="18"/>
              </w:rPr>
            </w:pPr>
            <w:r>
              <w:rPr>
                <w:rFonts w:ascii="Times New Roman" w:hAnsi="Arial Narrow" w:eastAsia="宋体" w:cs="Times New Roman"/>
                <w:kern w:val="0"/>
                <w:sz w:val="18"/>
                <w:szCs w:val="18"/>
              </w:rPr>
              <w:t>完成项目计划工作目标的变动成本与计划成本的比率</w:t>
            </w:r>
            <w:r>
              <w:rPr>
                <w:rFonts w:hint="eastAsia" w:ascii="Times New Roman" w:hAnsi="Arial Narrow" w:eastAsia="宋体" w:cs="Times New Roman"/>
                <w:kern w:val="0"/>
                <w:sz w:val="18"/>
                <w:szCs w:val="18"/>
              </w:rPr>
              <w:t>有变化。</w:t>
            </w:r>
          </w:p>
        </w:tc>
      </w:tr>
      <w:tr w14:paraId="3332D9ED">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FF9C6">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效果（</w:t>
            </w:r>
            <w:r>
              <w:rPr>
                <w:rFonts w:ascii="Times New Roman" w:hAnsi="Times New Roman" w:eastAsia="宋体" w:cs="Times New Roman"/>
                <w:kern w:val="0"/>
                <w:sz w:val="18"/>
                <w:szCs w:val="18"/>
              </w:rPr>
              <w:t>30</w:t>
            </w:r>
            <w:r>
              <w:rPr>
                <w:rFonts w:ascii="Times New Roman" w:hAnsi="Arial Narrow" w:eastAsia="宋体" w:cs="Times New Roman"/>
                <w:kern w:val="0"/>
                <w:sz w:val="18"/>
                <w:szCs w:val="18"/>
              </w:rPr>
              <w:t>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191A07">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项目效益（</w:t>
            </w:r>
            <w:r>
              <w:rPr>
                <w:rFonts w:ascii="Times New Roman" w:hAnsi="Times New Roman" w:eastAsia="宋体" w:cs="Times New Roman"/>
                <w:kern w:val="0"/>
                <w:sz w:val="18"/>
                <w:szCs w:val="18"/>
              </w:rPr>
              <w:t>30</w:t>
            </w:r>
            <w:r>
              <w:rPr>
                <w:rFonts w:ascii="Times New Roman" w:hAnsi="Arial Narrow" w:eastAsia="宋体" w:cs="Times New Roman"/>
                <w:kern w:val="0"/>
                <w:sz w:val="18"/>
                <w:szCs w:val="18"/>
              </w:rPr>
              <w:t>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D84043">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经济效益（</w:t>
            </w:r>
            <w:r>
              <w:rPr>
                <w:rFonts w:ascii="Times New Roman" w:hAnsi="Times New Roman" w:eastAsia="宋体" w:cs="Times New Roman"/>
                <w:kern w:val="0"/>
                <w:sz w:val="18"/>
                <w:szCs w:val="18"/>
              </w:rPr>
              <w:t>6</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E83BF1E">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项目实施对经济发展所带来的直接或间接影响情况。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640CF2E0">
            <w:pPr>
              <w:widowControl/>
              <w:jc w:val="left"/>
              <w:rPr>
                <w:rFonts w:ascii="Times New Roman" w:hAnsi="Times New Roman" w:cs="Times New Roman"/>
                <w:kern w:val="0"/>
                <w:sz w:val="18"/>
                <w:szCs w:val="18"/>
              </w:rPr>
            </w:pPr>
            <w:r>
              <w:rPr>
                <w:rFonts w:ascii="Times New Roman" w:cs="Times New Roman" w:hAnsiTheme="minorEastAsia"/>
                <w:sz w:val="18"/>
                <w:szCs w:val="18"/>
              </w:rPr>
              <w:t>对照绩效目标，按经济效益实现程度计算得分。</w:t>
            </w:r>
          </w:p>
        </w:tc>
        <w:tc>
          <w:tcPr>
            <w:tcW w:w="531" w:type="dxa"/>
            <w:tcBorders>
              <w:top w:val="single" w:color="auto" w:sz="4" w:space="0"/>
              <w:left w:val="single" w:color="auto" w:sz="4" w:space="0"/>
              <w:bottom w:val="single" w:color="auto" w:sz="4" w:space="0"/>
              <w:right w:val="single" w:color="auto" w:sz="4" w:space="0"/>
            </w:tcBorders>
            <w:vAlign w:val="center"/>
          </w:tcPr>
          <w:p w14:paraId="13D6B7B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D43EA44">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F079A95">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395F9D4A">
            <w:pPr>
              <w:widowControl/>
              <w:rPr>
                <w:rFonts w:ascii="Times New Roman" w:hAnsi="Times New Roman" w:eastAsia="宋体" w:cs="Times New Roman"/>
                <w:kern w:val="0"/>
                <w:sz w:val="18"/>
                <w:szCs w:val="18"/>
              </w:rPr>
            </w:pPr>
          </w:p>
        </w:tc>
      </w:tr>
      <w:tr w14:paraId="1133EF33">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744C355">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2264F0">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FD966FC">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社会效益（</w:t>
            </w:r>
            <w:r>
              <w:rPr>
                <w:rFonts w:ascii="Times New Roman" w:hAnsi="Times New Roman" w:eastAsia="宋体" w:cs="Times New Roman"/>
                <w:kern w:val="0"/>
                <w:sz w:val="18"/>
                <w:szCs w:val="18"/>
              </w:rPr>
              <w:t>8</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B0A2CF9">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项目实施对社会发展所带来的直接或间接影响情况。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534E50E7">
            <w:pPr>
              <w:widowControl/>
              <w:jc w:val="left"/>
              <w:rPr>
                <w:rFonts w:ascii="Times New Roman" w:hAnsi="Times New Roman" w:cs="Times New Roman"/>
                <w:kern w:val="0"/>
                <w:sz w:val="18"/>
                <w:szCs w:val="18"/>
              </w:rPr>
            </w:pPr>
            <w:r>
              <w:rPr>
                <w:rFonts w:ascii="Times New Roman" w:cs="Times New Roman" w:hAnsiTheme="minorEastAsia"/>
                <w:sz w:val="18"/>
                <w:szCs w:val="18"/>
              </w:rPr>
              <w:t>对照绩效目标，按社会效益实现程度计算得分。</w:t>
            </w:r>
          </w:p>
        </w:tc>
        <w:tc>
          <w:tcPr>
            <w:tcW w:w="531" w:type="dxa"/>
            <w:tcBorders>
              <w:top w:val="single" w:color="auto" w:sz="4" w:space="0"/>
              <w:left w:val="single" w:color="auto" w:sz="4" w:space="0"/>
              <w:bottom w:val="single" w:color="auto" w:sz="4" w:space="0"/>
              <w:right w:val="single" w:color="auto" w:sz="4" w:space="0"/>
            </w:tcBorders>
            <w:vAlign w:val="center"/>
          </w:tcPr>
          <w:p w14:paraId="77EB1A7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6EE880D">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E250046">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6741F234">
            <w:pPr>
              <w:widowControl/>
              <w:rPr>
                <w:rFonts w:ascii="Times New Roman" w:hAnsi="Times New Roman" w:eastAsia="宋体" w:cs="Times New Roman"/>
                <w:kern w:val="0"/>
                <w:sz w:val="18"/>
                <w:szCs w:val="18"/>
              </w:rPr>
            </w:pPr>
          </w:p>
        </w:tc>
      </w:tr>
      <w:tr w14:paraId="3BBC4C7B">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BE3673E">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52FE04">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14472AB7">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可持续影响（</w:t>
            </w:r>
            <w:r>
              <w:rPr>
                <w:rFonts w:ascii="Times New Roman" w:hAnsi="Times New Roman" w:eastAsia="宋体" w:cs="Times New Roman"/>
                <w:kern w:val="0"/>
                <w:sz w:val="18"/>
                <w:szCs w:val="18"/>
              </w:rPr>
              <w:t>6</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C44CD36">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项目后续运行及成效发挥的可持续影响情况。</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41B92639">
            <w:pPr>
              <w:widowControl/>
              <w:jc w:val="left"/>
              <w:rPr>
                <w:rFonts w:ascii="Times New Roman" w:hAnsi="Times New Roman" w:eastAsia="宋体" w:cs="Times New Roman"/>
                <w:kern w:val="0"/>
                <w:sz w:val="18"/>
                <w:szCs w:val="18"/>
              </w:rPr>
            </w:pPr>
            <w:r>
              <w:rPr>
                <w:rFonts w:ascii="Times New Roman" w:cs="Times New Roman" w:hAnsiTheme="minorEastAsia"/>
                <w:sz w:val="18"/>
                <w:szCs w:val="18"/>
              </w:rPr>
              <w:t>对照绩效目标，按</w:t>
            </w:r>
            <w:r>
              <w:rPr>
                <w:rFonts w:ascii="Times New Roman" w:hAnsi="Arial Narrow" w:eastAsia="宋体" w:cs="Times New Roman"/>
                <w:kern w:val="0"/>
                <w:sz w:val="18"/>
                <w:szCs w:val="18"/>
              </w:rPr>
              <w:t>可持续影响</w:t>
            </w:r>
            <w:r>
              <w:rPr>
                <w:rFonts w:ascii="Times New Roman" w:cs="Times New Roman" w:hAnsiTheme="minorEastAsia"/>
                <w:sz w:val="18"/>
                <w:szCs w:val="18"/>
              </w:rPr>
              <w:t>实现程度计算得分。</w:t>
            </w:r>
          </w:p>
        </w:tc>
        <w:tc>
          <w:tcPr>
            <w:tcW w:w="531" w:type="dxa"/>
            <w:tcBorders>
              <w:top w:val="single" w:color="auto" w:sz="4" w:space="0"/>
              <w:left w:val="single" w:color="auto" w:sz="4" w:space="0"/>
              <w:bottom w:val="single" w:color="auto" w:sz="4" w:space="0"/>
              <w:right w:val="single" w:color="auto" w:sz="4" w:space="0"/>
            </w:tcBorders>
            <w:vAlign w:val="center"/>
          </w:tcPr>
          <w:p w14:paraId="6BFC201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795D25C7">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E775982">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5559F298">
            <w:pPr>
              <w:widowControl/>
              <w:rPr>
                <w:rFonts w:ascii="Times New Roman" w:hAnsi="Times New Roman" w:eastAsia="宋体" w:cs="Times New Roman"/>
                <w:kern w:val="0"/>
                <w:sz w:val="18"/>
                <w:szCs w:val="18"/>
              </w:rPr>
            </w:pPr>
          </w:p>
        </w:tc>
      </w:tr>
      <w:tr w14:paraId="44114A14">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8342A3D">
            <w:pPr>
              <w:widowControl/>
              <w:jc w:val="left"/>
              <w:rPr>
                <w:rFonts w:ascii="Times New Roman" w:hAnsi="Times New Roman" w:eastAsia="宋体" w:cs="Times New Roman"/>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7C6B5A">
            <w:pPr>
              <w:widowControl/>
              <w:jc w:val="left"/>
              <w:rPr>
                <w:rFonts w:ascii="Times New Roman" w:hAnsi="Times New Roman" w:eastAsia="宋体" w:cs="Times New Roman"/>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70C99190">
            <w:pPr>
              <w:widowControl/>
              <w:jc w:val="center"/>
              <w:rPr>
                <w:rFonts w:ascii="Times New Roman" w:hAnsi="Times New Roman" w:eastAsia="宋体" w:cs="Times New Roman"/>
                <w:kern w:val="0"/>
                <w:sz w:val="18"/>
                <w:szCs w:val="18"/>
              </w:rPr>
            </w:pPr>
            <w:r>
              <w:rPr>
                <w:rFonts w:ascii="Times New Roman" w:hAnsi="Arial Narrow" w:eastAsia="宋体" w:cs="Times New Roman"/>
                <w:kern w:val="0"/>
                <w:sz w:val="18"/>
                <w:szCs w:val="18"/>
              </w:rPr>
              <w:t>服务对象满意度（</w:t>
            </w:r>
            <w:r>
              <w:rPr>
                <w:rFonts w:ascii="Times New Roman" w:hAnsi="Times New Roman" w:eastAsia="宋体" w:cs="Times New Roman"/>
                <w:kern w:val="0"/>
                <w:sz w:val="18"/>
                <w:szCs w:val="18"/>
              </w:rPr>
              <w:t>10</w:t>
            </w:r>
            <w:r>
              <w:rPr>
                <w:rFonts w:ascii="Times New Roman" w:hAnsi="Arial Narrow" w:eastAsia="宋体" w:cs="Times New Roman"/>
                <w:kern w:val="0"/>
                <w:sz w:val="18"/>
                <w:szCs w:val="18"/>
              </w:rPr>
              <w:t>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D9F5349">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社会公众或服务对象对项目实施效果的满意程度。</w:t>
            </w:r>
          </w:p>
        </w:tc>
        <w:tc>
          <w:tcPr>
            <w:tcW w:w="4533" w:type="dxa"/>
            <w:tcBorders>
              <w:top w:val="single" w:color="auto" w:sz="4" w:space="0"/>
              <w:left w:val="single" w:color="auto" w:sz="4" w:space="0"/>
              <w:bottom w:val="single" w:color="auto" w:sz="4" w:space="0"/>
              <w:right w:val="single" w:color="auto" w:sz="4" w:space="0"/>
            </w:tcBorders>
            <w:shd w:val="clear" w:color="auto" w:fill="auto"/>
            <w:vAlign w:val="center"/>
          </w:tcPr>
          <w:p w14:paraId="00BF8D2B">
            <w:pPr>
              <w:widowControl/>
              <w:jc w:val="left"/>
              <w:rPr>
                <w:rFonts w:ascii="Times New Roman" w:hAnsi="Times New Roman" w:eastAsia="宋体" w:cs="Times New Roman"/>
                <w:kern w:val="0"/>
                <w:sz w:val="18"/>
                <w:szCs w:val="18"/>
              </w:rPr>
            </w:pPr>
            <w:r>
              <w:rPr>
                <w:rFonts w:ascii="Times New Roman" w:hAnsi="Arial Narrow" w:eastAsia="宋体" w:cs="Times New Roman"/>
                <w:kern w:val="0"/>
                <w:sz w:val="18"/>
                <w:szCs w:val="18"/>
              </w:rPr>
              <w:t>采取社会调查的方式，社会公众满意度大于</w:t>
            </w:r>
            <w:r>
              <w:rPr>
                <w:rFonts w:ascii="Times New Roman" w:hAnsi="Times New Roman" w:eastAsia="宋体" w:cs="Times New Roman"/>
                <w:kern w:val="0"/>
                <w:sz w:val="18"/>
                <w:szCs w:val="18"/>
              </w:rPr>
              <w:t>90%</w:t>
            </w:r>
            <w:r>
              <w:rPr>
                <w:rFonts w:ascii="Times New Roman" w:hAnsi="Arial Narrow" w:eastAsia="宋体" w:cs="Times New Roman"/>
                <w:kern w:val="0"/>
                <w:sz w:val="18"/>
                <w:szCs w:val="18"/>
              </w:rPr>
              <w:t>的得满分，每少</w:t>
            </w:r>
            <w:r>
              <w:rPr>
                <w:rFonts w:ascii="Times New Roman" w:hAnsi="Times New Roman" w:eastAsia="宋体" w:cs="Times New Roman"/>
                <w:kern w:val="0"/>
                <w:sz w:val="18"/>
                <w:szCs w:val="18"/>
              </w:rPr>
              <w:t>1</w:t>
            </w:r>
            <w:r>
              <w:rPr>
                <w:rFonts w:ascii="Times New Roman" w:hAnsi="Arial Narrow" w:eastAsia="宋体" w:cs="Times New Roman"/>
                <w:kern w:val="0"/>
                <w:sz w:val="18"/>
                <w:szCs w:val="18"/>
              </w:rPr>
              <w:t>个百分点扣</w:t>
            </w:r>
            <w:r>
              <w:rPr>
                <w:rFonts w:ascii="Times New Roman" w:hAnsi="Times New Roman" w:eastAsia="宋体" w:cs="Times New Roman"/>
                <w:kern w:val="0"/>
                <w:sz w:val="18"/>
                <w:szCs w:val="18"/>
              </w:rPr>
              <w:t>0.3</w:t>
            </w:r>
            <w:r>
              <w:rPr>
                <w:rFonts w:ascii="Times New Roman" w:hAnsi="Arial Narrow" w:eastAsia="宋体" w:cs="Times New Roman"/>
                <w:kern w:val="0"/>
                <w:sz w:val="18"/>
                <w:szCs w:val="18"/>
              </w:rPr>
              <w:t>分，扣完为止。</w:t>
            </w:r>
          </w:p>
        </w:tc>
        <w:tc>
          <w:tcPr>
            <w:tcW w:w="531" w:type="dxa"/>
            <w:tcBorders>
              <w:top w:val="single" w:color="auto" w:sz="4" w:space="0"/>
              <w:left w:val="single" w:color="auto" w:sz="4" w:space="0"/>
              <w:bottom w:val="single" w:color="auto" w:sz="4" w:space="0"/>
              <w:right w:val="single" w:color="auto" w:sz="4" w:space="0"/>
            </w:tcBorders>
            <w:vAlign w:val="center"/>
          </w:tcPr>
          <w:p w14:paraId="32AF0DB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6F7B5695">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A73F071">
            <w:pPr>
              <w:widowControl/>
              <w:jc w:val="center"/>
              <w:rPr>
                <w:rFonts w:ascii="Times New Roman" w:hAnsi="Times New Roman" w:eastAsia="宋体" w:cs="Times New Roman"/>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67AEE0D2">
            <w:pPr>
              <w:widowControl/>
              <w:rPr>
                <w:rFonts w:ascii="Times New Roman" w:hAnsi="Times New Roman" w:eastAsia="宋体" w:cs="Times New Roman"/>
                <w:kern w:val="0"/>
                <w:sz w:val="18"/>
                <w:szCs w:val="18"/>
              </w:rPr>
            </w:pPr>
          </w:p>
        </w:tc>
      </w:tr>
      <w:tr w14:paraId="63FBF2C0">
        <w:tblPrEx>
          <w:tblCellMar>
            <w:top w:w="0" w:type="dxa"/>
            <w:left w:w="108" w:type="dxa"/>
            <w:bottom w:w="0" w:type="dxa"/>
            <w:right w:w="108" w:type="dxa"/>
          </w:tblCellMar>
        </w:tblPrEx>
        <w:trPr>
          <w:trHeight w:val="461" w:hRule="atLeast"/>
        </w:trPr>
        <w:tc>
          <w:tcPr>
            <w:tcW w:w="99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76D399">
            <w:pPr>
              <w:widowControl/>
              <w:jc w:val="center"/>
              <w:rPr>
                <w:rFonts w:ascii="Times New Roman" w:hAnsi="Times New Roman" w:eastAsia="宋体" w:cs="Times New Roman"/>
                <w:b/>
                <w:bCs/>
                <w:kern w:val="0"/>
                <w:sz w:val="18"/>
                <w:szCs w:val="18"/>
              </w:rPr>
            </w:pPr>
            <w:r>
              <w:rPr>
                <w:rFonts w:ascii="Times New Roman" w:hAnsi="Arial Narrow" w:eastAsia="宋体" w:cs="Times New Roman"/>
                <w:b/>
                <w:bCs/>
                <w:kern w:val="0"/>
                <w:sz w:val="18"/>
                <w:szCs w:val="18"/>
              </w:rPr>
              <w:t>合计</w:t>
            </w:r>
          </w:p>
        </w:tc>
        <w:tc>
          <w:tcPr>
            <w:tcW w:w="531" w:type="dxa"/>
            <w:tcBorders>
              <w:top w:val="single" w:color="auto" w:sz="4" w:space="0"/>
              <w:left w:val="single" w:color="auto" w:sz="4" w:space="0"/>
              <w:bottom w:val="single" w:color="auto" w:sz="4" w:space="0"/>
              <w:right w:val="single" w:color="auto" w:sz="4" w:space="0"/>
            </w:tcBorders>
            <w:vAlign w:val="center"/>
          </w:tcPr>
          <w:p w14:paraId="5565F8F6">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7FC8DBF6">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98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B77B0D6">
            <w:pPr>
              <w:widowControl/>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2</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14:paraId="29FAA52E">
            <w:pPr>
              <w:widowControl/>
              <w:jc w:val="center"/>
              <w:rPr>
                <w:rFonts w:ascii="Times New Roman" w:hAnsi="Times New Roman" w:eastAsia="宋体" w:cs="Times New Roman"/>
                <w:b/>
                <w:bCs/>
                <w:kern w:val="0"/>
                <w:sz w:val="18"/>
                <w:szCs w:val="18"/>
              </w:rPr>
            </w:pPr>
          </w:p>
        </w:tc>
      </w:tr>
    </w:tbl>
    <w:p w14:paraId="378859D1">
      <w:pPr>
        <w:rPr>
          <w:rFonts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nsum">
    <w:altName w:val="Times New Roman"/>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14:paraId="7535AAF8">
        <w:pPr>
          <w:pStyle w:val="3"/>
          <w:jc w:val="right"/>
        </w:pPr>
        <w:r>
          <w:fldChar w:fldCharType="begin"/>
        </w:r>
        <w:r>
          <w:instrText xml:space="preserve"> PAGE   \* MERGEFORMAT </w:instrText>
        </w:r>
        <w:r>
          <w:fldChar w:fldCharType="separate"/>
        </w:r>
        <w:r>
          <w:rPr>
            <w:lang w:val="zh-CN"/>
          </w:rPr>
          <w:t>9</w:t>
        </w:r>
        <w:r>
          <w:rPr>
            <w:lang w:val="zh-CN"/>
          </w:rPr>
          <w:fldChar w:fldCharType="end"/>
        </w:r>
      </w:p>
    </w:sdtContent>
  </w:sdt>
  <w:p w14:paraId="2676F7B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F3837"/>
    <w:multiLevelType w:val="multilevel"/>
    <w:tmpl w:val="798F3837"/>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0AE"/>
    <w:rsid w:val="0003267E"/>
    <w:rsid w:val="00062F73"/>
    <w:rsid w:val="00094DB0"/>
    <w:rsid w:val="000D0D98"/>
    <w:rsid w:val="000E3F5D"/>
    <w:rsid w:val="000E7790"/>
    <w:rsid w:val="00131F9B"/>
    <w:rsid w:val="00163DDC"/>
    <w:rsid w:val="001640AE"/>
    <w:rsid w:val="00164180"/>
    <w:rsid w:val="001818B2"/>
    <w:rsid w:val="001C53DE"/>
    <w:rsid w:val="001F0E58"/>
    <w:rsid w:val="002020EC"/>
    <w:rsid w:val="00202F55"/>
    <w:rsid w:val="0021586A"/>
    <w:rsid w:val="00237B9D"/>
    <w:rsid w:val="00241E48"/>
    <w:rsid w:val="00244900"/>
    <w:rsid w:val="0024582A"/>
    <w:rsid w:val="00270637"/>
    <w:rsid w:val="002B5392"/>
    <w:rsid w:val="003070D3"/>
    <w:rsid w:val="0035374E"/>
    <w:rsid w:val="003B346C"/>
    <w:rsid w:val="0044562C"/>
    <w:rsid w:val="00490958"/>
    <w:rsid w:val="004A18B3"/>
    <w:rsid w:val="004E6E08"/>
    <w:rsid w:val="00523B01"/>
    <w:rsid w:val="00531418"/>
    <w:rsid w:val="00553062"/>
    <w:rsid w:val="00592329"/>
    <w:rsid w:val="005C2296"/>
    <w:rsid w:val="005F69C4"/>
    <w:rsid w:val="00612182"/>
    <w:rsid w:val="00616BA5"/>
    <w:rsid w:val="0063307C"/>
    <w:rsid w:val="006366B5"/>
    <w:rsid w:val="006567A8"/>
    <w:rsid w:val="00684469"/>
    <w:rsid w:val="006A26C1"/>
    <w:rsid w:val="006A2953"/>
    <w:rsid w:val="006E08EA"/>
    <w:rsid w:val="0072702B"/>
    <w:rsid w:val="007436D9"/>
    <w:rsid w:val="00757D4A"/>
    <w:rsid w:val="00781D47"/>
    <w:rsid w:val="007B06E4"/>
    <w:rsid w:val="007B557C"/>
    <w:rsid w:val="007D0EBC"/>
    <w:rsid w:val="00854545"/>
    <w:rsid w:val="00896CBE"/>
    <w:rsid w:val="008B388B"/>
    <w:rsid w:val="008D46B1"/>
    <w:rsid w:val="008E6CA2"/>
    <w:rsid w:val="009D1170"/>
    <w:rsid w:val="009F7A94"/>
    <w:rsid w:val="00A01AE7"/>
    <w:rsid w:val="00A75183"/>
    <w:rsid w:val="00A9773E"/>
    <w:rsid w:val="00AD0783"/>
    <w:rsid w:val="00AE1811"/>
    <w:rsid w:val="00AE47AA"/>
    <w:rsid w:val="00B02F60"/>
    <w:rsid w:val="00C14378"/>
    <w:rsid w:val="00C1533E"/>
    <w:rsid w:val="00C2794A"/>
    <w:rsid w:val="00C5210E"/>
    <w:rsid w:val="00CD21CC"/>
    <w:rsid w:val="00D16B43"/>
    <w:rsid w:val="00DD2996"/>
    <w:rsid w:val="00DE0637"/>
    <w:rsid w:val="00E2786E"/>
    <w:rsid w:val="00E54E06"/>
    <w:rsid w:val="00EB0B27"/>
    <w:rsid w:val="00F20014"/>
    <w:rsid w:val="00F35C21"/>
    <w:rsid w:val="00F920C0"/>
    <w:rsid w:val="00FC5B60"/>
    <w:rsid w:val="00FC75B7"/>
    <w:rsid w:val="00FD134A"/>
    <w:rsid w:val="295A12DC"/>
    <w:rsid w:val="5B7B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Char"/>
    <w:basedOn w:val="7"/>
    <w:link w:val="2"/>
    <w:qFormat/>
    <w:uiPriority w:val="9"/>
    <w:rPr>
      <w:rFonts w:ascii="Arial" w:hAnsi="Arial" w:eastAsia="黑体" w:cs="Times New Roman"/>
      <w:b/>
      <w:bCs/>
      <w:kern w:val="0"/>
      <w:sz w:val="32"/>
      <w:szCs w:val="3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08AA-8D89-4E71-8E40-32BB000DB8AF}">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10</Pages>
  <Words>1546</Words>
  <Characters>1589</Characters>
  <Lines>35</Lines>
  <Paragraphs>10</Paragraphs>
  <TotalTime>2</TotalTime>
  <ScaleCrop>false</ScaleCrop>
  <LinksUpToDate>false</LinksUpToDate>
  <CharactersWithSpaces>1591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Lenovo</dc:creator>
  <cp:lastModifiedBy>momo</cp:lastModifiedBy>
  <cp:lastPrinted>2024-03-05T02:09:00Z</cp:lastPrinted>
  <dcterms:modified xsi:type="dcterms:W3CDTF">2025-04-28T08:20:10Z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eyJoZGlkIjoiNzQ4ZTZhZDMyNTkwZmUxMTJhMzgzZDEzMWZlM2U4MjYiLCJ1c2VySWQiOiIxMDg0Njk1MDExIn0=</vt:lpwstr>
  </property>
  <property fmtid="{D5CDD505-2E9C-101B-9397-08002B2CF9AE}" pid="4" name="ICV">
    <vt:lpwstr>99D6FA59294B495FB73CA66FCBCC4021_12</vt:lpwstr>
  </property>
</Properties>
</file>