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C2F90">
      <w:pPr>
        <w:spacing w:line="620" w:lineRule="exact"/>
        <w:ind w:left="263" w:leftChars="125"/>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机关事业单位离退休人员县级承担津贴经费</w:t>
      </w:r>
      <w:r>
        <w:rPr>
          <w:rFonts w:hint="eastAsia" w:ascii="方正小标宋简体" w:hAnsi="方正小标宋简体" w:eastAsia="方正小标宋简体" w:cs="方正小标宋简体"/>
          <w:sz w:val="44"/>
          <w:szCs w:val="44"/>
        </w:rPr>
        <w:t>项目支出绩效评价报告</w:t>
      </w:r>
    </w:p>
    <w:p w14:paraId="72F081C3">
      <w:pPr>
        <w:spacing w:line="620" w:lineRule="exact"/>
        <w:ind w:left="263" w:leftChars="125"/>
        <w:jc w:val="center"/>
        <w:rPr>
          <w:rFonts w:ascii="仿宋_GB2312" w:hAnsi="仿宋_GB2312" w:eastAsia="仿宋_GB2312" w:cs="仿宋_GB2312"/>
          <w:sz w:val="32"/>
          <w:szCs w:val="32"/>
        </w:rPr>
      </w:pPr>
    </w:p>
    <w:p w14:paraId="55DA486B">
      <w:pPr>
        <w:spacing w:line="500" w:lineRule="exact"/>
        <w:ind w:left="263" w:leftChars="125" w:firstLine="640" w:firstLineChars="200"/>
        <w:rPr>
          <w:rFonts w:ascii="黑体" w:hAnsi="黑体" w:eastAsia="黑体" w:cs="黑体"/>
          <w:sz w:val="32"/>
          <w:szCs w:val="32"/>
        </w:rPr>
      </w:pPr>
    </w:p>
    <w:p w14:paraId="035B243A">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一、基本情况</w:t>
      </w:r>
    </w:p>
    <w:p w14:paraId="1E2D55E3">
      <w:pPr>
        <w:topLinePunct/>
        <w:spacing w:line="560" w:lineRule="exact"/>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14:paraId="0E8933F0">
      <w:pPr>
        <w:topLinePunct/>
        <w:spacing w:line="560" w:lineRule="exact"/>
        <w:ind w:firstLine="803" w:firstLineChars="250"/>
        <w:rPr>
          <w:rFonts w:ascii="Times New Roman" w:hAnsi="Times New Roman" w:eastAsia="仿宋_GB2312" w:cs="Times New Roman"/>
          <w:b/>
          <w:sz w:val="32"/>
          <w:szCs w:val="32"/>
        </w:rPr>
      </w:pPr>
      <w:r>
        <w:rPr>
          <w:rFonts w:ascii="Times New Roman" w:hAnsi="Times New Roman" w:eastAsia="仿宋_GB2312" w:cs="Times New Roman"/>
          <w:b/>
          <w:sz w:val="32"/>
          <w:szCs w:val="32"/>
        </w:rPr>
        <w:t>1.立项背景及目的。</w:t>
      </w:r>
    </w:p>
    <w:p w14:paraId="434E8385">
      <w:pPr>
        <w:widowControl/>
        <w:spacing w:after="0" w:line="560" w:lineRule="exact"/>
        <w:ind w:firstLine="640" w:firstLineChars="200"/>
        <w:rPr>
          <w:rFonts w:hint="default" w:ascii="Calibri" w:hAnsi="Calibri" w:eastAsia="仿宋_GB2312" w:cs="Times New Roman"/>
          <w:sz w:val="32"/>
          <w:szCs w:val="32"/>
          <w:highlight w:val="none"/>
          <w:lang w:val="en-US" w:eastAsia="zh-CN"/>
        </w:rPr>
      </w:pPr>
      <w:r>
        <w:rPr>
          <w:rFonts w:hint="eastAsia" w:ascii="Calibri" w:hAnsi="Calibri" w:eastAsia="仿宋_GB2312" w:cs="Times New Roman"/>
          <w:sz w:val="32"/>
          <w:szCs w:val="32"/>
          <w:highlight w:val="none"/>
          <w:lang w:val="en-US" w:eastAsia="zh-CN"/>
        </w:rPr>
        <w:t>根据党中央、国务院批准的《公务员工资制度改革方案》和《事业单位工作人员收入分配制度改革方案》制定《机关事业单位离退休人员县级承担津贴经费项目》</w:t>
      </w:r>
      <w:r>
        <w:rPr>
          <w:rFonts w:hint="eastAsia" w:ascii="Calibri" w:hAnsi="Calibri" w:eastAsia="仿宋_GB2312" w:cs="Times New Roman"/>
          <w:sz w:val="32"/>
          <w:szCs w:val="32"/>
          <w:highlight w:val="none"/>
        </w:rPr>
        <w:t>指县级财政承担的新增改革性补贴、中小学教师加发退休费、独生子女奖励金、残联系统工作人员岗位津贴、</w:t>
      </w:r>
      <w:r>
        <w:rPr>
          <w:rFonts w:hint="eastAsia" w:ascii="Calibri" w:hAnsi="Calibri" w:eastAsia="仿宋_GB2312" w:cs="Times New Roman"/>
          <w:color w:val="000000"/>
          <w:sz w:val="32"/>
          <w:szCs w:val="32"/>
          <w:highlight w:val="none"/>
        </w:rPr>
        <w:t>813</w:t>
      </w:r>
      <w:r>
        <w:rPr>
          <w:rFonts w:hint="eastAsia" w:ascii="Calibri" w:hAnsi="Calibri" w:eastAsia="仿宋_GB2312" w:cs="Times New Roman"/>
          <w:sz w:val="32"/>
          <w:szCs w:val="32"/>
          <w:highlight w:val="none"/>
        </w:rPr>
        <w:t>及中组部生活补贴、荣誉津贴等)。</w:t>
      </w:r>
    </w:p>
    <w:p w14:paraId="5766D363">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2.项目实施情况。</w:t>
      </w:r>
    </w:p>
    <w:p w14:paraId="1B34B5B8">
      <w:pPr>
        <w:widowControl/>
        <w:spacing w:after="0" w:line="560" w:lineRule="exact"/>
        <w:ind w:firstLine="640" w:firstLineChars="200"/>
        <w:rPr>
          <w:rFonts w:hint="eastAsia" w:ascii="Calibri" w:hAnsi="Calibri" w:eastAsia="仿宋_GB2312" w:cs="Times New Roman"/>
          <w:sz w:val="32"/>
          <w:szCs w:val="32"/>
          <w:highlight w:val="none"/>
          <w:lang w:val="en-US" w:eastAsia="zh-CN"/>
        </w:rPr>
      </w:pPr>
      <w:r>
        <w:rPr>
          <w:rFonts w:hint="eastAsia" w:ascii="Calibri" w:hAnsi="Calibri" w:eastAsia="仿宋_GB2312" w:cs="Times New Roman"/>
          <w:sz w:val="32"/>
          <w:szCs w:val="32"/>
          <w:highlight w:val="none"/>
          <w:lang w:val="en-US" w:eastAsia="zh-CN"/>
        </w:rPr>
        <w:t>机关事业单位离退休人员县级承担津贴经费遵循属地管理原则，做好预算工作，确保机关退休人员退休金的及时、足额发放。</w:t>
      </w:r>
    </w:p>
    <w:p w14:paraId="2065B284">
      <w:pPr>
        <w:keepNext w:val="0"/>
        <w:keepLines w:val="0"/>
        <w:pageBreakBefore w:val="0"/>
        <w:widowControl w:val="0"/>
        <w:numPr>
          <w:ilvl w:val="0"/>
          <w:numId w:val="1"/>
        </w:numPr>
        <w:kinsoku/>
        <w:wordWrap/>
        <w:overflowPunct/>
        <w:topLinePunct/>
        <w:autoSpaceDE/>
        <w:autoSpaceDN/>
        <w:bidi w:val="0"/>
        <w:adjustRightInd/>
        <w:snapToGrid/>
        <w:spacing w:line="560" w:lineRule="exact"/>
        <w:ind w:leftChars="250"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资金来源及使用情况。</w:t>
      </w:r>
    </w:p>
    <w:p w14:paraId="0BA139D8">
      <w:pPr>
        <w:keepNext w:val="0"/>
        <w:keepLines w:val="0"/>
        <w:pageBreakBefore w:val="0"/>
        <w:widowControl w:val="0"/>
        <w:kinsoku/>
        <w:wordWrap/>
        <w:overflowPunct/>
        <w:autoSpaceDE/>
        <w:autoSpaceDN/>
        <w:bidi w:val="0"/>
        <w:adjustRightInd/>
        <w:snapToGrid/>
        <w:spacing w:line="600" w:lineRule="exact"/>
        <w:ind w:left="263" w:leftChars="125" w:firstLine="640" w:firstLineChars="200"/>
        <w:textAlignment w:val="auto"/>
        <w:rPr>
          <w:rFonts w:ascii="仿宋" w:hAnsi="仿宋" w:eastAsia="仿宋"/>
          <w:sz w:val="32"/>
          <w:szCs w:val="32"/>
        </w:rPr>
      </w:pPr>
      <w:r>
        <w:rPr>
          <w:rFonts w:hint="eastAsia" w:ascii="Calibri" w:hAnsi="Calibri" w:eastAsia="仿宋_GB2312" w:cs="Times New Roman"/>
          <w:sz w:val="32"/>
          <w:szCs w:val="32"/>
          <w:highlight w:val="none"/>
          <w:lang w:val="en-US" w:eastAsia="zh-CN"/>
        </w:rPr>
        <w:t>我部门202</w:t>
      </w:r>
      <w:r>
        <w:rPr>
          <w:rFonts w:hint="eastAsia" w:eastAsia="仿宋_GB2312" w:cs="Times New Roman"/>
          <w:sz w:val="32"/>
          <w:szCs w:val="32"/>
          <w:highlight w:val="none"/>
          <w:lang w:val="en-US" w:eastAsia="zh-CN"/>
        </w:rPr>
        <w:t>4</w:t>
      </w:r>
      <w:r>
        <w:rPr>
          <w:rFonts w:hint="eastAsia" w:ascii="Calibri" w:hAnsi="Calibri" w:eastAsia="仿宋_GB2312" w:cs="Times New Roman"/>
          <w:sz w:val="32"/>
          <w:szCs w:val="32"/>
          <w:highlight w:val="none"/>
          <w:lang w:val="en-US" w:eastAsia="zh-CN"/>
        </w:rPr>
        <w:t>年项目资金由县级财政部门安排，为年初预算资金，共计</w:t>
      </w:r>
      <w:r>
        <w:rPr>
          <w:rFonts w:hint="eastAsia" w:eastAsia="仿宋_GB2312" w:cs="Times New Roman"/>
          <w:sz w:val="32"/>
          <w:szCs w:val="32"/>
          <w:highlight w:val="none"/>
          <w:lang w:val="en-US" w:eastAsia="zh-CN"/>
        </w:rPr>
        <w:t>1513.12</w:t>
      </w:r>
      <w:r>
        <w:rPr>
          <w:rFonts w:hint="eastAsia" w:ascii="Calibri" w:hAnsi="Calibri" w:eastAsia="仿宋_GB2312" w:cs="Times New Roman"/>
          <w:sz w:val="32"/>
          <w:szCs w:val="32"/>
          <w:highlight w:val="none"/>
          <w:lang w:val="en-US" w:eastAsia="zh-CN"/>
        </w:rPr>
        <w:t>万元，已全部按月发放到位。</w:t>
      </w:r>
    </w:p>
    <w:p w14:paraId="744A86FD">
      <w:pPr>
        <w:widowControl/>
        <w:numPr>
          <w:ilvl w:val="0"/>
          <w:numId w:val="2"/>
        </w:numPr>
        <w:spacing w:after="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项目绩效目标。</w:t>
      </w:r>
    </w:p>
    <w:p w14:paraId="2DA45D19">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Calibri" w:hAnsi="Calibri" w:eastAsia="仿宋_GB2312" w:cs="Times New Roman"/>
          <w:sz w:val="32"/>
          <w:szCs w:val="32"/>
          <w:highlight w:val="none"/>
          <w:lang w:val="en-US" w:eastAsia="zh-CN"/>
        </w:rPr>
      </w:pPr>
      <w:r>
        <w:rPr>
          <w:rFonts w:hint="eastAsia" w:ascii="Calibri" w:hAnsi="Calibri" w:eastAsia="仿宋_GB2312" w:cs="Times New Roman"/>
          <w:sz w:val="32"/>
          <w:szCs w:val="32"/>
          <w:highlight w:val="none"/>
          <w:lang w:val="en-US" w:eastAsia="zh-CN"/>
        </w:rPr>
        <w:t>及时、足额发放机关事业单位离退休人员县级承担津贴经费。</w:t>
      </w:r>
    </w:p>
    <w:p w14:paraId="080B7B25">
      <w:pPr>
        <w:keepNext w:val="0"/>
        <w:keepLines w:val="0"/>
        <w:pageBreakBefore w:val="0"/>
        <w:kinsoku/>
        <w:wordWrap/>
        <w:overflowPunct/>
        <w:topLinePunct w:val="0"/>
        <w:autoSpaceDE/>
        <w:autoSpaceDN/>
        <w:bidi w:val="0"/>
        <w:adjustRightInd/>
        <w:snapToGrid/>
        <w:spacing w:line="600" w:lineRule="exact"/>
        <w:ind w:left="263" w:leftChars="125" w:firstLine="640" w:firstLineChars="200"/>
        <w:textAlignment w:val="auto"/>
        <w:rPr>
          <w:rFonts w:hint="eastAsia" w:ascii="Calibri" w:hAnsi="Calibri" w:eastAsia="仿宋_GB2312" w:cs="Times New Roman"/>
          <w:sz w:val="32"/>
          <w:szCs w:val="32"/>
          <w:highlight w:val="none"/>
          <w:lang w:val="en-US" w:eastAsia="zh-CN"/>
        </w:rPr>
      </w:pPr>
      <w:r>
        <w:rPr>
          <w:rFonts w:hint="eastAsia" w:ascii="Calibri" w:hAnsi="Calibri" w:eastAsia="仿宋_GB2312" w:cs="Times New Roman"/>
          <w:sz w:val="32"/>
          <w:szCs w:val="32"/>
          <w:highlight w:val="none"/>
          <w:lang w:val="en-US" w:eastAsia="zh-CN"/>
        </w:rPr>
        <w:t>（经济效益、社会效益、生态效益、可持续影响、服务对象满意）</w:t>
      </w:r>
    </w:p>
    <w:p w14:paraId="51E78142">
      <w:pPr>
        <w:widowControl/>
        <w:numPr>
          <w:ilvl w:val="0"/>
          <w:numId w:val="2"/>
        </w:numPr>
        <w:spacing w:after="0" w:line="56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项目组织管理情况。</w:t>
      </w:r>
    </w:p>
    <w:p w14:paraId="59CF4CF2">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200" w:firstLine="640" w:firstLineChars="200"/>
        <w:textAlignment w:val="auto"/>
        <w:rPr>
          <w:rFonts w:hint="eastAsia" w:ascii="Calibri" w:hAnsi="Calibri" w:eastAsia="仿宋_GB2312" w:cs="Times New Roman"/>
          <w:sz w:val="32"/>
          <w:szCs w:val="32"/>
          <w:highlight w:val="none"/>
          <w:lang w:val="en-US" w:eastAsia="zh-CN"/>
        </w:rPr>
      </w:pPr>
      <w:r>
        <w:rPr>
          <w:rFonts w:hint="eastAsia" w:ascii="Calibri" w:hAnsi="Calibri" w:eastAsia="仿宋_GB2312" w:cs="Times New Roman"/>
          <w:sz w:val="32"/>
          <w:szCs w:val="32"/>
          <w:highlight w:val="none"/>
          <w:lang w:val="en-US" w:eastAsia="zh-CN"/>
        </w:rPr>
        <w:t>我单位项目支出——机关事业单位离退休人员县级承担津贴经费由富民县社会保险中心出具拨款通知，注明当月发放人数及金额，经领导签章审核后，由财务科填写拨款审批单，通过银行拨款至个人帐户。</w:t>
      </w:r>
    </w:p>
    <w:p w14:paraId="6A1DE2D7">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14:paraId="6D174968">
      <w:p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14:paraId="03D34199">
      <w:pPr>
        <w:spacing w:line="600" w:lineRule="exact"/>
        <w:ind w:left="263" w:leftChars="125" w:firstLine="640" w:firstLineChars="200"/>
        <w:rPr>
          <w:rFonts w:ascii="楷体_GB2312" w:hAnsi="楷体_GB2312" w:eastAsia="楷体_GB2312" w:cs="楷体_GB2312"/>
          <w:sz w:val="32"/>
          <w:szCs w:val="32"/>
        </w:rPr>
      </w:pPr>
      <w:r>
        <w:rPr>
          <w:rFonts w:hint="eastAsia" w:ascii="Calibri" w:hAnsi="Calibri" w:eastAsia="仿宋_GB2312" w:cs="Times New Roman"/>
          <w:sz w:val="32"/>
          <w:szCs w:val="32"/>
          <w:highlight w:val="none"/>
          <w:lang w:val="en-US" w:eastAsia="zh-CN"/>
        </w:rPr>
        <w:t>全面了解项目管理过程是否规范、产出目标是否完成，效果目标是否实现等方面的内容，总结经验，查找不足，为项目在以后年度的开展提供可行性参考建议。在此基础上，重点分析项目预算编制的合理性、成本支出的真实性和控制有效性，以评价财政资金的使用效率和效果，为以后年度编制项目预算、选择项目实施主体等提供参考依据。</w:t>
      </w:r>
    </w:p>
    <w:p w14:paraId="467FFEC1">
      <w:pPr>
        <w:spacing w:line="600" w:lineRule="exact"/>
        <w:ind w:left="263" w:leftChars="125"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（二）绩效评价原则、依据、评价指标体系（附表说明）、评价方法、评价标准、评价标准、评价抽样等。</w:t>
      </w:r>
    </w:p>
    <w:p w14:paraId="132C75B0">
      <w:pPr>
        <w:topLinePunct/>
        <w:spacing w:line="560" w:lineRule="exact"/>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（三）绩效评价工作流程。</w:t>
      </w:r>
    </w:p>
    <w:p w14:paraId="2361F620">
      <w:pPr>
        <w:topLinePunct/>
        <w:spacing w:line="560" w:lineRule="exact"/>
        <w:ind w:firstLine="803" w:firstLineChars="250"/>
        <w:rPr>
          <w:rFonts w:ascii="Times New Roman" w:hAnsi="Times New Roman" w:eastAsia="仿宋_GB2312" w:cs="Times New Roman"/>
          <w:b/>
          <w:sz w:val="32"/>
          <w:szCs w:val="32"/>
        </w:rPr>
      </w:pPr>
      <w:r>
        <w:rPr>
          <w:rFonts w:ascii="Times New Roman" w:hAnsi="Times New Roman" w:eastAsia="仿宋_GB2312" w:cs="Times New Roman"/>
          <w:b/>
          <w:sz w:val="32"/>
          <w:szCs w:val="32"/>
        </w:rPr>
        <w:t>1.绩效评价原则。</w:t>
      </w:r>
    </w:p>
    <w:p w14:paraId="5005A465">
      <w:pPr>
        <w:widowControl/>
        <w:spacing w:after="0" w:line="560" w:lineRule="exact"/>
        <w:ind w:firstLine="640" w:firstLineChars="200"/>
        <w:rPr>
          <w:rFonts w:hint="eastAsia" w:ascii="Calibri" w:hAnsi="Calibri" w:eastAsia="仿宋_GB2312" w:cs="Times New Roman"/>
          <w:sz w:val="32"/>
          <w:szCs w:val="32"/>
          <w:highlight w:val="none"/>
          <w:lang w:val="en-US" w:eastAsia="zh-CN"/>
        </w:rPr>
      </w:pPr>
      <w:r>
        <w:rPr>
          <w:rFonts w:hint="eastAsia" w:ascii="Calibri" w:hAnsi="Calibri" w:eastAsia="仿宋_GB2312" w:cs="Times New Roman"/>
          <w:sz w:val="32"/>
          <w:szCs w:val="32"/>
          <w:highlight w:val="none"/>
          <w:lang w:val="en-US" w:eastAsia="zh-CN"/>
        </w:rPr>
        <w:t>（1）科学规范。</w:t>
      </w:r>
    </w:p>
    <w:p w14:paraId="316CD050">
      <w:pPr>
        <w:widowControl/>
        <w:spacing w:after="0" w:line="560" w:lineRule="exact"/>
        <w:ind w:firstLine="640" w:firstLineChars="200"/>
        <w:rPr>
          <w:rFonts w:hint="eastAsia" w:ascii="Calibri" w:hAnsi="Calibri" w:eastAsia="仿宋_GB2312" w:cs="Times New Roman"/>
          <w:sz w:val="32"/>
          <w:szCs w:val="32"/>
          <w:highlight w:val="none"/>
          <w:lang w:val="en-US" w:eastAsia="zh-CN"/>
        </w:rPr>
      </w:pPr>
      <w:r>
        <w:rPr>
          <w:rFonts w:hint="eastAsia" w:ascii="Calibri" w:hAnsi="Calibri" w:eastAsia="仿宋_GB2312" w:cs="Times New Roman"/>
          <w:sz w:val="32"/>
          <w:szCs w:val="32"/>
          <w:highlight w:val="none"/>
          <w:lang w:val="en-US" w:eastAsia="zh-CN"/>
        </w:rPr>
        <w:t>（2）公开公正。</w:t>
      </w:r>
    </w:p>
    <w:p w14:paraId="11E2C4E1">
      <w:pPr>
        <w:widowControl/>
        <w:spacing w:after="0" w:line="560" w:lineRule="exact"/>
        <w:ind w:firstLine="640" w:firstLineChars="200"/>
        <w:rPr>
          <w:rFonts w:hint="eastAsia" w:ascii="黑体" w:hAnsi="黑体" w:eastAsia="黑体"/>
          <w:sz w:val="32"/>
          <w:szCs w:val="32"/>
        </w:rPr>
      </w:pPr>
      <w:r>
        <w:rPr>
          <w:rFonts w:hint="eastAsia" w:ascii="Calibri" w:hAnsi="Calibri" w:eastAsia="仿宋_GB2312" w:cs="Times New Roman"/>
          <w:sz w:val="32"/>
          <w:szCs w:val="32"/>
          <w:highlight w:val="none"/>
          <w:lang w:val="en-US" w:eastAsia="zh-CN"/>
        </w:rPr>
        <w:t>（3）绩效相关</w:t>
      </w:r>
      <w:r>
        <w:rPr>
          <w:rFonts w:hint="eastAsia" w:ascii="黑体" w:hAnsi="黑体" w:eastAsia="黑体"/>
          <w:sz w:val="32"/>
          <w:szCs w:val="32"/>
        </w:rPr>
        <w:t>。</w:t>
      </w:r>
    </w:p>
    <w:p w14:paraId="03F0CA4F">
      <w:pPr>
        <w:topLinePunct/>
        <w:spacing w:line="560" w:lineRule="exact"/>
        <w:ind w:firstLine="803" w:firstLineChars="250"/>
        <w:rPr>
          <w:rFonts w:ascii="Times New Roman" w:hAnsi="Times New Roman" w:eastAsia="仿宋_GB2312" w:cs="Times New Roman"/>
          <w:b/>
          <w:sz w:val="32"/>
          <w:szCs w:val="32"/>
        </w:rPr>
      </w:pPr>
      <w:r>
        <w:rPr>
          <w:rFonts w:ascii="Times New Roman" w:hAnsi="Times New Roman" w:eastAsia="仿宋_GB2312" w:cs="Times New Roman"/>
          <w:b/>
          <w:sz w:val="32"/>
          <w:szCs w:val="32"/>
        </w:rPr>
        <w:t>2.绩效评价方法。</w:t>
      </w:r>
    </w:p>
    <w:p w14:paraId="5840B504">
      <w:pPr>
        <w:widowControl/>
        <w:spacing w:after="0" w:line="560" w:lineRule="exact"/>
        <w:ind w:firstLine="640" w:firstLineChars="200"/>
        <w:rPr>
          <w:rFonts w:hint="eastAsia" w:ascii="Calibri" w:hAnsi="Calibri" w:eastAsia="仿宋_GB2312" w:cs="Times New Roman"/>
          <w:sz w:val="32"/>
          <w:szCs w:val="32"/>
          <w:highlight w:val="none"/>
          <w:lang w:val="en-US" w:eastAsia="zh-CN"/>
        </w:rPr>
      </w:pPr>
      <w:r>
        <w:rPr>
          <w:rFonts w:hint="eastAsia" w:ascii="Calibri" w:hAnsi="Calibri" w:eastAsia="仿宋_GB2312" w:cs="Times New Roman"/>
          <w:sz w:val="32"/>
          <w:szCs w:val="32"/>
          <w:highlight w:val="none"/>
          <w:lang w:val="en-US" w:eastAsia="zh-CN"/>
        </w:rPr>
        <w:t>（包括指标评价、数据采集和社会调查中所采用的方法。）</w:t>
      </w:r>
    </w:p>
    <w:p w14:paraId="5192CA86">
      <w:pPr>
        <w:spacing w:line="600" w:lineRule="exact"/>
        <w:ind w:left="263" w:leftChars="125" w:firstLine="640" w:firstLineChars="200"/>
        <w:rPr>
          <w:rFonts w:ascii="楷体_GB2312" w:hAnsi="楷体_GB2312" w:eastAsia="楷体_GB2312" w:cs="楷体_GB2312"/>
          <w:sz w:val="32"/>
          <w:szCs w:val="32"/>
        </w:rPr>
      </w:pPr>
    </w:p>
    <w:p w14:paraId="142D008D">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三、综合评价情况及评价结论（附相关评分表）</w:t>
      </w:r>
    </w:p>
    <w:p w14:paraId="0B1B85E0">
      <w:pPr>
        <w:widowControl/>
        <w:spacing w:after="0" w:line="560" w:lineRule="exact"/>
        <w:ind w:firstLine="640" w:firstLineChars="200"/>
        <w:rPr>
          <w:rFonts w:hint="eastAsia" w:ascii="楷体_GB2312" w:hAnsi="楷体_GB2312" w:eastAsia="楷体_GB2312" w:cs="楷体_GB2312"/>
          <w:sz w:val="32"/>
          <w:szCs w:val="32"/>
        </w:rPr>
      </w:pPr>
      <w:r>
        <w:rPr>
          <w:rFonts w:hint="eastAsia" w:ascii="仿宋" w:hAnsi="仿宋" w:eastAsia="仿宋"/>
          <w:sz w:val="32"/>
          <w:szCs w:val="32"/>
        </w:rPr>
        <w:t>（</w:t>
      </w:r>
      <w:r>
        <w:rPr>
          <w:rFonts w:hint="eastAsia" w:ascii="楷体_GB2312" w:hAnsi="楷体_GB2312" w:eastAsia="楷体_GB2312" w:cs="楷体_GB2312"/>
          <w:sz w:val="32"/>
          <w:szCs w:val="32"/>
        </w:rPr>
        <w:t>一）绩效评价综合结论。</w:t>
      </w:r>
    </w:p>
    <w:p w14:paraId="07DC769D">
      <w:pPr>
        <w:widowControl/>
        <w:spacing w:after="0" w:line="560" w:lineRule="exact"/>
        <w:ind w:firstLine="640" w:firstLineChars="200"/>
        <w:rPr>
          <w:rFonts w:ascii="楷体_GB2312" w:hAnsi="楷体_GB2312" w:eastAsia="楷体_GB2312" w:cs="楷体_GB2312"/>
          <w:sz w:val="32"/>
          <w:szCs w:val="32"/>
        </w:rPr>
      </w:pPr>
      <w:r>
        <w:rPr>
          <w:rFonts w:hint="eastAsia" w:ascii="Calibri" w:hAnsi="Calibri" w:eastAsia="仿宋_GB2312" w:cs="Times New Roman"/>
          <w:sz w:val="32"/>
          <w:szCs w:val="32"/>
          <w:highlight w:val="none"/>
          <w:lang w:val="en-US" w:eastAsia="zh-CN"/>
        </w:rPr>
        <w:t>已及时、足额发放机关事业单位离退休人员县级承担津贴经费。</w:t>
      </w:r>
    </w:p>
    <w:p w14:paraId="16D0020F">
      <w:pPr>
        <w:widowControl/>
        <w:numPr>
          <w:ilvl w:val="0"/>
          <w:numId w:val="3"/>
        </w:numPr>
        <w:spacing w:after="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绩效目标实现情况等。</w:t>
      </w:r>
    </w:p>
    <w:p w14:paraId="75933E12">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ascii="楷体_GB2312" w:hAnsi="楷体_GB2312" w:eastAsia="楷体_GB2312" w:cs="楷体_GB2312"/>
          <w:sz w:val="32"/>
          <w:szCs w:val="32"/>
        </w:rPr>
      </w:pPr>
      <w:r>
        <w:rPr>
          <w:rFonts w:hint="eastAsia" w:ascii="Calibri" w:hAnsi="Calibri" w:eastAsia="仿宋_GB2312" w:cs="Times New Roman"/>
          <w:sz w:val="32"/>
          <w:szCs w:val="32"/>
          <w:highlight w:val="none"/>
          <w:lang w:val="en-US" w:eastAsia="zh-CN"/>
        </w:rPr>
        <w:t>已及时、足额发放机关事业单位离退休人员县级承担津贴经费。</w:t>
      </w:r>
    </w:p>
    <w:p w14:paraId="2803141B">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14:paraId="0C65866C">
      <w:pPr>
        <w:numPr>
          <w:ilvl w:val="0"/>
          <w:numId w:val="0"/>
        </w:numPr>
        <w:spacing w:line="520" w:lineRule="exact"/>
        <w:ind w:firstLine="960" w:firstLineChars="3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（一）项目决策情况分析。</w:t>
      </w:r>
    </w:p>
    <w:p w14:paraId="199BB6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ascii="楷体_GB2312" w:hAnsi="楷体_GB2312" w:eastAsia="楷体_GB2312" w:cs="楷体_GB2312"/>
          <w:sz w:val="32"/>
          <w:szCs w:val="32"/>
        </w:rPr>
      </w:pPr>
      <w:r>
        <w:rPr>
          <w:rFonts w:hint="eastAsia" w:ascii="仿宋_GB2312" w:hAnsi="仿宋" w:eastAsia="仿宋_GB2312"/>
          <w:sz w:val="32"/>
          <w:szCs w:val="32"/>
          <w:lang w:val="en-US" w:eastAsia="zh-CN"/>
        </w:rPr>
        <w:t>按时足额发放机关事业单位离退休人员生活保障。</w:t>
      </w:r>
    </w:p>
    <w:p w14:paraId="53365012">
      <w:pPr>
        <w:spacing w:line="52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（二）项目过程情况分析</w:t>
      </w:r>
      <w:r>
        <w:rPr>
          <w:rFonts w:hint="eastAsia" w:ascii="楷体_GB2312" w:hAnsi="楷体_GB2312" w:eastAsia="楷体_GB2312" w:cs="楷体_GB2312"/>
          <w:sz w:val="32"/>
          <w:szCs w:val="32"/>
          <w:lang w:eastAsia="zh-CN"/>
        </w:rPr>
        <w:t>。</w:t>
      </w:r>
    </w:p>
    <w:p w14:paraId="504966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val="en-US" w:eastAsia="zh-CN"/>
        </w:rPr>
        <w:t>业务科室每月提供当月需发放人数金额，办公室进行核对。</w:t>
      </w:r>
    </w:p>
    <w:p w14:paraId="4D632907">
      <w:pPr>
        <w:numPr>
          <w:ilvl w:val="0"/>
          <w:numId w:val="3"/>
        </w:numPr>
        <w:spacing w:line="52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项目产出情况分析。</w:t>
      </w:r>
    </w:p>
    <w:p w14:paraId="26C68299">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rPr>
          <w:rFonts w:ascii="楷体_GB2312" w:hAnsi="楷体_GB2312" w:eastAsia="楷体_GB2312" w:cs="楷体_GB2312"/>
          <w:sz w:val="32"/>
          <w:szCs w:val="32"/>
        </w:rPr>
      </w:pPr>
      <w:r>
        <w:rPr>
          <w:rFonts w:hint="eastAsia" w:ascii="Times New Roman" w:hAnsi="Times New Roman" w:eastAsia="楷体_GB2312" w:cs="Times New Roman"/>
          <w:sz w:val="32"/>
          <w:szCs w:val="32"/>
          <w:lang w:val="en-US" w:eastAsia="zh-CN"/>
        </w:rPr>
        <w:t>开展询价工作以及项目进程中由工作小组组织跟进项目进度，确保项目稳步高效推进。</w:t>
      </w:r>
    </w:p>
    <w:p w14:paraId="65EC127D">
      <w:pPr>
        <w:numPr>
          <w:ilvl w:val="0"/>
          <w:numId w:val="0"/>
        </w:numPr>
        <w:spacing w:line="520" w:lineRule="exact"/>
        <w:ind w:firstLine="960" w:firstLineChars="3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（四）项目效益情况分析</w:t>
      </w:r>
      <w:r>
        <w:rPr>
          <w:rFonts w:hint="eastAsia" w:ascii="楷体_GB2312" w:hAnsi="楷体_GB2312" w:eastAsia="楷体_GB2312" w:cs="楷体_GB2312"/>
          <w:sz w:val="32"/>
          <w:szCs w:val="32"/>
          <w:lang w:eastAsia="zh-CN"/>
        </w:rPr>
        <w:t>。</w:t>
      </w:r>
    </w:p>
    <w:p w14:paraId="1DA85BB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bCs/>
          <w:sz w:val="32"/>
          <w:szCs w:val="32"/>
          <w:lang w:eastAsia="zh-CN"/>
        </w:rPr>
      </w:pPr>
      <w:r>
        <w:rPr>
          <w:rFonts w:hint="eastAsia" w:ascii="仿宋_GB2312" w:hAnsi="仿宋" w:eastAsia="仿宋_GB2312"/>
          <w:sz w:val="32"/>
          <w:szCs w:val="32"/>
          <w:lang w:val="en-US" w:eastAsia="zh-CN"/>
        </w:rPr>
        <w:t>按时足额发放机关事业单位离退休人员生活保障。</w:t>
      </w:r>
    </w:p>
    <w:p w14:paraId="21F37767">
      <w:pPr>
        <w:numPr>
          <w:ilvl w:val="0"/>
          <w:numId w:val="4"/>
        </w:numPr>
        <w:spacing w:line="600" w:lineRule="exact"/>
        <w:ind w:left="263" w:leftChars="125" w:firstLine="640" w:firstLineChars="200"/>
        <w:rPr>
          <w:rFonts w:hint="eastAsia" w:ascii="黑体" w:hAnsi="黑体" w:eastAsia="黑体" w:cs="黑体"/>
          <w:sz w:val="32"/>
          <w:szCs w:val="32"/>
        </w:rPr>
      </w:pPr>
      <w:r>
        <w:rPr>
          <w:rFonts w:hint="eastAsia" w:ascii="黑体" w:hAnsi="黑体" w:eastAsia="黑体" w:cs="黑体"/>
          <w:sz w:val="32"/>
          <w:szCs w:val="32"/>
        </w:rPr>
        <w:t>主要经验及做法</w:t>
      </w:r>
    </w:p>
    <w:p w14:paraId="089EF676">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Calibri" w:hAnsi="Calibri" w:eastAsia="仿宋_GB2312" w:cs="Times New Roman"/>
          <w:sz w:val="32"/>
          <w:szCs w:val="32"/>
          <w:highlight w:val="none"/>
          <w:lang w:val="en-US" w:eastAsia="zh-CN"/>
        </w:rPr>
        <w:t>机关事业单位离退休人员县级承担津贴经费为财政补贴项目，不属于基金支付项目，做好机关县级承担经费预算可确保退休人员待遇的按时准确足额发放</w:t>
      </w:r>
      <w:r>
        <w:rPr>
          <w:rFonts w:hint="eastAsia" w:ascii="黑体" w:hAnsi="黑体" w:eastAsia="黑体"/>
          <w:sz w:val="32"/>
          <w:szCs w:val="32"/>
        </w:rPr>
        <w:t>。</w:t>
      </w:r>
    </w:p>
    <w:p w14:paraId="0791FC7F">
      <w:pPr>
        <w:numPr>
          <w:ilvl w:val="0"/>
          <w:numId w:val="4"/>
        </w:numPr>
        <w:spacing w:line="600" w:lineRule="exact"/>
        <w:ind w:left="263" w:leftChars="125" w:firstLine="640" w:firstLineChars="200"/>
        <w:rPr>
          <w:rFonts w:hint="eastAsia" w:ascii="黑体" w:hAnsi="黑体" w:eastAsia="黑体" w:cs="黑体"/>
          <w:sz w:val="32"/>
          <w:szCs w:val="32"/>
        </w:rPr>
      </w:pPr>
      <w:r>
        <w:rPr>
          <w:rFonts w:hint="eastAsia" w:ascii="黑体" w:hAnsi="黑体" w:eastAsia="黑体" w:cs="黑体"/>
          <w:sz w:val="32"/>
          <w:szCs w:val="32"/>
        </w:rPr>
        <w:t>存在的问题及原因分析</w:t>
      </w:r>
    </w:p>
    <w:p w14:paraId="29AE0E76">
      <w:pPr>
        <w:ind w:firstLine="800" w:firstLineChars="250"/>
        <w:rPr>
          <w:rFonts w:hint="eastAsia" w:ascii="Calibri" w:hAnsi="Calibri" w:eastAsia="仿宋_GB2312" w:cs="Times New Roman"/>
          <w:sz w:val="32"/>
          <w:szCs w:val="32"/>
          <w:highlight w:val="none"/>
          <w:lang w:val="en-US" w:eastAsia="zh-CN"/>
        </w:rPr>
      </w:pPr>
      <w:r>
        <w:rPr>
          <w:rFonts w:hint="eastAsia" w:ascii="Calibri" w:hAnsi="Calibri" w:eastAsia="仿宋_GB2312" w:cs="Times New Roman"/>
          <w:sz w:val="32"/>
          <w:szCs w:val="32"/>
          <w:highlight w:val="none"/>
          <w:lang w:val="en-US" w:eastAsia="zh-CN"/>
        </w:rPr>
        <w:t>1．完善业务系统，可以更加准确的估计机关退休人员退休金县级承担发放金额。</w:t>
      </w:r>
    </w:p>
    <w:p w14:paraId="1CD7A372">
      <w:pPr>
        <w:ind w:firstLine="800" w:firstLineChars="250"/>
      </w:pPr>
      <w:r>
        <w:rPr>
          <w:rFonts w:hint="eastAsia" w:ascii="Calibri" w:hAnsi="Calibri" w:eastAsia="仿宋_GB2312" w:cs="Times New Roman"/>
          <w:sz w:val="32"/>
          <w:szCs w:val="32"/>
          <w:highlight w:val="none"/>
          <w:lang w:val="en-US" w:eastAsia="zh-CN"/>
        </w:rPr>
        <w:t>2．结合历年机关退休人员县级承担退休金发放数据，分析中长期增长趋势，综合各方面数据确定下年所需金额。</w:t>
      </w:r>
      <w:bookmarkStart w:id="0" w:name="_GoBack"/>
      <w:bookmarkEnd w:id="0"/>
    </w:p>
    <w:p w14:paraId="7EA8F611">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七、有关建议</w:t>
      </w:r>
    </w:p>
    <w:p w14:paraId="5A59D496">
      <w:pPr>
        <w:spacing w:line="600" w:lineRule="exact"/>
        <w:ind w:left="263" w:leftChars="125" w:firstLine="640" w:firstLineChars="200"/>
        <w:rPr>
          <w:rFonts w:ascii="仿宋" w:hAnsi="仿宋" w:eastAsia="仿宋"/>
          <w:sz w:val="32"/>
          <w:szCs w:val="32"/>
        </w:rPr>
      </w:pPr>
      <w:r>
        <w:rPr>
          <w:rFonts w:hint="eastAsia" w:ascii="黑体" w:hAnsi="黑体" w:eastAsia="黑体" w:cs="黑体"/>
          <w:sz w:val="32"/>
          <w:szCs w:val="32"/>
        </w:rPr>
        <w:t>八、其它需要说明的问题</w:t>
      </w:r>
    </w:p>
    <w:p w14:paraId="7146637B">
      <w:pPr>
        <w:widowControl/>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包括可能对项目绩效产生影响的因素、往年绩效评价发现的问题整改情况等。</w:t>
      </w:r>
    </w:p>
    <w:p w14:paraId="7C7BA53B">
      <w:pPr>
        <w:widowControl/>
        <w:jc w:val="left"/>
        <w:rPr>
          <w:rFonts w:ascii="仿宋_GB2312" w:eastAsia="仿宋_GB2312"/>
          <w:sz w:val="32"/>
          <w:szCs w:val="32"/>
        </w:rPr>
      </w:pPr>
    </w:p>
    <w:p w14:paraId="1DE43737">
      <w:pPr>
        <w:widowControl/>
        <w:jc w:val="left"/>
        <w:rPr>
          <w:rFonts w:ascii="仿宋_GB2312" w:eastAsia="仿宋_GB2312"/>
          <w:sz w:val="32"/>
          <w:szCs w:val="32"/>
        </w:rPr>
      </w:pPr>
    </w:p>
    <w:p w14:paraId="0365B7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8EE22"/>
    <w:multiLevelType w:val="singleLevel"/>
    <w:tmpl w:val="88F8EE22"/>
    <w:lvl w:ilvl="0" w:tentative="0">
      <w:start w:val="3"/>
      <w:numFmt w:val="decimal"/>
      <w:lvlText w:val="%1."/>
      <w:lvlJc w:val="left"/>
      <w:pPr>
        <w:tabs>
          <w:tab w:val="left" w:pos="312"/>
        </w:tabs>
      </w:pPr>
    </w:lvl>
  </w:abstractNum>
  <w:abstractNum w:abstractNumId="1">
    <w:nsid w:val="D1185B1E"/>
    <w:multiLevelType w:val="singleLevel"/>
    <w:tmpl w:val="D1185B1E"/>
    <w:lvl w:ilvl="0" w:tentative="0">
      <w:start w:val="2"/>
      <w:numFmt w:val="chineseCounting"/>
      <w:suff w:val="nothing"/>
      <w:lvlText w:val="（%1）"/>
      <w:lvlJc w:val="left"/>
      <w:rPr>
        <w:rFonts w:hint="eastAsia"/>
      </w:rPr>
    </w:lvl>
  </w:abstractNum>
  <w:abstractNum w:abstractNumId="2">
    <w:nsid w:val="0C052058"/>
    <w:multiLevelType w:val="singleLevel"/>
    <w:tmpl w:val="0C052058"/>
    <w:lvl w:ilvl="0" w:tentative="0">
      <w:start w:val="5"/>
      <w:numFmt w:val="chineseCounting"/>
      <w:suff w:val="nothing"/>
      <w:lvlText w:val="%1、"/>
      <w:lvlJc w:val="left"/>
      <w:rPr>
        <w:rFonts w:hint="eastAsia"/>
      </w:rPr>
    </w:lvl>
  </w:abstractNum>
  <w:abstractNum w:abstractNumId="3">
    <w:nsid w:val="633EA2F7"/>
    <w:multiLevelType w:val="singleLevel"/>
    <w:tmpl w:val="633EA2F7"/>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2927D71"/>
    <w:rsid w:val="000E6661"/>
    <w:rsid w:val="002020E6"/>
    <w:rsid w:val="002A3E90"/>
    <w:rsid w:val="00374AB7"/>
    <w:rsid w:val="003B6467"/>
    <w:rsid w:val="00404802"/>
    <w:rsid w:val="00451CED"/>
    <w:rsid w:val="004A76FA"/>
    <w:rsid w:val="0058320E"/>
    <w:rsid w:val="005B2D1B"/>
    <w:rsid w:val="007E77B9"/>
    <w:rsid w:val="0087492D"/>
    <w:rsid w:val="008F7E56"/>
    <w:rsid w:val="00A34092"/>
    <w:rsid w:val="00C040C7"/>
    <w:rsid w:val="00C44CFA"/>
    <w:rsid w:val="00DE6A66"/>
    <w:rsid w:val="00F5756A"/>
    <w:rsid w:val="00FE0C9E"/>
    <w:rsid w:val="12927D71"/>
    <w:rsid w:val="22970A44"/>
    <w:rsid w:val="6C7E029D"/>
    <w:rsid w:val="6F9517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昆明市嵩明县党政机关单位</Company>
  <Pages>4</Pages>
  <Words>996</Words>
  <Characters>1011</Characters>
  <Lines>2</Lines>
  <Paragraphs>1</Paragraphs>
  <TotalTime>66</TotalTime>
  <ScaleCrop>false</ScaleCrop>
  <LinksUpToDate>false</LinksUpToDate>
  <CharactersWithSpaces>1011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2021-01-08T05:40:00Z</dcterms:created>
  <dc:creator>lenovo</dc:creator>
  <cp:lastModifiedBy>Administrator</cp:lastModifiedBy>
  <dcterms:modified xsi:type="dcterms:W3CDTF">2025-04-21T03:01:11Z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eyJoZGlkIjoiOTQyMTk5MDI2NDg4M2ZhYjA2YmM3M2FmYTZkOTRkMGEifQ==</vt:lpwstr>
  </property>
  <property fmtid="{D5CDD505-2E9C-101B-9397-08002B2CF9AE}" pid="4" name="ICV">
    <vt:lpwstr>21055BA44A4F44609904EE7F0E0EB890_12</vt:lpwstr>
  </property>
</Properties>
</file>