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ng+QfbAAAADAEAAA8AAAAAAAAAAQAgAAAAOAAAAGRycy9kb3du&#10;cmV2LnhtbFBLAQIUABQAAAAIAIdO4kAd0PLXrQEAADgDAAAOAAAAAAAAAAEAIAAAAEABAABkcnMv&#10;ZTJvRG9jLnhtbFBLBQYAAAAABgAGAFkBAABfBQAAAAA=&#10;">
                <v:fill on="t" focussize="0,0"/>
                <v:stroke on="f"/>
                <v:imagedata o:title=""/>
                <o:lock v:ext="edit" aspectratio="f"/>
                <v:textbox>
                  <w:txbxContent>
                    <w:p/>
                  </w:txbxContent>
                </v:textbox>
              </v:shape>
            </w:pict>
          </mc:Fallback>
        </mc:AlternateContent>
      </w:r>
    </w:p>
    <w:p>
      <w:pPr>
        <w:jc w:val="center"/>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w:t>
      </w:r>
      <w:r>
        <w:rPr>
          <w:rFonts w:hint="eastAsia" w:eastAsia="黑体" w:cs="Times New Roman"/>
          <w:sz w:val="36"/>
          <w:szCs w:val="36"/>
          <w:lang w:val="en-US" w:eastAsia="zh-CN"/>
        </w:rPr>
        <w:t>5</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 xml:space="preserve">1 </w:t>
      </w:r>
      <w:r>
        <w:rPr>
          <w:rFonts w:hint="default" w:ascii="Times New Roman" w:hAnsi="Times New Roman" w:eastAsia="黑体" w:cs="Times New Roman"/>
          <w:sz w:val="36"/>
          <w:szCs w:val="36"/>
        </w:rPr>
        <w:t>号（总第</w:t>
      </w:r>
      <w:r>
        <w:rPr>
          <w:rFonts w:hint="eastAsia" w:eastAsia="黑体" w:cs="Times New Roman"/>
          <w:sz w:val="36"/>
          <w:szCs w:val="36"/>
          <w:lang w:val="en-US" w:eastAsia="zh-CN"/>
        </w:rPr>
        <w:t>214</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2098" w:right="1474" w:bottom="1984" w:left="1587"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5</w:t>
      </w:r>
      <w:r>
        <w:rPr>
          <w:rFonts w:hint="default" w:ascii="Times New Roman" w:hAnsi="Times New Roman" w:eastAsia="黑体" w:cs="Times New Roman"/>
          <w:sz w:val="32"/>
          <w:szCs w:val="32"/>
        </w:rPr>
        <w:t>第</w:t>
      </w:r>
      <w:r>
        <w:rPr>
          <w:rFonts w:hint="eastAsia" w:eastAsia="黑体" w:cs="Times New Roman"/>
          <w:sz w:val="32"/>
          <w:szCs w:val="32"/>
          <w:lang w:val="en-US" w:eastAsia="zh-CN"/>
        </w:rPr>
        <w:t>1</w:t>
      </w:r>
      <w:r>
        <w:rPr>
          <w:rFonts w:hint="default" w:ascii="Times New Roman" w:hAnsi="Times New Roman" w:eastAsia="黑体" w:cs="Times New Roman"/>
          <w:sz w:val="32"/>
          <w:szCs w:val="32"/>
        </w:rPr>
        <w:t>号）（总第</w:t>
      </w:r>
      <w:r>
        <w:rPr>
          <w:rFonts w:hint="eastAsia" w:eastAsia="黑体" w:cs="Times New Roman"/>
          <w:sz w:val="32"/>
          <w:szCs w:val="32"/>
          <w:lang w:val="en-US" w:eastAsia="zh-CN"/>
        </w:rPr>
        <w:t>214</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sz w:val="30"/>
          <w:szCs w:val="30"/>
        </w:rPr>
        <w:t xml:space="preserve">      </w:t>
      </w:r>
      <w:r>
        <w:rPr>
          <w:rFonts w:hint="default" w:ascii="Times New Roman" w:hAnsi="Times New Roman" w:eastAsia="黑体" w:cs="Times New Roman"/>
          <w:color w:val="auto"/>
          <w:sz w:val="30"/>
          <w:szCs w:val="30"/>
        </w:rPr>
        <w:t xml:space="preserve">  （二〇二</w:t>
      </w:r>
      <w:r>
        <w:rPr>
          <w:rFonts w:hint="eastAsia" w:eastAsia="黑体" w:cs="Times New Roman"/>
          <w:color w:val="auto"/>
          <w:sz w:val="30"/>
          <w:szCs w:val="30"/>
          <w:lang w:eastAsia="zh-CN"/>
        </w:rPr>
        <w:t>五</w:t>
      </w:r>
      <w:r>
        <w:rPr>
          <w:rFonts w:hint="default" w:ascii="Times New Roman" w:hAnsi="Times New Roman" w:eastAsia="黑体" w:cs="Times New Roman"/>
          <w:color w:val="auto"/>
          <w:sz w:val="30"/>
          <w:szCs w:val="30"/>
        </w:rPr>
        <w:t>年</w:t>
      </w:r>
      <w:bookmarkStart w:id="0" w:name="_GoBack"/>
      <w:r>
        <w:rPr>
          <w:rFonts w:hint="eastAsia" w:eastAsia="黑体" w:cs="Times New Roman"/>
          <w:color w:val="auto"/>
          <w:sz w:val="30"/>
          <w:szCs w:val="30"/>
          <w:lang w:eastAsia="zh-CN"/>
        </w:rPr>
        <w:t>二</w:t>
      </w:r>
      <w:bookmarkEnd w:id="0"/>
      <w:r>
        <w:rPr>
          <w:rFonts w:hint="default" w:ascii="Times New Roman" w:hAnsi="Times New Roman" w:eastAsia="黑体" w:cs="Times New Roman"/>
          <w:color w:val="auto"/>
          <w:sz w:val="30"/>
          <w:szCs w:val="30"/>
        </w:rPr>
        <w:t>月</w:t>
      </w:r>
      <w:r>
        <w:rPr>
          <w:rFonts w:hint="default" w:ascii="Times New Roman" w:hAnsi="Times New Roman" w:eastAsia="黑体" w:cs="Times New Roman"/>
          <w:color w:val="auto"/>
          <w:sz w:val="30"/>
          <w:szCs w:val="30"/>
          <w:lang w:eastAsia="zh-CN"/>
        </w:rPr>
        <w:t>十一</w:t>
      </w:r>
      <w:r>
        <w:rPr>
          <w:rFonts w:hint="default" w:ascii="Times New Roman" w:hAnsi="Times New Roman" w:eastAsia="黑体" w:cs="Times New Roman"/>
          <w:color w:val="auto"/>
          <w:sz w:val="30"/>
          <w:szCs w:val="30"/>
        </w:rPr>
        <w:t>日公告）</w:t>
      </w:r>
    </w:p>
    <w:p>
      <w:pPr>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2"/>
        <w:rPr>
          <w:rFonts w:hint="default" w:ascii="Times New Roman" w:hAnsi="Times New Roman" w:eastAsia="方正小标宋简体" w:cs="Times New Roman"/>
          <w:color w:val="000000"/>
          <w:kern w:val="0"/>
          <w:sz w:val="32"/>
          <w:szCs w:val="32"/>
          <w:lang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3"/>
        <w:jc w:val="left"/>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富民县2022年高标准农田建设项目建设管理情况审计</w:t>
      </w:r>
    </w:p>
    <w:p>
      <w:pPr>
        <w:pStyle w:val="13"/>
        <w:jc w:val="left"/>
        <w:rPr>
          <w:rFonts w:hint="default" w:ascii="Times New Roman" w:hAnsi="Times New Roman" w:eastAsia="方正小标宋简体" w:cs="Times New Roman"/>
          <w:color w:val="000000"/>
          <w:kern w:val="0"/>
          <w:sz w:val="32"/>
          <w:szCs w:val="32"/>
          <w:lang w:val="en-US" w:eastAsia="zh-CN" w:bidi="ar-SA"/>
        </w:rPr>
      </w:pPr>
      <w:r>
        <w:rPr>
          <w:rFonts w:hint="default" w:ascii="Times New Roman" w:hAnsi="Times New Roman" w:eastAsia="方正小标宋简体" w:cs="Times New Roman"/>
          <w:color w:val="000000"/>
          <w:kern w:val="0"/>
          <w:sz w:val="32"/>
          <w:szCs w:val="32"/>
          <w:lang w:eastAsia="zh-CN"/>
        </w:rPr>
        <w:t>结果公告</w:t>
      </w:r>
    </w:p>
    <w:p>
      <w:pPr>
        <w:pStyle w:val="15"/>
        <w:rPr>
          <w:rFonts w:hint="default" w:ascii="Times New Roman" w:hAnsi="Times New Roman" w:eastAsia="方正小标宋简体" w:cs="Times New Roman"/>
          <w:sz w:val="32"/>
          <w:szCs w:val="32"/>
        </w:rPr>
      </w:pPr>
    </w:p>
    <w:p>
      <w:pPr>
        <w:rPr>
          <w:rFonts w:hint="default" w:ascii="Times New Roman" w:hAnsi="Times New Roman" w:eastAsia="方正小标宋简体" w:cs="Times New Roman"/>
          <w:sz w:val="32"/>
          <w:szCs w:val="32"/>
        </w:rPr>
      </w:pPr>
    </w:p>
    <w:p>
      <w:pPr>
        <w:pStyle w:val="15"/>
        <w:rPr>
          <w:rFonts w:hint="default" w:ascii="Times New Roman" w:hAnsi="Times New Roman" w:cs="Times New Roman"/>
        </w:rPr>
      </w:pPr>
    </w:p>
    <w:p>
      <w:pPr>
        <w:rPr>
          <w:rFonts w:hint="default" w:ascii="Times New Roman" w:hAnsi="Times New Roman" w:eastAsia="方正小标宋简体" w:cs="Times New Roman"/>
          <w:sz w:val="32"/>
          <w:szCs w:val="32"/>
        </w:rPr>
      </w:pPr>
    </w:p>
    <w:p>
      <w:pPr>
        <w:pStyle w:val="15"/>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15"/>
        <w:rPr>
          <w:rFonts w:hint="default" w:ascii="Times New Roman" w:hAnsi="Times New Roman" w:eastAsia="仿宋_GB2312" w:cs="Times New Roman"/>
          <w:color w:val="000000"/>
          <w:kern w:val="0"/>
          <w:sz w:val="32"/>
          <w:szCs w:val="32"/>
          <w:lang w:eastAsia="zh-CN"/>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r>
        <w:rPr>
          <w:rFonts w:hint="default" w:ascii="Times New Roman" w:hAnsi="Times New Roman" w:eastAsia="方正小标宋简体" w:cs="Times New Roman"/>
          <w:kern w:val="2"/>
          <w:sz w:val="32"/>
          <w:szCs w:val="24"/>
          <w:lang w:val="en-US" w:eastAsia="zh-CN" w:bidi="ar-SA"/>
        </w:rPr>
        <w:t>富民县2022年高标准农田建设项目建设管理情况审计</w:t>
      </w:r>
    </w:p>
    <w:p>
      <w:pPr>
        <w:jc w:val="center"/>
        <w:rPr>
          <w:rFonts w:hint="default" w:ascii="Times New Roman" w:hAnsi="Times New Roman" w:cs="Times New Roman"/>
        </w:rPr>
      </w:pPr>
      <w:r>
        <w:rPr>
          <w:rFonts w:hint="default" w:ascii="Times New Roman" w:hAnsi="Times New Roman" w:eastAsia="方正小标宋简体" w:cs="Times New Roman"/>
          <w:kern w:val="2"/>
          <w:sz w:val="32"/>
          <w:szCs w:val="24"/>
          <w:lang w:val="en-US" w:eastAsia="zh-CN" w:bidi="ar-SA"/>
        </w:rPr>
        <w:t>结果公告</w:t>
      </w:r>
    </w:p>
    <w:p>
      <w:pPr>
        <w:pStyle w:val="7"/>
        <w:rPr>
          <w:rFonts w:hint="default" w:ascii="Times New Roman" w:hAnsi="Times New Roman" w:cs="Times New Roman"/>
        </w:rPr>
      </w:pP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根据《中华人民共和国审计法》的规定，富民县审计局于202</w:t>
      </w:r>
      <w:r>
        <w:rPr>
          <w:rFonts w:hint="eastAsia" w:ascii="Times New Roman" w:hAnsi="Times New Roman" w:eastAsia="仿宋_GB2312" w:cs="Times New Roman"/>
          <w:color w:val="000000"/>
          <w:kern w:val="0"/>
          <w:sz w:val="32"/>
          <w:szCs w:val="22"/>
          <w:lang w:val="en-US" w:eastAsia="zh-CN" w:bidi="ar-SA"/>
        </w:rPr>
        <w:t>4</w:t>
      </w:r>
      <w:r>
        <w:rPr>
          <w:rFonts w:hint="default" w:ascii="Times New Roman" w:hAnsi="Times New Roman" w:eastAsia="仿宋_GB2312" w:cs="Times New Roman"/>
          <w:color w:val="000000"/>
          <w:kern w:val="0"/>
          <w:sz w:val="32"/>
          <w:szCs w:val="22"/>
          <w:lang w:val="en-US" w:eastAsia="zh-CN" w:bidi="ar-SA"/>
        </w:rPr>
        <w:t>年</w:t>
      </w:r>
      <w:r>
        <w:rPr>
          <w:rFonts w:hint="eastAsia" w:ascii="Times New Roman" w:hAnsi="Times New Roman" w:cs="Times New Roman"/>
          <w:kern w:val="0"/>
          <w:sz w:val="32"/>
          <w:szCs w:val="32"/>
          <w:lang w:val="en-US" w:eastAsia="zh-CN" w:bidi="ar-SA"/>
        </w:rPr>
        <w:t>8</w:t>
      </w:r>
      <w:r>
        <w:rPr>
          <w:rFonts w:ascii="Times New Roman" w:hAnsi="Times New Roman" w:eastAsia="仿宋_GB2312" w:cs="Times New Roman"/>
          <w:kern w:val="0"/>
          <w:sz w:val="32"/>
          <w:szCs w:val="32"/>
          <w:lang w:val="en-US" w:eastAsia="zh-CN" w:bidi="ar-SA"/>
        </w:rPr>
        <w:t>月</w:t>
      </w:r>
      <w:r>
        <w:rPr>
          <w:rFonts w:hint="default" w:ascii="Times New Roman" w:hAnsi="Times New Roman" w:eastAsia="仿宋_GB2312" w:cs="Times New Roman"/>
          <w:kern w:val="0"/>
          <w:sz w:val="32"/>
          <w:szCs w:val="32"/>
          <w:lang w:val="en-US" w:eastAsia="zh-CN" w:bidi="ar-SA"/>
        </w:rPr>
        <w:t>1</w:t>
      </w:r>
      <w:r>
        <w:rPr>
          <w:rFonts w:hint="eastAsia" w:ascii="Times New Roman" w:hAnsi="Times New Roman" w:cs="Times New Roman"/>
          <w:kern w:val="0"/>
          <w:sz w:val="32"/>
          <w:szCs w:val="32"/>
          <w:lang w:val="en-US" w:eastAsia="zh-CN" w:bidi="ar-SA"/>
        </w:rPr>
        <w:t>3</w:t>
      </w:r>
      <w:r>
        <w:rPr>
          <w:rFonts w:ascii="Times New Roman" w:hAnsi="Times New Roman" w:eastAsia="仿宋_GB2312" w:cs="Times New Roman"/>
          <w:kern w:val="0"/>
          <w:sz w:val="32"/>
          <w:szCs w:val="32"/>
          <w:lang w:val="en-US" w:eastAsia="zh-CN" w:bidi="ar-SA"/>
        </w:rPr>
        <w:t>日</w:t>
      </w:r>
      <w:r>
        <w:rPr>
          <w:rFonts w:hint="eastAsia" w:ascii="Times New Roman" w:hAnsi="Times New Roman" w:cs="Times New Roman"/>
          <w:kern w:val="0"/>
          <w:sz w:val="32"/>
          <w:szCs w:val="32"/>
          <w:lang w:val="en-US" w:eastAsia="zh-CN" w:bidi="ar-SA"/>
        </w:rPr>
        <w:t>—11</w:t>
      </w:r>
      <w:r>
        <w:rPr>
          <w:rFonts w:ascii="Times New Roman" w:hAnsi="Times New Roman" w:eastAsia="仿宋_GB2312" w:cs="Times New Roman"/>
          <w:kern w:val="0"/>
          <w:sz w:val="32"/>
          <w:szCs w:val="32"/>
          <w:lang w:val="en-US" w:eastAsia="zh-CN" w:bidi="ar-SA"/>
        </w:rPr>
        <w:t>月</w:t>
      </w:r>
      <w:r>
        <w:rPr>
          <w:rFonts w:hint="eastAsia" w:ascii="Times New Roman" w:hAnsi="Times New Roman" w:cs="Times New Roman"/>
          <w:kern w:val="0"/>
          <w:sz w:val="32"/>
          <w:szCs w:val="32"/>
          <w:lang w:val="en-US" w:eastAsia="zh-CN" w:bidi="ar-SA"/>
        </w:rPr>
        <w:t>12</w:t>
      </w:r>
      <w:r>
        <w:rPr>
          <w:rFonts w:ascii="Times New Roman" w:hAnsi="Times New Roman" w:eastAsia="仿宋_GB2312" w:cs="Times New Roman"/>
          <w:kern w:val="0"/>
          <w:sz w:val="32"/>
          <w:szCs w:val="32"/>
          <w:lang w:val="en-US" w:eastAsia="zh-CN" w:bidi="ar-SA"/>
        </w:rPr>
        <w:t>日</w:t>
      </w:r>
      <w:r>
        <w:rPr>
          <w:rFonts w:hint="default" w:ascii="Times New Roman" w:hAnsi="Times New Roman" w:eastAsia="仿宋_GB2312" w:cs="Times New Roman"/>
          <w:color w:val="000000"/>
          <w:kern w:val="0"/>
          <w:sz w:val="32"/>
          <w:szCs w:val="22"/>
          <w:lang w:val="en-US" w:eastAsia="zh-CN" w:bidi="ar-SA"/>
        </w:rPr>
        <w:t>，对富民县农业农村局（以下简称：县农业农村局）负责组织实施的富民县2022年高标准农田建设项目建设管理情况进行了审计。</w:t>
      </w:r>
    </w:p>
    <w:p>
      <w:pPr>
        <w:numPr>
          <w:ilvl w:val="0"/>
          <w:numId w:val="1"/>
        </w:numPr>
        <w:snapToGrid w:val="0"/>
        <w:spacing w:line="579" w:lineRule="exact"/>
        <w:ind w:firstLine="640" w:firstLineChars="20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基本情况及评价意见</w:t>
      </w:r>
    </w:p>
    <w:p>
      <w:pPr>
        <w:numPr>
          <w:ilvl w:val="0"/>
          <w:numId w:val="0"/>
        </w:numPr>
        <w:snapToGrid w:val="0"/>
        <w:spacing w:line="579" w:lineRule="exact"/>
        <w:ind w:firstLine="640" w:firstLineChars="200"/>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（一）项目基本情况</w:t>
      </w:r>
    </w:p>
    <w:p>
      <w:pPr>
        <w:keepNext w:val="0"/>
        <w:keepLines w:val="0"/>
        <w:pageBreakBefore w:val="0"/>
        <w:widowControl/>
        <w:kinsoku/>
        <w:wordWrap/>
        <w:overflowPunct/>
        <w:topLinePunct w:val="0"/>
        <w:bidi w:val="0"/>
        <w:spacing w:before="0" w:beforeLines="0" w:after="0" w:afterLines="0" w:line="560" w:lineRule="exact"/>
        <w:ind w:right="0" w:rightChars="0" w:firstLine="642" w:firstLineChars="200"/>
        <w:jc w:val="both"/>
        <w:outlineLvl w:val="2"/>
        <w:rPr>
          <w:rFonts w:ascii="Times New Roman" w:hAnsi="Times New Roman" w:eastAsia="仿宋_GB2312" w:cs="Times New Roman"/>
          <w:b/>
          <w:color w:val="000000"/>
          <w:kern w:val="2"/>
          <w:sz w:val="32"/>
          <w:szCs w:val="32"/>
          <w:lang w:val="en-US" w:eastAsia="zh-CN" w:bidi="ar-SA"/>
        </w:rPr>
      </w:pPr>
      <w:r>
        <w:rPr>
          <w:rFonts w:ascii="Times New Roman" w:hAnsi="Times New Roman" w:eastAsia="仿宋_GB2312" w:cs="Times New Roman"/>
          <w:b/>
          <w:color w:val="000000"/>
          <w:kern w:val="2"/>
          <w:sz w:val="32"/>
          <w:szCs w:val="32"/>
          <w:lang w:val="en-US" w:eastAsia="zh-CN" w:bidi="ar-SA"/>
        </w:rPr>
        <w:t>1.项目概况</w:t>
      </w:r>
    </w:p>
    <w:p>
      <w:pPr>
        <w:keepNext w:val="0"/>
        <w:keepLines w:val="0"/>
        <w:pageBreakBefore w:val="0"/>
        <w:widowControl/>
        <w:kinsoku/>
        <w:wordWrap/>
        <w:overflowPunct/>
        <w:topLinePunct w:val="0"/>
        <w:bidi w:val="0"/>
        <w:adjustRightInd w:val="0"/>
        <w:snapToGrid w:val="0"/>
        <w:spacing w:before="0" w:beforeLines="0" w:after="0" w:afterLines="0" w:line="560" w:lineRule="exact"/>
        <w:ind w:right="0" w:rightChars="0" w:firstLine="640" w:firstLineChars="200"/>
        <w:jc w:val="both"/>
        <w:textAlignment w:val="baseline"/>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富民县2022年高标准农田建设项目分两批实施，相关情况如下：</w:t>
      </w:r>
    </w:p>
    <w:p>
      <w:pPr>
        <w:keepNext w:val="0"/>
        <w:keepLines w:val="0"/>
        <w:pageBreakBefore w:val="0"/>
        <w:widowControl/>
        <w:kinsoku/>
        <w:wordWrap/>
        <w:overflowPunct/>
        <w:topLinePunct w:val="0"/>
        <w:bidi w:val="0"/>
        <w:adjustRightInd w:val="0"/>
        <w:snapToGrid w:val="0"/>
        <w:spacing w:before="0" w:beforeLines="0" w:after="0" w:afterLines="0" w:line="560" w:lineRule="exact"/>
        <w:ind w:right="0" w:rightChars="0" w:firstLine="640" w:firstLineChars="200"/>
        <w:jc w:val="both"/>
        <w:textAlignment w:val="baseline"/>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富民县2022年高标准农田建设（高效节水灌溉建设）项目：根据富民县发展和改革局《关于富民县2022年高标准农田建设（高效节水灌溉建设）项目可行性研究报告的批复》（富发改投资审批〔2022〕18号）的文件规定，项目位于富民县东村镇祖库、杜朗、中民、石桥村委会和赤鹫镇普黑泥村委会，建设任务8</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400亩，其中高标准农田建设项目分为东村镇祖库(高标准农田)片区、东村镇中民石桥片区、东村镇杜朗片区和赤鹫镇普黑泥片区4个片区，建设规模为6</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700亩；高效节水灌溉建设项目为东村镇祖库（高效节水）片区，建设规模为1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700亩。各片区主要建设内容为：①东村镇祖库（高效节水）片区：新建高效节水灌溉农田</w:t>
      </w: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,7</w:t>
      </w:r>
      <w:r>
        <w:rPr>
          <w:rFonts w:hint="eastAsia" w:ascii="Times New Roman" w:hAnsi="Times New Roman" w:eastAsia="仿宋_GB2312" w:cs="Times New Roman"/>
          <w:color w:val="auto"/>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亩，主要建设内容为新建6个100m</w:t>
      </w:r>
      <w:r>
        <w:rPr>
          <w:rFonts w:hint="eastAsia"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水池、2个200</w:t>
      </w:r>
      <w:r>
        <w:rPr>
          <w:rFonts w:hint="eastAsia" w:ascii="Times New Roman" w:hAnsi="Times New Roman" w:eastAsia="仿宋_GB2312" w:cs="Times New Roman"/>
          <w:kern w:val="2"/>
          <w:sz w:val="32"/>
          <w:szCs w:val="32"/>
          <w:lang w:val="en-US" w:eastAsia="zh-CN" w:bidi="ar-SA"/>
        </w:rPr>
        <w:t>m</w:t>
      </w:r>
      <w:r>
        <w:rPr>
          <w:rFonts w:hint="eastAsia"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水池；新建8条输水管，总长为3</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738.59米；新建4条机耕路，总长为1</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794.70米；土壤改良工程344亩。②东村镇祖库（高标准农田）片区：新建</w:t>
      </w:r>
      <w:r>
        <w:rPr>
          <w:rFonts w:hint="eastAsia" w:ascii="Times New Roman" w:hAnsi="Times New Roman" w:eastAsia="仿宋_GB2312" w:cs="Times New Roman"/>
          <w:kern w:val="2"/>
          <w:sz w:val="32"/>
          <w:szCs w:val="32"/>
          <w:lang w:val="en-US" w:eastAsia="zh-CN" w:bidi="ar-SA"/>
        </w:rPr>
        <w:t>高标准农田1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900亩，主要建设内容为</w:t>
      </w:r>
      <w:r>
        <w:rPr>
          <w:rFonts w:hint="default" w:ascii="Times New Roman" w:hAnsi="Times New Roman" w:eastAsia="仿宋_GB2312" w:cs="Times New Roman"/>
          <w:kern w:val="2"/>
          <w:sz w:val="32"/>
          <w:szCs w:val="32"/>
          <w:lang w:val="en-US" w:eastAsia="zh-CN" w:bidi="ar-SA"/>
        </w:rPr>
        <w:t>新建6条机耕路，总长为5</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170.90米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项目标志牌1座；土壤改良工程330亩。③东村镇杜朗</w:t>
      </w:r>
      <w:r>
        <w:rPr>
          <w:rFonts w:hint="eastAsia" w:ascii="Times New Roman" w:hAnsi="Times New Roman" w:eastAsia="仿宋_GB2312" w:cs="Times New Roman"/>
          <w:kern w:val="2"/>
          <w:sz w:val="32"/>
          <w:szCs w:val="32"/>
          <w:lang w:val="en-US" w:eastAsia="zh-CN" w:bidi="ar-SA"/>
        </w:rPr>
        <w:t>（高标准农田）</w:t>
      </w:r>
      <w:r>
        <w:rPr>
          <w:rFonts w:hint="default" w:ascii="Times New Roman" w:hAnsi="Times New Roman" w:eastAsia="仿宋_GB2312" w:cs="Times New Roman"/>
          <w:kern w:val="2"/>
          <w:sz w:val="32"/>
          <w:szCs w:val="32"/>
          <w:lang w:val="en-US" w:eastAsia="zh-CN" w:bidi="ar-SA"/>
        </w:rPr>
        <w:t>片区：新建</w:t>
      </w:r>
      <w:r>
        <w:rPr>
          <w:rFonts w:hint="eastAsia" w:ascii="Times New Roman" w:hAnsi="Times New Roman" w:eastAsia="仿宋_GB2312" w:cs="Times New Roman"/>
          <w:kern w:val="2"/>
          <w:sz w:val="32"/>
          <w:szCs w:val="32"/>
          <w:lang w:val="en-US" w:eastAsia="zh-CN" w:bidi="ar-SA"/>
        </w:rPr>
        <w:t>高标准农田1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400亩，主要建设内容为</w:t>
      </w:r>
      <w:r>
        <w:rPr>
          <w:rFonts w:hint="default" w:ascii="Times New Roman" w:hAnsi="Times New Roman" w:eastAsia="仿宋_GB2312" w:cs="Times New Roman"/>
          <w:kern w:val="2"/>
          <w:sz w:val="32"/>
          <w:szCs w:val="32"/>
          <w:lang w:val="en-US" w:eastAsia="zh-CN" w:bidi="ar-SA"/>
        </w:rPr>
        <w:t>新建2条总长为659.65米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排水沟，新建4条总长为2</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657.74米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机耕路</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项目1座</w:t>
      </w:r>
      <w:r>
        <w:rPr>
          <w:rFonts w:hint="eastAsia" w:ascii="Times New Roman" w:hAnsi="Times New Roman" w:eastAsia="仿宋_GB2312" w:cs="Times New Roman"/>
          <w:kern w:val="2"/>
          <w:sz w:val="32"/>
          <w:szCs w:val="32"/>
          <w:lang w:val="en-US" w:eastAsia="zh-CN" w:bidi="ar-SA"/>
        </w:rPr>
        <w:t>项目</w:t>
      </w:r>
      <w:r>
        <w:rPr>
          <w:rFonts w:hint="default" w:ascii="Times New Roman" w:hAnsi="Times New Roman" w:eastAsia="仿宋_GB2312" w:cs="Times New Roman"/>
          <w:kern w:val="2"/>
          <w:sz w:val="32"/>
          <w:szCs w:val="32"/>
          <w:lang w:val="en-US" w:eastAsia="zh-CN" w:bidi="ar-SA"/>
        </w:rPr>
        <w:t>标志牌；改建6条总长为1</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204.1米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灌溉渠；土壤改良工程240亩。④东村镇中民石桥</w:t>
      </w:r>
      <w:r>
        <w:rPr>
          <w:rFonts w:hint="eastAsia" w:ascii="Times New Roman" w:hAnsi="Times New Roman" w:eastAsia="仿宋_GB2312" w:cs="Times New Roman"/>
          <w:kern w:val="2"/>
          <w:sz w:val="32"/>
          <w:szCs w:val="32"/>
          <w:lang w:val="en-US" w:eastAsia="zh-CN" w:bidi="ar-SA"/>
        </w:rPr>
        <w:t>（高标准农田）</w:t>
      </w:r>
      <w:r>
        <w:rPr>
          <w:rFonts w:hint="default" w:ascii="Times New Roman" w:hAnsi="Times New Roman" w:eastAsia="仿宋_GB2312" w:cs="Times New Roman"/>
          <w:kern w:val="2"/>
          <w:sz w:val="32"/>
          <w:szCs w:val="32"/>
          <w:lang w:val="en-US" w:eastAsia="zh-CN" w:bidi="ar-SA"/>
        </w:rPr>
        <w:t>片区：新建</w:t>
      </w:r>
      <w:r>
        <w:rPr>
          <w:rFonts w:hint="eastAsia" w:ascii="Times New Roman" w:hAnsi="Times New Roman" w:eastAsia="仿宋_GB2312" w:cs="Times New Roman"/>
          <w:kern w:val="2"/>
          <w:sz w:val="32"/>
          <w:szCs w:val="32"/>
          <w:lang w:val="en-US" w:eastAsia="zh-CN" w:bidi="ar-SA"/>
        </w:rPr>
        <w:t>高标准农田2</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300亩，主要建设内容为</w:t>
      </w:r>
      <w:r>
        <w:rPr>
          <w:rFonts w:hint="default" w:ascii="Times New Roman" w:hAnsi="Times New Roman" w:eastAsia="仿宋_GB2312" w:cs="Times New Roman"/>
          <w:kern w:val="2"/>
          <w:sz w:val="32"/>
          <w:szCs w:val="32"/>
          <w:lang w:val="en-US" w:eastAsia="zh-CN" w:bidi="ar-SA"/>
        </w:rPr>
        <w:t>新建1条总长为2</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086米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防洪灌溉沟；新建1条长为28米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DN600螺旋钢管输水管；新建6处取水坝</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1座</w:t>
      </w:r>
      <w:r>
        <w:rPr>
          <w:rFonts w:hint="eastAsia" w:ascii="Times New Roman" w:hAnsi="Times New Roman" w:eastAsia="仿宋_GB2312" w:cs="Times New Roman"/>
          <w:kern w:val="2"/>
          <w:sz w:val="32"/>
          <w:szCs w:val="32"/>
          <w:lang w:val="en-US" w:eastAsia="zh-CN" w:bidi="ar-SA"/>
        </w:rPr>
        <w:t>项目</w:t>
      </w:r>
      <w:r>
        <w:rPr>
          <w:rFonts w:hint="default" w:ascii="Times New Roman" w:hAnsi="Times New Roman" w:eastAsia="仿宋_GB2312" w:cs="Times New Roman"/>
          <w:kern w:val="2"/>
          <w:sz w:val="32"/>
          <w:szCs w:val="32"/>
          <w:lang w:val="en-US" w:eastAsia="zh-CN" w:bidi="ar-SA"/>
        </w:rPr>
        <w:t>标志牌，修复193米灌溉沟，修建1处倒虹吸；土壤改良工程470亩。⑤赤鹫镇普黑泥</w:t>
      </w:r>
      <w:r>
        <w:rPr>
          <w:rFonts w:hint="eastAsia" w:ascii="Times New Roman" w:hAnsi="Times New Roman" w:eastAsia="仿宋_GB2312" w:cs="Times New Roman"/>
          <w:kern w:val="2"/>
          <w:sz w:val="32"/>
          <w:szCs w:val="32"/>
          <w:lang w:val="en-US" w:eastAsia="zh-CN" w:bidi="ar-SA"/>
        </w:rPr>
        <w:t>（高标准农田）</w:t>
      </w:r>
      <w:r>
        <w:rPr>
          <w:rFonts w:hint="default" w:ascii="Times New Roman" w:hAnsi="Times New Roman" w:eastAsia="仿宋_GB2312" w:cs="Times New Roman"/>
          <w:kern w:val="2"/>
          <w:sz w:val="32"/>
          <w:szCs w:val="32"/>
          <w:lang w:val="en-US" w:eastAsia="zh-CN" w:bidi="ar-SA"/>
        </w:rPr>
        <w:t>片区：新建</w:t>
      </w:r>
      <w:r>
        <w:rPr>
          <w:rFonts w:hint="eastAsia" w:ascii="Times New Roman" w:hAnsi="Times New Roman" w:eastAsia="仿宋_GB2312" w:cs="Times New Roman"/>
          <w:kern w:val="2"/>
          <w:sz w:val="32"/>
          <w:szCs w:val="32"/>
          <w:lang w:val="en-US" w:eastAsia="zh-CN" w:bidi="ar-SA"/>
        </w:rPr>
        <w:t>高标准农田1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100亩，主要建设内容为</w:t>
      </w:r>
      <w:r>
        <w:rPr>
          <w:rFonts w:hint="default" w:ascii="Times New Roman" w:hAnsi="Times New Roman" w:eastAsia="仿宋_GB2312" w:cs="Times New Roman"/>
          <w:kern w:val="2"/>
          <w:sz w:val="32"/>
          <w:szCs w:val="32"/>
          <w:lang w:val="en-US" w:eastAsia="zh-CN" w:bidi="ar-SA"/>
        </w:rPr>
        <w:t>新建1条长为390.5米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防洪沟；新建2条总长为1</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392.60米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生产路</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1座项目标志牌；改建3条总长为1</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852米</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机耕路；土壤改良工程200亩。</w:t>
      </w:r>
      <w:r>
        <w:rPr>
          <w:rFonts w:hint="eastAsia" w:ascii="Times New Roman" w:hAnsi="Times New Roman" w:eastAsia="仿宋_GB2312" w:cs="Times New Roman"/>
          <w:kern w:val="2"/>
          <w:sz w:val="32"/>
          <w:szCs w:val="32"/>
          <w:lang w:val="en-US" w:eastAsia="zh-CN" w:bidi="ar-SA"/>
        </w:rPr>
        <w:t>项目立项后，县农业农村局报请昆明市农业农村局同意，以《关于富民县2022年高标准农田建设（高效节水灌溉建设）项目部分建设内容和投资变更的批复》（昆农复〔2022〕65号）文件规定，同意变更建设面积为9</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400亩，较原批复建设面积增加1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000亩，变更后总投资不变。项目计划总投资1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554万元，其中：中央财政资金756万元、省级财政资金504万元、市级财政配套资金294万元。工程于2022年5月开工，2023年2月完工。</w:t>
      </w:r>
    </w:p>
    <w:p>
      <w:pPr>
        <w:keepNext w:val="0"/>
        <w:keepLines w:val="0"/>
        <w:pageBreakBefore w:val="0"/>
        <w:widowControl/>
        <w:kinsoku/>
        <w:wordWrap/>
        <w:overflowPunct/>
        <w:topLinePunct w:val="0"/>
        <w:bidi w:val="0"/>
        <w:adjustRightInd w:val="0"/>
        <w:snapToGrid w:val="0"/>
        <w:spacing w:before="0" w:beforeLines="0" w:after="0" w:afterLines="0" w:line="560" w:lineRule="exact"/>
        <w:ind w:right="0" w:rightChars="0" w:firstLine="640" w:firstLineChars="200"/>
        <w:jc w:val="both"/>
        <w:textAlignment w:val="baseline"/>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富民县2022年第二批高标准农田建设项目:根据富民县发展和改革局《关于富民县2022年第二批高标准农田建设项目可行性研究报告的批复》（富发改投资审批〔2022〕31号）的文件规定，项目位于赤鹫镇玉屏、龙潭、普桥村委会，罗免镇西核、则核村委会，建设任务6</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500亩，其中，①玉屏村委会片区：新建高标准农田2</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250亩，主要建设内容为扩建机耕路3条，全长4</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939.68</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；新建田间100m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蓄水池1座，新建25m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水窖16座；实施耕地质量提升面积1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900亩，其中增施商品有机肥680亩，施用农用复合微生菌剂700亩，绿肥种植520亩。②龙潭村委会片区：新建高标准农田1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450亩，主要建设内容为扩建机耕路4条，全长1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861.68</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；扩建生产道路1条，全长1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127.07</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;新建田间蓄水池4座(50m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、100m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各一座，200m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2座</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，新建25m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水窖7座；实施耕地质量提升面积1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270亩，其中增施商品有机肥420亩，施用农用复合微生菌剂500亩，绿肥种植350亩。③普桥村委会片区：新建高效节水灌溉农田1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000亩，主要建设内容为扩建机耕路2条，全长593.51</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；新建泵站前池1座，容积为200m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；更换提水干管1段，管长576.6</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;新建提水分干管1条，管长425.5</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；新建田间调蓄水池5座（100m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1座，200m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4座），新建田间输水管2条，管长609.09</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;新建田间配水管10条，管长6</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144.1</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;实施耕地质量提升面积940亩，其中增施商品有机肥330亩，施用农用复合微生菌剂350亩，绿肥种植260亩。④则核、西核村委会片区：新建高效节水灌溉农田1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800亩，主要建设内容为扩建机耕路1条，全长602.04</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；小坝塘加固处理1座；新建取水坝3座，取水口1座，沉砂池3座；新建输水干管3条，管长5317</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;新建田间调蓄水池10座（50m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至150m</w:t>
      </w:r>
      <w:r>
        <w:rPr>
          <w:rFonts w:hint="eastAsia" w:ascii="Times New Roman" w:hAnsi="Times New Roman"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不等），新建田间配水管13条，管长4</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343</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;修复灌溉渠道1条，修复长度136</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；新建灌溉引水干管3条，管长592.32</w:t>
      </w:r>
      <w:r>
        <w:rPr>
          <w:rFonts w:hint="default" w:ascii="Times New Roman" w:hAnsi="Times New Roman" w:eastAsia="仿宋_GB2312" w:cs="Times New Roman"/>
          <w:kern w:val="2"/>
          <w:sz w:val="32"/>
          <w:szCs w:val="32"/>
          <w:lang w:val="en-US" w:eastAsia="zh-CN" w:bidi="ar-SA"/>
        </w:rPr>
        <w:t>米</w:t>
      </w:r>
      <w:r>
        <w:rPr>
          <w:rFonts w:hint="eastAsia" w:ascii="Times New Roman" w:hAnsi="Times New Roman" w:eastAsia="仿宋_GB2312" w:cs="Times New Roman"/>
          <w:kern w:val="2"/>
          <w:sz w:val="32"/>
          <w:szCs w:val="32"/>
          <w:lang w:val="en-US" w:eastAsia="zh-CN" w:bidi="ar-SA"/>
        </w:rPr>
        <w:t>;实施耕地质量提升面积1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740亩，其中增施商品有机肥570亩，施用农用复合微生菌剂750亩，绿肥种植420亩。计划总投资1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091.5万元，其中：中央财政资金,631.04万元、省级财政资金253.96万元、市级财政配套资金206.5万元。工程于2022年12月开工，2023年5月完工。</w:t>
      </w:r>
    </w:p>
    <w:p>
      <w:pPr>
        <w:keepNext w:val="0"/>
        <w:keepLines w:val="0"/>
        <w:pageBreakBefore w:val="0"/>
        <w:widowControl/>
        <w:kinsoku/>
        <w:wordWrap/>
        <w:overflowPunct/>
        <w:topLinePunct w:val="0"/>
        <w:bidi w:val="0"/>
        <w:adjustRightInd w:val="0"/>
        <w:snapToGrid w:val="0"/>
        <w:spacing w:before="0" w:beforeLines="0" w:after="0" w:afterLines="0" w:line="560" w:lineRule="exact"/>
        <w:ind w:right="0" w:rightChars="0" w:firstLine="642" w:firstLineChars="200"/>
        <w:jc w:val="both"/>
        <w:textAlignment w:val="baseline"/>
        <w:outlineLvl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2.建设程序履行情况</w:t>
      </w:r>
    </w:p>
    <w:p>
      <w:pPr>
        <w:pStyle w:val="13"/>
        <w:keepNext/>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eastAsia" w:ascii="Times New Roman" w:hAnsi="Times New Roman" w:eastAsia="仿宋_GB2312" w:cs="Times New Roman"/>
          <w:bCs/>
          <w:color w:val="000000"/>
          <w:kern w:val="2"/>
          <w:sz w:val="32"/>
          <w:szCs w:val="32"/>
          <w:lang w:val="en-US" w:eastAsia="zh-CN" w:bidi="ar-SA"/>
        </w:rPr>
      </w:pPr>
      <w:r>
        <w:rPr>
          <w:rFonts w:hint="eastAsia" w:ascii="Times New Roman" w:hAnsi="Times New Roman" w:eastAsia="仿宋_GB2312" w:cs="Times New Roman"/>
          <w:bCs w:val="0"/>
          <w:color w:val="000000"/>
          <w:kern w:val="2"/>
          <w:sz w:val="32"/>
          <w:szCs w:val="32"/>
          <w:lang w:val="en-US" w:eastAsia="zh-CN" w:bidi="ar-SA"/>
        </w:rPr>
        <w:t>县农业农村局作为富民县2022年高标准农田建设项目的业主单位，直接负责本项目建设管理工作，项目分两批实施，其中，富民县2022年高标准农田建设（高效节水灌溉建设）项目：县农业农村局委托云南诚展工程咨询有限公司进行招标，项目分五个标段，经公开招标，分别确定昆明旭泰建筑有限公司为东村镇祖库片区（高效节水灌溉建设项目）（一标段），云南鸿硕建筑工程有限公司为东村镇祖库片区（高标准农田建设项目）（二标段），云南蓝航建筑工程有限公司为东村镇杜朗片区（高标准农田建设项目）（三标段），云南伟富建筑工程有限公司为东村镇中民石桥片区（高标准农田建设项目）（四标段），云南煜升建设工程有限公司为赤鹫镇普黑泥片区（高标准农田建设项目）（五标段）的施工单位；经比选，分别确定云南世博建设监理有限责任公司承担监理工作、中国电建集团昆明勘测设计研究院有限公司承担项目勘测设计工作；县农业农村局直接委托昆明浩淼水利水电工程检测有限公司承担质量检测工作，委托中承项目管理（云南）有限公司承担项目结算审核工作。富民县2022年第二批高标准农田建设项目:县农业农村局委托云南禹信招标代理有限公司进行招标，项目分四个标段，经公开招标，分别确定昆明润兴建筑有限公司为赤鹫镇玉屏片区（高标准农田</w:t>
      </w:r>
      <w:r>
        <w:rPr>
          <w:rFonts w:hint="eastAsia" w:ascii="Times New Roman" w:hAnsi="Times New Roman" w:eastAsia="仿宋_GB2312" w:cs="Times New Roman"/>
          <w:bCs/>
          <w:color w:val="000000"/>
          <w:kern w:val="2"/>
          <w:sz w:val="32"/>
          <w:szCs w:val="32"/>
          <w:lang w:val="en-US" w:eastAsia="zh-CN" w:bidi="ar-SA"/>
        </w:rPr>
        <w:t>建设项目）（一标段），云南淮润建设工程有限公司为赤鹫镇龙潭片区（高标准农田建设项目）（二标段），云南铮辉建筑工程有限公司为赤鹫镇普桥片区（高效节水）（三标段），昌宁智博盛世建设工程有限责任公司为罗免镇则核、西核村委会片区（高效节水）（四标段）的施工单位；经比选，分别确定云南润水工程项目管理有限公司承担监理工作、中国电建集团昆明勘测设计研究院有限公司承担项目勘测设计工作；县农业农村局直接委托昆明浩淼水利水电工程检测有限公司承担质量检测工作，委托中承项目管理（云南）有限公司承担项目结算审核工作。</w:t>
      </w: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富民县2022年高标准农田建设项目决算报审金额24,756,373.29元，调整多计工程价款414,946.37元，调整后的决算金额24,341,426.92元。</w:t>
      </w: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ascii="Times New Roman" w:hAnsi="Times New Roman" w:eastAsia="仿宋_GB2312" w:cs="Times New Roman"/>
          <w:kern w:val="0"/>
          <w:sz w:val="32"/>
          <w:szCs w:val="24"/>
          <w:lang w:val="en-US" w:eastAsia="zh-CN" w:bidi="ar-SA"/>
        </w:rPr>
        <w:t>审计结果表明，</w:t>
      </w:r>
      <w:r>
        <w:rPr>
          <w:rFonts w:ascii="Times New Roman" w:hAnsi="Times New Roman" w:eastAsia="仿宋_GB2312" w:cs="Times New Roman"/>
          <w:kern w:val="2"/>
          <w:sz w:val="32"/>
          <w:szCs w:val="24"/>
          <w:lang w:val="en-US" w:eastAsia="zh-CN" w:bidi="ar-SA"/>
        </w:rPr>
        <w:t>项目的实施，</w:t>
      </w:r>
      <w:r>
        <w:rPr>
          <w:rFonts w:hint="eastAsia" w:ascii="仿宋_GB2312" w:hAnsi="仿宋" w:eastAsia="仿宋_GB2312" w:cs="仿宋"/>
          <w:kern w:val="0"/>
          <w:sz w:val="32"/>
          <w:szCs w:val="32"/>
          <w:lang w:val="en-US" w:eastAsia="zh-CN" w:bidi="ar-SA"/>
        </w:rPr>
        <w:t>改善了项目区农业生产条件，保障粮食生产安全和主要农产品有效供给，不断提高土地的产出率和农业综合生产能力 ，促进农业的可持续发展,为农业增产、农民增收奠定了基础。县农业农村局在项目建设管理工作中，建立了财务管理、工程建设资金支付等内部管理制度，履行了建设程序，落实了招标投标制、合同制、监理制等管理制度，</w:t>
      </w:r>
      <w:r>
        <w:rPr>
          <w:rFonts w:hint="eastAsia" w:ascii="Times New Roman" w:hAnsi="Times New Roman" w:eastAsia="仿宋_GB2312" w:cs="Times New Roman"/>
          <w:bCs/>
          <w:color w:val="000000"/>
          <w:kern w:val="2"/>
          <w:sz w:val="32"/>
          <w:szCs w:val="32"/>
          <w:lang w:val="en-US" w:eastAsia="zh-CN" w:bidi="ar-SA"/>
        </w:rPr>
        <w:t>但存在施工单位多计工程价款414,946.37元、部分项目未按合同约定工期完工、项目管理不规范等问题。</w:t>
      </w:r>
      <w:r>
        <w:rPr>
          <w:rFonts w:hint="default" w:ascii="Times New Roman" w:hAnsi="Times New Roman" w:eastAsia="仿宋_GB2312" w:cs="Times New Roman"/>
          <w:color w:val="000000"/>
          <w:kern w:val="0"/>
          <w:sz w:val="32"/>
          <w:szCs w:val="22"/>
          <w:lang w:val="en-US" w:eastAsia="zh-CN" w:bidi="ar-SA"/>
        </w:rPr>
        <w:t xml:space="preserve"> </w:t>
      </w:r>
    </w:p>
    <w:p>
      <w:pPr>
        <w:snapToGrid w:val="0"/>
        <w:spacing w:line="579" w:lineRule="exact"/>
        <w:ind w:firstLine="640" w:firstLineChars="20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二、审计发现的主要问题</w:t>
      </w:r>
    </w:p>
    <w:p>
      <w:pPr>
        <w:pStyle w:val="2"/>
        <w:ind w:firstLine="42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（一）多计工程价款414,946.37元</w:t>
      </w:r>
    </w:p>
    <w:p>
      <w:pPr>
        <w:pStyle w:val="2"/>
        <w:ind w:firstLine="42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（二）部分项目未按合同约定工期完工</w:t>
      </w:r>
    </w:p>
    <w:p>
      <w:pPr>
        <w:pStyle w:val="2"/>
        <w:ind w:firstLine="42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（三）项目管理不规范</w:t>
      </w:r>
    </w:p>
    <w:p>
      <w:pPr>
        <w:snapToGrid w:val="0"/>
        <w:spacing w:line="579" w:lineRule="exact"/>
        <w:ind w:firstLine="640" w:firstLineChars="20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三、审计处理处罚情况及建议</w:t>
      </w:r>
    </w:p>
    <w:p>
      <w:pPr>
        <w:pStyle w:val="2"/>
        <w:ind w:firstLine="42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（一）审计处理处罚情况</w:t>
      </w:r>
    </w:p>
    <w:p>
      <w:pPr>
        <w:pStyle w:val="13"/>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1.多计工程价款414,946.37元的问题。</w:t>
      </w:r>
      <w:r>
        <w:rPr>
          <w:rFonts w:hint="eastAsia" w:ascii="仿宋_GB2312" w:eastAsia="仿宋_GB2312"/>
          <w:kern w:val="0"/>
          <w:sz w:val="32"/>
          <w:szCs w:val="24"/>
          <w:lang w:val="en-US" w:eastAsia="zh-CN" w:bidi="ar-SA"/>
        </w:rPr>
        <w:t>责</w:t>
      </w:r>
      <w:r>
        <w:rPr>
          <w:rFonts w:hint="eastAsia" w:ascii="Times New Roman" w:hAnsi="Times New Roman" w:eastAsia="仿宋_GB2312" w:cs="Times New Roman"/>
          <w:color w:val="000000"/>
          <w:kern w:val="0"/>
          <w:sz w:val="32"/>
          <w:szCs w:val="22"/>
          <w:lang w:val="en-US" w:eastAsia="zh-CN" w:bidi="ar-SA"/>
        </w:rPr>
        <w:t>令</w:t>
      </w:r>
      <w:r>
        <w:rPr>
          <w:rFonts w:hint="default" w:ascii="Times New Roman" w:hAnsi="Times New Roman" w:eastAsia="仿宋_GB2312" w:cs="Times New Roman"/>
          <w:color w:val="000000"/>
          <w:kern w:val="0"/>
          <w:sz w:val="32"/>
          <w:szCs w:val="22"/>
          <w:lang w:val="en-US" w:eastAsia="zh-CN" w:bidi="ar-SA"/>
        </w:rPr>
        <w:t>县农业农村局</w:t>
      </w:r>
      <w:r>
        <w:rPr>
          <w:rFonts w:hint="eastAsia" w:ascii="Times New Roman" w:hAnsi="Times New Roman" w:eastAsia="仿宋_GB2312" w:cs="Times New Roman"/>
          <w:color w:val="000000"/>
          <w:kern w:val="0"/>
          <w:sz w:val="32"/>
          <w:szCs w:val="22"/>
          <w:lang w:val="en-US" w:eastAsia="zh-CN" w:bidi="ar-SA"/>
        </w:rPr>
        <w:t>对</w:t>
      </w:r>
      <w:r>
        <w:rPr>
          <w:rFonts w:hint="eastAsia" w:hAnsi="Times New Roman" w:eastAsia="仿宋_GB2312" w:cs="Times New Roman"/>
          <w:color w:val="000000"/>
          <w:kern w:val="0"/>
          <w:sz w:val="32"/>
          <w:szCs w:val="22"/>
          <w:lang w:val="en-US" w:eastAsia="zh-CN" w:bidi="ar-SA"/>
        </w:rPr>
        <w:t>各施工</w:t>
      </w:r>
      <w:r>
        <w:rPr>
          <w:rFonts w:hint="eastAsia" w:ascii="Times New Roman" w:hAnsi="Times New Roman" w:eastAsia="仿宋_GB2312" w:cs="Times New Roman"/>
          <w:color w:val="000000"/>
          <w:kern w:val="0"/>
          <w:sz w:val="32"/>
          <w:szCs w:val="22"/>
          <w:lang w:val="en-US" w:eastAsia="zh-CN" w:bidi="ar-SA"/>
        </w:rPr>
        <w:t>单位多计的</w:t>
      </w:r>
      <w:r>
        <w:rPr>
          <w:rFonts w:hint="default" w:ascii="Times New Roman" w:hAnsi="Times New Roman" w:eastAsia="仿宋_GB2312" w:cs="Times New Roman"/>
          <w:color w:val="000000"/>
          <w:kern w:val="0"/>
          <w:sz w:val="32"/>
          <w:szCs w:val="22"/>
          <w:lang w:val="en-US" w:eastAsia="zh-CN" w:bidi="ar-SA"/>
        </w:rPr>
        <w:t>工程价款414,946.37元</w:t>
      </w:r>
      <w:r>
        <w:rPr>
          <w:rFonts w:hint="eastAsia" w:ascii="Times New Roman" w:hAnsi="Times New Roman" w:eastAsia="仿宋_GB2312" w:cs="Times New Roman"/>
          <w:color w:val="000000"/>
          <w:kern w:val="0"/>
          <w:sz w:val="32"/>
          <w:szCs w:val="22"/>
          <w:lang w:val="en-US" w:eastAsia="zh-CN" w:bidi="ar-SA"/>
        </w:rPr>
        <w:t>依法整改</w:t>
      </w:r>
      <w:r>
        <w:rPr>
          <w:rFonts w:hint="eastAsia" w:eastAsia="仿宋_GB2312" w:cs="Times New Roman"/>
          <w:color w:val="000000"/>
          <w:kern w:val="0"/>
          <w:sz w:val="32"/>
          <w:szCs w:val="22"/>
          <w:lang w:val="en-US" w:eastAsia="zh-CN" w:bidi="ar-SA"/>
        </w:rPr>
        <w:t>。</w:t>
      </w:r>
    </w:p>
    <w:p>
      <w:pPr>
        <w:pStyle w:val="13"/>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2.部分项目未按合同约定工期完工的问题。县农业农村局应加强工期管理，对无法按期完工的项目，及时办理工期顺延相关审批手续。</w:t>
      </w:r>
    </w:p>
    <w:p>
      <w:pPr>
        <w:widowControl/>
        <w:spacing w:line="560" w:lineRule="atLeast"/>
        <w:ind w:firstLine="64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3.项目管理不规范的问题。县农业农村局应做好项目全过程监管，规范合同管理，修改完善相关发放表册，完善竣工资料签字盖章手续。</w:t>
      </w:r>
    </w:p>
    <w:p>
      <w:pPr>
        <w:widowControl/>
        <w:spacing w:line="560" w:lineRule="atLeast"/>
        <w:ind w:firstLine="64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（二）审计建议</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w:t>
      </w:r>
      <w:r>
        <w:rPr>
          <w:rFonts w:hint="eastAsia" w:ascii="Times New Roman" w:hAnsi="Times New Roman" w:eastAsia="仿宋_GB2312" w:cs="Times New Roman"/>
          <w:color w:val="000000"/>
          <w:kern w:val="0"/>
          <w:sz w:val="32"/>
          <w:szCs w:val="22"/>
          <w:lang w:val="en-US" w:eastAsia="zh-CN" w:bidi="ar-SA"/>
        </w:rPr>
        <w:t xml:space="preserve">    </w:t>
      </w:r>
      <w:r>
        <w:rPr>
          <w:rFonts w:hint="default" w:ascii="Times New Roman" w:hAnsi="Times New Roman" w:eastAsia="仿宋_GB2312" w:cs="Times New Roman"/>
          <w:color w:val="000000"/>
          <w:kern w:val="0"/>
          <w:sz w:val="32"/>
          <w:szCs w:val="22"/>
          <w:lang w:val="en-US" w:eastAsia="zh-CN" w:bidi="ar-SA"/>
        </w:rPr>
        <w:t>1.建议县农业农村局做好项目全过程造价管理，从招标控制价和清单编制开始，注意项目措施费、临时工程费等易引起争议费用的归集处理，合理有效控制项目投资。</w:t>
      </w:r>
    </w:p>
    <w:p>
      <w:pPr>
        <w:pStyle w:val="2"/>
        <w:ind w:firstLine="960" w:firstLineChars="300"/>
        <w:jc w:val="both"/>
        <w:rPr>
          <w:rFonts w:hint="default" w:ascii="Times New Roman" w:hAnsi="Times New Roman" w:eastAsia="仿宋_GB2312" w:cs="Times New Roman"/>
          <w:color w:val="000000"/>
          <w:kern w:val="0"/>
          <w:sz w:val="32"/>
          <w:szCs w:val="22"/>
          <w:lang w:val="en-US" w:eastAsia="zh-CN" w:bidi="ar-SA"/>
        </w:rPr>
      </w:pPr>
      <w:r>
        <w:rPr>
          <w:rFonts w:hint="eastAsia" w:ascii="Times New Roman" w:hAnsi="Times New Roman" w:eastAsia="仿宋_GB2312" w:cs="Times New Roman"/>
          <w:color w:val="000000"/>
          <w:kern w:val="0"/>
          <w:sz w:val="32"/>
          <w:szCs w:val="22"/>
          <w:lang w:val="en-US" w:eastAsia="zh-CN" w:bidi="ar-SA"/>
        </w:rPr>
        <w:t>2.建议县农业农村局加强并规范合同控制管理，在项目实施过程中把好物资发放各环节管理，适时收集完善项目管理资料。</w:t>
      </w:r>
    </w:p>
    <w:p>
      <w:pPr>
        <w:snapToGrid w:val="0"/>
        <w:spacing w:line="579" w:lineRule="exact"/>
        <w:ind w:firstLine="640" w:firstLineChars="20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四、审计发现问题的整改情况</w:t>
      </w:r>
    </w:p>
    <w:p>
      <w:pPr>
        <w:widowControl/>
        <w:spacing w:line="560" w:lineRule="atLeast"/>
        <w:ind w:firstLine="64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针对此次审计发现的问题，县县农业农村局高度重视，对提出的问题进行了积极整改，对多计工程价款414,946.37元的问题，</w:t>
      </w:r>
      <w:r>
        <w:rPr>
          <w:rFonts w:hint="eastAsia" w:eastAsia="仿宋_GB2312" w:cs="Times New Roman"/>
          <w:color w:val="000000"/>
          <w:kern w:val="0"/>
          <w:sz w:val="32"/>
          <w:szCs w:val="22"/>
          <w:lang w:val="en-US" w:eastAsia="zh-CN" w:bidi="ar-SA"/>
        </w:rPr>
        <w:t>已按审计核定金额与各施工单位办理结算</w:t>
      </w:r>
      <w:r>
        <w:rPr>
          <w:rFonts w:hint="default" w:ascii="Times New Roman" w:hAnsi="Times New Roman" w:eastAsia="仿宋_GB2312" w:cs="Times New Roman"/>
          <w:color w:val="000000"/>
          <w:kern w:val="0"/>
          <w:sz w:val="32"/>
          <w:szCs w:val="22"/>
          <w:lang w:val="en-US" w:eastAsia="zh-CN" w:bidi="ar-SA"/>
        </w:rPr>
        <w:t>；对部分项目未按合同约定工期完工的问题，</w:t>
      </w:r>
      <w:r>
        <w:rPr>
          <w:rFonts w:hint="eastAsia" w:eastAsia="仿宋_GB2312" w:cs="Times New Roman"/>
          <w:color w:val="000000"/>
          <w:kern w:val="0"/>
          <w:sz w:val="32"/>
          <w:szCs w:val="22"/>
          <w:lang w:val="en-US" w:eastAsia="zh-CN" w:bidi="ar-SA"/>
        </w:rPr>
        <w:t>已协调相关单位完善审批手续，同时，在后续项目管理中加强工期管理，确保按合同约定完工</w:t>
      </w:r>
      <w:r>
        <w:rPr>
          <w:rFonts w:hint="default" w:ascii="Times New Roman" w:hAnsi="Times New Roman" w:eastAsia="仿宋_GB2312" w:cs="Times New Roman"/>
          <w:color w:val="000000"/>
          <w:kern w:val="0"/>
          <w:sz w:val="32"/>
          <w:szCs w:val="22"/>
          <w:lang w:val="en-US" w:eastAsia="zh-CN" w:bidi="ar-SA"/>
        </w:rPr>
        <w:t>；对项目管理不规范的问题，</w:t>
      </w:r>
      <w:r>
        <w:rPr>
          <w:rFonts w:hint="eastAsia" w:eastAsia="仿宋_GB2312" w:cs="Times New Roman"/>
          <w:color w:val="000000"/>
          <w:kern w:val="0"/>
          <w:sz w:val="32"/>
          <w:szCs w:val="22"/>
          <w:lang w:val="en-US" w:eastAsia="zh-CN" w:bidi="ar-SA"/>
        </w:rPr>
        <w:t>从以下三个方面入手：一是提高项目管理意识，紧盯项目立项、招投标、合同签订等关键环节，确保后续项目名称一致。二是对部分物资发放名册错漏、发放表册制作简单机械，与实际领取情况不匹配的情况进行修改完善。三是对部分竣工资料建设单位未签字盖章的进行补充确认。</w:t>
      </w:r>
    </w:p>
    <w:p>
      <w:pPr>
        <w:rPr>
          <w:rFonts w:hint="default"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Fonts w:hint="eastAsia" w:ascii="宋体" w:hAnsi="宋体"/>
        <w:sz w:val="28"/>
      </w:rPr>
      <w:fldChar w:fldCharType="begin"/>
    </w:r>
    <w:r>
      <w:rPr>
        <w:rStyle w:val="12"/>
        <w:rFonts w:hint="eastAsia" w:ascii="宋体" w:hAnsi="宋体"/>
        <w:sz w:val="28"/>
      </w:rPr>
      <w:instrText xml:space="preserve">PAGE  </w:instrText>
    </w:r>
    <w:r>
      <w:rPr>
        <w:rFonts w:hint="eastAsia" w:ascii="宋体" w:hAnsi="宋体"/>
        <w:sz w:val="28"/>
      </w:rPr>
      <w:fldChar w:fldCharType="separate"/>
    </w:r>
    <w:r>
      <w:rPr>
        <w:rStyle w:val="12"/>
        <w:rFonts w:ascii="宋体" w:hAnsi="宋体"/>
        <w:sz w:val="28"/>
      </w:rPr>
      <w:t>- 1 -</w:t>
    </w:r>
    <w:r>
      <w:rPr>
        <w:rFonts w:hint="eastAsia" w:ascii="宋体" w:hAnsi="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Align="center"/>
      <w:rPr>
        <w:rStyle w:val="12"/>
        <w:rFonts w:hint="eastAsia" w:ascii="宋体" w:hAnsi="宋体"/>
        <w:sz w:val="28"/>
        <w:szCs w:val="28"/>
      </w:rPr>
    </w:pPr>
  </w:p>
  <w:p>
    <w:pPr>
      <w:pStyle w:val="5"/>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p>
  <w:p>
    <w:pPr>
      <w:pStyle w:val="5"/>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2E15"/>
    <w:multiLevelType w:val="singleLevel"/>
    <w:tmpl w:val="FFEF2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76C8A"/>
    <w:rsid w:val="1BFA45DE"/>
    <w:rsid w:val="35EF2E99"/>
    <w:rsid w:val="43FF4BF9"/>
    <w:rsid w:val="4ED7ABE7"/>
    <w:rsid w:val="5DDD711D"/>
    <w:rsid w:val="7DEF4A92"/>
    <w:rsid w:val="7F7BF0EF"/>
    <w:rsid w:val="BDD76C8A"/>
    <w:rsid w:val="C7EA4AB5"/>
    <w:rsid w:val="F3FF040D"/>
    <w:rsid w:val="F6BE2C32"/>
    <w:rsid w:val="FFD7D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firstLine="570"/>
    </w:pPr>
    <w:rPr>
      <w:rFonts w:hint="eastAsia" w:ascii="宋体"/>
      <w:snapToGrid/>
      <w:kern w:val="10"/>
      <w:sz w:val="30"/>
      <w:szCs w:val="20"/>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rPr>
  </w:style>
  <w:style w:type="paragraph" w:styleId="8">
    <w:name w:val="Body Text First Indent 2"/>
    <w:basedOn w:val="3"/>
    <w:qFormat/>
    <w:uiPriority w:val="0"/>
    <w:pPr>
      <w:ind w:firstLine="420" w:firstLineChars="200"/>
    </w:p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styleId="12">
    <w:name w:val="page number"/>
    <w:basedOn w:val="11"/>
    <w:qFormat/>
    <w:uiPriority w:val="0"/>
  </w:style>
  <w:style w:type="paragraph" w:customStyle="1" w:styleId="13">
    <w:name w:val="p0"/>
    <w:basedOn w:val="14"/>
    <w:qFormat/>
    <w:uiPriority w:val="0"/>
    <w:pPr>
      <w:widowControl/>
    </w:pPr>
    <w:rPr>
      <w:kern w:val="0"/>
      <w:szCs w:val="21"/>
    </w:rPr>
  </w:style>
  <w:style w:type="paragraph" w:customStyle="1" w:styleId="14">
    <w:name w:val="正文1"/>
    <w:qFormat/>
    <w:uiPriority w:val="0"/>
    <w:pPr>
      <w:jc w:val="both"/>
    </w:pPr>
    <w:rPr>
      <w:rFonts w:ascii="Times New Roman" w:hAnsi="Calibri" w:eastAsia="宋体" w:cs="Times New Roman"/>
      <w:sz w:val="21"/>
      <w:szCs w:val="24"/>
    </w:rPr>
  </w:style>
  <w:style w:type="paragraph" w:customStyle="1" w:styleId="15">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16">
    <w:name w:val="Default Paragraph Font Para Char Char Char Char Char Char"/>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2024-02-02T17:13:00Z</dcterms:created>
  <dc:creator>席丽薇</dc:creator>
  <cp:lastModifiedBy>席丽薇</cp:lastModifiedBy>
  <dcterms:modified xsi:type="dcterms:W3CDTF">2025-08-14T11:05:33Z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