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477010" cy="1477010"/>
            <wp:effectExtent l="0" t="0" r="8890" b="8890"/>
            <wp:docPr id="1" name="图片 1" descr="LOG(红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(红色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方正大标宋简体" w:cs="Times New Roman"/>
          <w:color w:val="FF9900"/>
          <w:spacing w:val="40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color w:val="FF9900"/>
          <w:spacing w:val="40"/>
          <w:sz w:val="72"/>
          <w:szCs w:val="72"/>
        </w:rPr>
        <w:t>富民县审计局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pacing w:val="8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100965</wp:posOffset>
                </wp:positionV>
                <wp:extent cx="7552055" cy="1188720"/>
                <wp:effectExtent l="0" t="0" r="1079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11887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85pt;margin-top:7.95pt;height:93.6pt;width:594.65pt;z-index:-251658240;mso-width-relative:page;mso-height-relative:page;" fillcolor="#000080" filled="t" stroked="f" coordsize="21600,21600" o:gfxdata="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Hng+QfbAAAADAEAAA8AAAAAAAAAAQAgAAAAOAAAAGRycy9kb3du&#10;cmV2LnhtbFBLAQIUABQAAAAIAIdO4kAd0PLXrQEAADgDAAAOAAAAAAAAAAEAIAAAAEA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FFFFFF"/>
          <w:spacing w:val="80"/>
          <w:sz w:val="120"/>
          <w:szCs w:val="120"/>
        </w:rPr>
      </w:pPr>
      <w:r>
        <w:rPr>
          <w:rFonts w:hint="default" w:ascii="Times New Roman" w:hAnsi="Times New Roman" w:eastAsia="方正小标宋简体" w:cs="Times New Roman"/>
          <w:color w:val="FFFFFF"/>
          <w:spacing w:val="80"/>
          <w:sz w:val="120"/>
          <w:szCs w:val="120"/>
        </w:rPr>
        <w:t>审计结果公告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FUMIN XIAN SHENJIJU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SHENJI JIEGUO GONGGAO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sz w:val="36"/>
          <w:szCs w:val="36"/>
        </w:rPr>
        <w:t>年第</w:t>
      </w:r>
      <w:r>
        <w:rPr>
          <w:rFonts w:hint="eastAsia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号（总第</w:t>
      </w:r>
      <w:r>
        <w:rPr>
          <w:rFonts w:hint="eastAsia" w:eastAsia="黑体" w:cs="Times New Roman"/>
          <w:sz w:val="36"/>
          <w:szCs w:val="36"/>
          <w:lang w:val="en-US" w:eastAsia="zh-CN"/>
        </w:rPr>
        <w:t>215</w:t>
      </w:r>
      <w:r>
        <w:rPr>
          <w:rFonts w:hint="default" w:ascii="Times New Roman" w:hAnsi="Times New Roman" w:eastAsia="黑体" w:cs="Times New Roman"/>
          <w:sz w:val="36"/>
          <w:szCs w:val="36"/>
        </w:rPr>
        <w:t>号）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6"/>
          <w:szCs w:val="36"/>
        </w:rPr>
        <w:t>富民县审计局办公室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righ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号）（总第</w:t>
      </w:r>
      <w:r>
        <w:rPr>
          <w:rFonts w:hint="eastAsia" w:eastAsia="黑体" w:cs="Times New Roman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号）  </w:t>
      </w:r>
      <w:r>
        <w:rPr>
          <w:rFonts w:hint="default" w:ascii="Times New Roman" w:hAnsi="Times New Roman" w:eastAsia="黑体" w:cs="Times New Roman"/>
          <w:sz w:val="52"/>
          <w:szCs w:val="52"/>
        </w:rPr>
        <w:t xml:space="preserve"> 目 录</w:t>
      </w:r>
    </w:p>
    <w:p>
      <w:pPr>
        <w:ind w:left="2100" w:firstLine="420"/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（二〇二</w:t>
      </w:r>
      <w:r>
        <w:rPr>
          <w:rFonts w:hint="eastAsia" w:eastAsia="黑体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</w:rPr>
        <w:t>年</w:t>
      </w:r>
      <w:r>
        <w:rPr>
          <w:rFonts w:hint="eastAsia" w:eastAsia="黑体" w:cs="Times New Roman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0"/>
          <w:szCs w:val="30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三十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日公告）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IPC/70wAAAAYBAAAPAAAAAAAAAAEAIAAAADgAAABkcnMvZG93bnJldi54bWxQSwECFAAUAAAA&#10;CACHTuJA35cESt0BAAClAwAADgAAAAAAAAABACAAAAA4AQAAZHJzL2Uyb0RvYy54bWxQSwUGAAAA&#10;AAYABgBZAQAAh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12"/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富民县城整体风貌改造提升（美丽县城）建设项目建设管理情况审计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结果公告</w:t>
      </w:r>
    </w:p>
    <w:p>
      <w:pPr>
        <w:pStyle w:val="13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主办单位：富民县审计局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通讯地址：富民县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黎昌路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邮政编码：650400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电话号码：0871-68811066</w:t>
      </w:r>
    </w:p>
    <w:p>
      <w:pPr>
        <w:pStyle w:val="13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 w:bidi="ar-SA"/>
        </w:rPr>
        <w:t>富民县城整体风貌改造提升（美丽县城）建设项目建设管理情况审计结果公告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根据《中华人民共和国审计法》第二十三条的规定，富民县审计局派出审计组，自2024年7月8日至2025年2月28日，聘请云南天衡工程咨询有限公司参与，对富民城建开发投资有限公司（以下简称：富民城投公司）负责的富民县城整体风貌改造提升（美丽县城）建设项目建设管理情况进行了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一、基本情况及评价意见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本项目经富民县发展和改革局《关于富民县城整体风貌改造提升（美丽县城）建设项目可行性研究报告的批复》（富发改投资审批〔2020〕59号）文件立项建设，项目建设地点为富民县城内，项目建设内容及规模包括：县城绿化提升及道路修补，县城灯光亮化提升，县城三大出入口节点景观风貌提升，滇北驿文创旅游小镇及螳川东西路特色街区建设，县城主街道外立面改造五大方面。项目原计划投资150,000,000元，资金来源为申请中央、省市级资金，剩余不足部分由单位自筹解决；实际由富民城投公司融资自筹200,000,000元用于美丽县城建设。项目施工、设计采用下浮率招标，中标的施工部分投标报价下浮1.2%，设计部分投标报价下浮21%，工程于2020年9月开工，2022年5月完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富民县城整体风貌改造提升（美丽县城）建设项目（EPC+F）决算报审金额121,951,752.16元，调整多记工程价款7,447,267.14元，调减待摊费用694,683.32元，调整后的决算金额113,809,801.7元。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审计结果表明，项目的实施，完成了城市道路、城市公园及景观提升改造，完善了县城市政基础设施建设，改善了富民县城整体景观风貌，进一步提升了富民“美丽县城”形象和品质。富民城投公司在项目建设管理工作中，履行了建设程序，落实了招标投标制、合同制、监理制等管理制度。但审计中发现存在项目单位多计项目（EPC+F）费用7,447,267.14元；多计待摊投资694,683.32元；建设单位监管不到位，导致监理单位未全面履行监理义务；项目竣工资料审核把关不严；项目未按规定编制竣工财务决算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二、审计发现的主要问题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（一）多计项目（EPC+F）费用7,447,267.14元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（二）多计待摊投资694,683.32元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（三）建设单位监管不到位，导致监理单位未全面履行监理义务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（四）竣工资料审核把关不严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（五）项目未按规定编制竣工财务决算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三、审计处理处罚情况及建议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（一）审计处理处罚情况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1.多计项目（EPC+F）费用7,447,267.14元的问题。责成富民城投公司对项目单位多计的项目（EPC+F）费用7,447,267.14元予以调减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2.多计待摊投资694,683.32元的问题。责成富民城投公司对多计的待摊投资694,683.32元予以调减。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3.建设单位监管不到位，导致监理单位未全面履行监理义务的问题。责成富民城投公司加强对监理单位的管理，督促监理单位全面履行监理义务，严格要求监理单位认真履行现场服务及监督职责，认真核实资料与现场情况的一致性，加强竣工资料的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4.竣工资料审核把关不严的问题。责成富民城投公司加强对建设项目的管理，严格履行管理职责，认真对竣工资料进行审核，保证竣工资料的真实性、完整性。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5.项目未按规定编制竣工财务决算的问题。责成富民城投公司加强对项目财务管理，严格按照规定及时办理项目竣工财务决算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（二）审计建议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1.富民城投公司应加强项目全过程管理，特别是监理、造价咨询等相关服务单位的服务质量与收费管理，保障资金使用效益。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2.富民城投公司应在项目完工后及时进行竣工验收和移交工作，避免增加管养维护成本。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3.富民城投公司应加强施工全过程资料的管理，确保资料的时效性，认真做好各种建设资料的收集、整理、汇集工作，严格按照国家建设项目档案管理的规定进行立卷归档，确保档案资料的完整性、系统性。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2"/>
          <w:lang w:val="en-US" w:eastAsia="zh-CN" w:bidi="ar-SA"/>
        </w:rPr>
        <w:t>四、审计发现问题的整改情况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  <w:t>针对此次审计发现的问题，县城投公司高度重视，对提出的问题进行了积极整改，对多计工程价款问题，予以调减；对监管不到位问题，加强对监理单位的管理；对竣工资料审核把关不严问题，加强对建设项目的管理，严格履行管理职责，保证竣工资料的真实性、完整性；对项目未按规定编制竣工财务决算问题，严格加强对项目财务管理，严格按照规定及时办理项目竣工财务决算。</w:t>
      </w:r>
    </w:p>
    <w:p>
      <w:pPr>
        <w:pStyle w:val="2"/>
        <w:ind w:firstLine="42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长城大标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长城大标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Fonts w:hint="eastAsia" w:ascii="宋体" w:hAnsi="宋体"/>
        <w:sz w:val="28"/>
      </w:rPr>
      <w:fldChar w:fldCharType="begin"/>
    </w:r>
    <w:r>
      <w:rPr>
        <w:rStyle w:val="11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Align="outside" w:yAlign="center"/>
      <w:rPr>
        <w:rStyle w:val="11"/>
        <w:rFonts w:hint="eastAsia" w:ascii="宋体" w:hAnsi="宋体"/>
        <w:sz w:val="28"/>
        <w:szCs w:val="28"/>
      </w:rPr>
    </w:pPr>
  </w:p>
  <w:p>
    <w:pPr>
      <w:pStyle w:val="5"/>
      <w:ind w:right="360"/>
      <w:rPr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 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</w:rPr>
      <w:t>- 5 -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</w:p>
  <w:p>
    <w:pPr>
      <w:pStyle w:val="5"/>
      <w:ind w:right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富民县审计局审计结果公告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富民县审计局审计结果公告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76C8A"/>
    <w:rsid w:val="577F0CED"/>
    <w:rsid w:val="5DDD711D"/>
    <w:rsid w:val="7DBF5108"/>
    <w:rsid w:val="AB9174EB"/>
    <w:rsid w:val="BBDF00B4"/>
    <w:rsid w:val="BDD76C8A"/>
    <w:rsid w:val="DDCFFE32"/>
    <w:rsid w:val="E3FF582D"/>
    <w:rsid w:val="F6BE2C32"/>
    <w:rsid w:val="FBFD03AD"/>
    <w:rsid w:val="FF9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rFonts w:hint="eastAsia" w:ascii="宋体"/>
      <w:snapToGrid/>
      <w:kern w:val="10"/>
      <w:sz w:val="30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8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正文2"/>
    <w:next w:val="1"/>
    <w:qFormat/>
    <w:uiPriority w:val="0"/>
    <w:pPr>
      <w:spacing w:line="480" w:lineRule="exact"/>
      <w:ind w:firstLine="496" w:firstLineChars="200"/>
    </w:pPr>
    <w:rPr>
      <w:rFonts w:ascii="Times New Roman" w:hAnsi="Times New Roman" w:eastAsia="宋体" w:cs="宋体"/>
      <w:color w:val="000000"/>
      <w:spacing w:val="4"/>
      <w:kern w:val="2"/>
      <w:sz w:val="24"/>
      <w:szCs w:val="22"/>
      <w:lang w:val="en-US" w:eastAsia="zh-CN" w:bidi="ar-SA"/>
    </w:rPr>
  </w:style>
  <w:style w:type="paragraph" w:customStyle="1" w:styleId="14">
    <w:name w:val="Default Paragraph Font Para Char Char Char Char Char Char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2024-02-01T17:13:00Z</dcterms:created>
  <dc:creator>席丽薇</dc:creator>
  <cp:lastModifiedBy>席丽薇</cp:lastModifiedBy>
  <cp:lastPrinted>2025-07-16T11:18:03Z</cp:lastPrinted>
  <dcterms:modified xsi:type="dcterms:W3CDTF">2025-07-16T11:18:10Z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