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75F43">
      <w:pPr>
        <w:jc w:val="left"/>
        <w:rPr>
          <w:rFonts w:ascii="仿宋_GB2312" w:hAnsi="黑体"/>
          <w:color w:val="0070C0"/>
          <w:spacing w:val="-20"/>
          <w:sz w:val="15"/>
          <w:szCs w:val="15"/>
        </w:rPr>
      </w:pPr>
    </w:p>
    <w:p w14:paraId="17DD8682">
      <w:pPr>
        <w:jc w:val="center"/>
        <w:rPr>
          <w:rFonts w:hint="eastAsia" w:ascii="方正小标宋简体" w:eastAsia="方正小标宋简体" w:cs="仿宋_GB2312"/>
          <w:sz w:val="44"/>
          <w:szCs w:val="44"/>
        </w:rPr>
      </w:pPr>
      <w:r>
        <w:rPr>
          <w:rFonts w:hint="eastAsia" w:ascii="方正小标宋简体" w:eastAsia="方正小标宋简体" w:cs="仿宋_GB2312"/>
          <w:sz w:val="44"/>
          <w:szCs w:val="44"/>
          <w:lang w:eastAsia="zh-CN"/>
        </w:rPr>
        <w:t>富民县发展和改革局</w:t>
      </w:r>
      <w:r>
        <w:rPr>
          <w:rFonts w:hint="eastAsia" w:ascii="方正小标宋简体" w:eastAsia="方正小标宋简体" w:cs="仿宋_GB2312"/>
          <w:sz w:val="44"/>
          <w:szCs w:val="44"/>
        </w:rPr>
        <w:t>2020年度部门整体</w:t>
      </w:r>
    </w:p>
    <w:p w14:paraId="01F04527">
      <w:pPr>
        <w:jc w:val="center"/>
        <w:rPr>
          <w:rFonts w:ascii="方正小标宋简体" w:eastAsia="方正小标宋简体" w:cs="仿宋_GB2312"/>
          <w:sz w:val="44"/>
          <w:szCs w:val="44"/>
        </w:rPr>
      </w:pPr>
      <w:r>
        <w:rPr>
          <w:rFonts w:hint="eastAsia" w:ascii="方正小标宋简体" w:eastAsia="方正小标宋简体" w:cs="仿宋_GB2312"/>
          <w:sz w:val="44"/>
          <w:szCs w:val="44"/>
        </w:rPr>
        <w:t>支出绩效评价报告</w:t>
      </w:r>
    </w:p>
    <w:p w14:paraId="25D91F99">
      <w:pPr>
        <w:pStyle w:val="9"/>
        <w:spacing w:line="500" w:lineRule="exact"/>
        <w:ind w:firstLine="640"/>
        <w:jc w:val="left"/>
        <w:rPr>
          <w:rFonts w:ascii="仿宋_GB2312" w:hAnsi="黑体" w:eastAsia="仿宋_GB2312" w:cs="黑体"/>
          <w:sz w:val="32"/>
          <w:szCs w:val="32"/>
        </w:rPr>
      </w:pPr>
    </w:p>
    <w:p w14:paraId="3342D60E">
      <w:pPr>
        <w:topLinePunct/>
        <w:ind w:firstLine="800" w:firstLineChars="250"/>
        <w:rPr>
          <w:rFonts w:ascii="黑体" w:eastAsia="黑体"/>
          <w:szCs w:val="32"/>
        </w:rPr>
      </w:pPr>
      <w:r>
        <w:rPr>
          <w:rFonts w:hint="eastAsia" w:ascii="黑体" w:eastAsia="黑体"/>
          <w:szCs w:val="32"/>
        </w:rPr>
        <w:t>一、部门概况</w:t>
      </w:r>
    </w:p>
    <w:p w14:paraId="1D1F1679">
      <w:pPr>
        <w:topLinePunct/>
        <w:ind w:firstLine="800" w:firstLineChars="250"/>
        <w:rPr>
          <w:rFonts w:hint="eastAsia" w:ascii="仿宋_GB2312" w:hAnsi="楷体"/>
          <w:szCs w:val="32"/>
        </w:rPr>
      </w:pPr>
      <w:r>
        <w:rPr>
          <w:rFonts w:hint="eastAsia" w:ascii="仿宋_GB2312" w:hAnsi="楷体"/>
          <w:szCs w:val="32"/>
        </w:rPr>
        <w:t>（一）部门机构设置、编制。</w:t>
      </w:r>
    </w:p>
    <w:p w14:paraId="2C76AB30">
      <w:pPr>
        <w:topLinePunct/>
        <w:spacing w:line="560" w:lineRule="exact"/>
        <w:ind w:firstLine="640" w:firstLineChars="200"/>
        <w:rPr>
          <w:rFonts w:ascii="黑体" w:eastAsia="黑体"/>
          <w:color w:val="000000"/>
        </w:rPr>
      </w:pPr>
      <w:r>
        <w:rPr>
          <w:rFonts w:hint="eastAsia" w:ascii="仿宋_GB2312" w:hAnsi="仿宋" w:cs="仿宋_GB2312"/>
          <w:color w:val="000000"/>
        </w:rPr>
        <w:t>富民县发展和改革局（以下简称县发改局）机关设</w:t>
      </w:r>
      <w:r>
        <w:rPr>
          <w:rFonts w:ascii="仿宋_GB2312" w:hAnsi="仿宋" w:cs="仿宋_GB2312"/>
          <w:color w:val="000000"/>
        </w:rPr>
        <w:t>6</w:t>
      </w:r>
      <w:r>
        <w:rPr>
          <w:rFonts w:hint="eastAsia" w:ascii="仿宋_GB2312" w:hAnsi="仿宋" w:cs="仿宋_GB2312"/>
          <w:color w:val="000000"/>
        </w:rPr>
        <w:t>个内设机构：</w:t>
      </w:r>
      <w:r>
        <w:rPr>
          <w:rFonts w:hint="eastAsia" w:ascii="仿宋_GB2312" w:cs="仿宋_GB2312"/>
          <w:color w:val="000000"/>
          <w:kern w:val="0"/>
          <w:szCs w:val="22"/>
          <w:lang w:val="zh-CN"/>
        </w:rPr>
        <w:t>党政办公室、发展规划科、固定资产投资管理科、价格管理和物价检查科（含富民县价格认证中心）、粮食和物资储备管理科、能源科。</w:t>
      </w:r>
    </w:p>
    <w:p w14:paraId="72A19A86">
      <w:pPr>
        <w:snapToGrid w:val="0"/>
        <w:spacing w:line="560" w:lineRule="exact"/>
        <w:ind w:firstLine="640" w:firstLineChars="200"/>
        <w:jc w:val="left"/>
        <w:outlineLvl w:val="0"/>
        <w:rPr>
          <w:rFonts w:hint="eastAsia"/>
          <w:lang w:eastAsia="zh-CN"/>
        </w:rPr>
      </w:pPr>
      <w:r>
        <w:rPr>
          <w:rFonts w:hint="eastAsia" w:ascii="仿宋_GB2312" w:cs="仿宋_GB2312"/>
          <w:color w:val="000000"/>
          <w:kern w:val="0"/>
          <w:lang w:val="zh-CN"/>
        </w:rPr>
        <w:t>编制情况：机关行政编制</w:t>
      </w:r>
      <w:r>
        <w:rPr>
          <w:rFonts w:ascii="仿宋_GB2312" w:cs="仿宋_GB2312"/>
          <w:color w:val="000000"/>
          <w:kern w:val="0"/>
        </w:rPr>
        <w:t>10</w:t>
      </w:r>
      <w:r>
        <w:rPr>
          <w:rFonts w:hint="eastAsia" w:ascii="仿宋_GB2312" w:cs="仿宋_GB2312"/>
          <w:color w:val="000000"/>
          <w:kern w:val="0"/>
          <w:lang w:val="zh-CN"/>
        </w:rPr>
        <w:t>名</w:t>
      </w:r>
      <w:r>
        <w:rPr>
          <w:rFonts w:hint="eastAsia" w:ascii="仿宋_GB2312" w:cs="仿宋_GB2312"/>
          <w:color w:val="000000"/>
          <w:kern w:val="0"/>
        </w:rPr>
        <w:t>，</w:t>
      </w:r>
      <w:r>
        <w:rPr>
          <w:rFonts w:hint="eastAsia" w:ascii="仿宋_GB2312" w:cs="仿宋_GB2312"/>
          <w:color w:val="000000"/>
          <w:kern w:val="0"/>
          <w:lang w:val="zh-CN"/>
        </w:rPr>
        <w:t>工勤人员编制</w:t>
      </w:r>
      <w:r>
        <w:rPr>
          <w:rFonts w:ascii="仿宋_GB2312" w:cs="仿宋_GB2312"/>
          <w:color w:val="000000"/>
          <w:kern w:val="0"/>
          <w:lang w:val="zh-CN"/>
        </w:rPr>
        <w:t>3</w:t>
      </w:r>
      <w:r>
        <w:rPr>
          <w:rFonts w:hint="eastAsia" w:ascii="仿宋_GB2312" w:cs="仿宋_GB2312"/>
          <w:color w:val="000000"/>
          <w:kern w:val="0"/>
          <w:lang w:val="zh-CN"/>
        </w:rPr>
        <w:t>名，富民县价格认证中心事业编制</w:t>
      </w:r>
      <w:r>
        <w:rPr>
          <w:rFonts w:ascii="仿宋_GB2312" w:cs="仿宋_GB2312"/>
          <w:color w:val="000000"/>
          <w:kern w:val="0"/>
          <w:lang w:val="zh-CN"/>
        </w:rPr>
        <w:t>9</w:t>
      </w:r>
      <w:r>
        <w:rPr>
          <w:rFonts w:hint="eastAsia" w:ascii="仿宋_GB2312" w:cs="仿宋_GB2312"/>
          <w:color w:val="000000"/>
          <w:kern w:val="0"/>
          <w:lang w:val="zh-CN"/>
        </w:rPr>
        <w:t>名，本单位编制数共</w:t>
      </w:r>
      <w:r>
        <w:rPr>
          <w:rFonts w:ascii="仿宋_GB2312" w:cs="仿宋_GB2312"/>
          <w:color w:val="000000"/>
          <w:kern w:val="0"/>
          <w:lang w:val="zh-CN"/>
        </w:rPr>
        <w:t>2</w:t>
      </w:r>
      <w:r>
        <w:rPr>
          <w:rFonts w:ascii="仿宋_GB2312" w:cs="仿宋_GB2312"/>
          <w:color w:val="000000"/>
          <w:kern w:val="0"/>
        </w:rPr>
        <w:t>2</w:t>
      </w:r>
      <w:r>
        <w:rPr>
          <w:rFonts w:hint="eastAsia" w:ascii="仿宋_GB2312" w:cs="仿宋_GB2312"/>
          <w:color w:val="000000"/>
          <w:kern w:val="0"/>
          <w:lang w:val="zh-CN"/>
        </w:rPr>
        <w:t>名。截止</w:t>
      </w:r>
      <w:r>
        <w:rPr>
          <w:rFonts w:ascii="仿宋_GB2312" w:cs="仿宋_GB2312"/>
          <w:color w:val="000000"/>
          <w:kern w:val="0"/>
          <w:lang w:val="zh-CN"/>
        </w:rPr>
        <w:t>20</w:t>
      </w:r>
      <w:r>
        <w:rPr>
          <w:rFonts w:hint="eastAsia" w:ascii="仿宋_GB2312" w:cs="仿宋_GB2312"/>
          <w:color w:val="000000"/>
          <w:kern w:val="0"/>
          <w:lang w:val="en-US" w:eastAsia="zh-CN"/>
        </w:rPr>
        <w:t>20</w:t>
      </w:r>
      <w:r>
        <w:rPr>
          <w:rFonts w:hint="eastAsia" w:ascii="仿宋_GB2312" w:cs="仿宋_GB2312"/>
          <w:color w:val="000000"/>
          <w:kern w:val="0"/>
          <w:lang w:val="zh-CN"/>
        </w:rPr>
        <w:t>年</w:t>
      </w:r>
      <w:r>
        <w:rPr>
          <w:rFonts w:ascii="仿宋_GB2312" w:cs="仿宋_GB2312"/>
          <w:color w:val="000000"/>
          <w:kern w:val="0"/>
          <w:lang w:val="zh-CN"/>
        </w:rPr>
        <w:t>12</w:t>
      </w:r>
      <w:r>
        <w:rPr>
          <w:rFonts w:hint="eastAsia" w:ascii="仿宋_GB2312" w:cs="仿宋_GB2312"/>
          <w:color w:val="000000"/>
          <w:kern w:val="0"/>
          <w:lang w:val="zh-CN"/>
        </w:rPr>
        <w:t>月</w:t>
      </w:r>
      <w:r>
        <w:rPr>
          <w:rFonts w:ascii="仿宋_GB2312" w:cs="仿宋_GB2312"/>
          <w:color w:val="000000"/>
          <w:kern w:val="0"/>
          <w:lang w:val="zh-CN"/>
        </w:rPr>
        <w:t>31</w:t>
      </w:r>
      <w:r>
        <w:rPr>
          <w:rFonts w:hint="eastAsia" w:ascii="仿宋_GB2312" w:cs="仿宋_GB2312"/>
          <w:color w:val="000000"/>
          <w:kern w:val="0"/>
          <w:lang w:val="zh-CN"/>
        </w:rPr>
        <w:t>日，在职人员实有</w:t>
      </w:r>
      <w:r>
        <w:rPr>
          <w:rFonts w:ascii="仿宋_GB2312" w:cs="仿宋_GB2312"/>
          <w:color w:val="auto"/>
          <w:kern w:val="0"/>
        </w:rPr>
        <w:t>29</w:t>
      </w:r>
      <w:r>
        <w:rPr>
          <w:rFonts w:hint="eastAsia" w:ascii="仿宋_GB2312" w:cs="仿宋_GB2312"/>
          <w:color w:val="000000"/>
          <w:kern w:val="0"/>
          <w:lang w:val="zh-CN"/>
        </w:rPr>
        <w:t>名。</w:t>
      </w:r>
    </w:p>
    <w:p w14:paraId="765BD554">
      <w:pPr>
        <w:topLinePunct/>
        <w:ind w:firstLine="800" w:firstLineChars="250"/>
        <w:rPr>
          <w:rFonts w:hint="eastAsia" w:ascii="仿宋_GB2312" w:hAnsi="楷体"/>
          <w:szCs w:val="32"/>
        </w:rPr>
      </w:pPr>
      <w:r>
        <w:rPr>
          <w:rFonts w:hint="eastAsia" w:ascii="仿宋_GB2312" w:hAnsi="楷体"/>
          <w:szCs w:val="32"/>
        </w:rPr>
        <w:t>（二）部门职能。</w:t>
      </w:r>
    </w:p>
    <w:p w14:paraId="276A3514">
      <w:pPr>
        <w:widowControl/>
        <w:spacing w:line="560" w:lineRule="exact"/>
        <w:ind w:firstLine="636" w:firstLineChars="199"/>
        <w:jc w:val="left"/>
      </w:pPr>
      <w:r>
        <w:t>1.</w:t>
      </w:r>
      <w:r>
        <w:rPr>
          <w:rFonts w:hint="eastAsia" w:cs="仿宋_GB2312"/>
        </w:rPr>
        <w:t>拟订组织实施全县国民经济和社会发展战略，中长期规划和年度计划，研究提出全县国民经济和优化经济结构的目标和产业政策建议，提出促进全县经济社会发展的建议。</w:t>
      </w:r>
    </w:p>
    <w:p w14:paraId="3B723781">
      <w:pPr>
        <w:widowControl/>
        <w:spacing w:line="560" w:lineRule="exact"/>
        <w:ind w:firstLine="636" w:firstLineChars="199"/>
        <w:jc w:val="left"/>
      </w:pPr>
      <w:r>
        <w:t>2.</w:t>
      </w:r>
      <w:r>
        <w:rPr>
          <w:rFonts w:hint="eastAsia" w:cs="仿宋_GB2312"/>
        </w:rPr>
        <w:t>研究分析全县经济发展形势和财政、金融、价格走势，定期进行宏观经济的预测、预警。研究全县国民经济和社会发展的重大问题，提出政策建议，统筹协调经济社会发展。</w:t>
      </w:r>
    </w:p>
    <w:p w14:paraId="25139304">
      <w:pPr>
        <w:widowControl/>
        <w:spacing w:line="560" w:lineRule="exact"/>
        <w:ind w:firstLine="636" w:firstLineChars="199"/>
        <w:jc w:val="left"/>
      </w:pPr>
      <w:r>
        <w:t>3.</w:t>
      </w:r>
      <w:r>
        <w:rPr>
          <w:rFonts w:hint="eastAsia" w:cs="仿宋_GB2312"/>
        </w:rPr>
        <w:t>根据各专项规划，综合提出我县全社会固定资产方向和重点，研究投资体制改革措施和生产力的合理布局，平衡国家分配和县安排的财政性建设投资，指导政策性贷款的使用方向，引导民间投资投向。申报和下达国家、省、市拨款的建设项目实施计划，协调重大招商引资项目及基本建设项目的前期工作，建立项目储备库。</w:t>
      </w:r>
    </w:p>
    <w:p w14:paraId="7F437A6D">
      <w:pPr>
        <w:widowControl/>
        <w:spacing w:line="560" w:lineRule="exact"/>
        <w:ind w:firstLine="636" w:firstLineChars="199"/>
        <w:jc w:val="left"/>
      </w:pPr>
      <w:r>
        <w:t>4.</w:t>
      </w:r>
      <w:r>
        <w:rPr>
          <w:rFonts w:hint="eastAsia" w:cs="仿宋_GB2312"/>
        </w:rPr>
        <w:t>贯彻执行国家、省、市有关行政审批制度改革、政务服务、政府公共服务热线等方面的方针政策、法律法规和决策部署，按照规定权限审批、核准、备案投资建设项目。</w:t>
      </w:r>
    </w:p>
    <w:p w14:paraId="3DC107BE">
      <w:pPr>
        <w:widowControl/>
        <w:spacing w:line="560" w:lineRule="exact"/>
        <w:ind w:firstLine="636" w:firstLineChars="199"/>
        <w:jc w:val="left"/>
      </w:pPr>
      <w:r>
        <w:t>5.</w:t>
      </w:r>
      <w:r>
        <w:rPr>
          <w:rFonts w:hint="eastAsia" w:cs="仿宋_GB2312"/>
        </w:rPr>
        <w:t>贯彻实施国家和省、市有关价格法律、法规和方针政策，按照价格管理权限，管理国家和省、市列名管理的重要商品、服务价格，贯彻落实国家和省、市价格监测报告制度，加强重要商品和服务价格监测预警，按照规定承担县级政府定价项目成本调查监审及管理、价格认定、价格公共服务等有关工作。</w:t>
      </w:r>
    </w:p>
    <w:p w14:paraId="4C7D605B">
      <w:pPr>
        <w:widowControl/>
        <w:spacing w:line="560" w:lineRule="exact"/>
        <w:ind w:firstLine="636" w:firstLineChars="199"/>
        <w:jc w:val="left"/>
      </w:pPr>
      <w:r>
        <w:t>6.</w:t>
      </w:r>
      <w:r>
        <w:rPr>
          <w:rFonts w:hint="eastAsia" w:cs="仿宋_GB2312"/>
        </w:rPr>
        <w:t>贯彻执行国家粮食工作的方针、政策和法律、法规，研究拟定全县粮食流通和宏观调控、产业发展、行业监管的发展规划、中长期规划和年度计划，研究提出粮食流通体制改革、产业结构、区域布局规划和方案，并组织实施。负责全县粮食供需总量平衡和市场调控，建立和完善全市粮油储备体系，加强对粮食战略性问题的研究，健全粮食监测预警体系和应急机制，提高粮食供应保障能力。负责全县粮食流通行业监管，规范粮食流通秩序，指导粮食批发、交易市场的培育、建设及经营管理，完善全县粮食市场体系。</w:t>
      </w:r>
    </w:p>
    <w:p w14:paraId="3F2FDCD5">
      <w:pPr>
        <w:widowControl/>
        <w:spacing w:line="560" w:lineRule="exact"/>
        <w:ind w:firstLine="636" w:firstLineChars="199"/>
        <w:jc w:val="left"/>
      </w:pPr>
      <w:r>
        <w:t>7.</w:t>
      </w:r>
      <w:r>
        <w:rPr>
          <w:rFonts w:hint="eastAsia" w:cs="仿宋_GB2312"/>
        </w:rPr>
        <w:t>负责县级重要物资和应急储备物资的管理。提出县级重要物资储备规划、储备品种目录的建议，根据全县储备总体发展规划和品种目录，组织实施县级重要物资和应急储备物资的收储、轮换和日常管理，落实有关动用计划和指令。贯彻落实国家、省、市制定的物资储备仓储管理有关技术标准和规范。监测重要物资供求变化并预测预警。</w:t>
      </w:r>
    </w:p>
    <w:p w14:paraId="57AA1164">
      <w:pPr>
        <w:widowControl/>
        <w:spacing w:line="560" w:lineRule="exact"/>
        <w:ind w:firstLine="636" w:firstLineChars="199"/>
        <w:jc w:val="left"/>
      </w:pPr>
      <w:r>
        <w:t>8.</w:t>
      </w:r>
      <w:r>
        <w:rPr>
          <w:rFonts w:hint="eastAsia" w:cs="仿宋_GB2312"/>
        </w:rPr>
        <w:t>贯彻国家能源发展战略、方针和政策，组织拟订富民县能源发展规划，协调能源建设和发展中的突出问题，配合电网建设、燃气、成品油加油（气）站的规划工作，统筹能源行业管理，监测全县能源发展情况，衔接能源生产建设和供需平衡，组织推进能源发展重大示范工程和推广应用新产品、新技术、新设备，组织油气管道、在建风力发电、在建光伏发电、在建水电站安全管理，消除安全隐患，协调农村电网建设改造和指导农村能源发展工作。</w:t>
      </w:r>
    </w:p>
    <w:p w14:paraId="794F3023">
      <w:pPr>
        <w:widowControl/>
        <w:spacing w:line="560" w:lineRule="exact"/>
        <w:ind w:firstLine="636" w:firstLineChars="199"/>
        <w:jc w:val="left"/>
      </w:pPr>
      <w:r>
        <w:t>9.</w:t>
      </w:r>
      <w:r>
        <w:rPr>
          <w:rFonts w:hint="eastAsia" w:cs="仿宋_GB2312"/>
        </w:rPr>
        <w:t>研究产业布局、产业导向和信息服务，拟订国民经济重要产业的发展规划和政策措施。协调推进全县大健康发展，承担县大健康产业发展领导小组办公室日常工作，拟订大健康产业发展政策、规划、计划等，并做好实施指导工作。牵头负责大健康产业重点项目储备工作，负责协调大健康重点项目落地工作，负责协调富民县大健康产业示范区建设工作。</w:t>
      </w:r>
    </w:p>
    <w:p w14:paraId="2B88F7B4">
      <w:pPr>
        <w:widowControl/>
        <w:spacing w:line="560" w:lineRule="exact"/>
        <w:ind w:firstLine="636" w:firstLineChars="199"/>
        <w:jc w:val="left"/>
      </w:pPr>
      <w:r>
        <w:t>10.</w:t>
      </w:r>
      <w:r>
        <w:rPr>
          <w:rFonts w:hint="eastAsia" w:cs="仿宋_GB2312"/>
        </w:rPr>
        <w:t>做好全县社会事业与国民经济发展的衔接平衡，参与促进就业、调整收入分配、完善社会保障体制、促进经济与社会协调发展的政策研究，协调社会事业发展的重大问题。</w:t>
      </w:r>
    </w:p>
    <w:p w14:paraId="4977EA1C">
      <w:pPr>
        <w:widowControl/>
        <w:spacing w:line="560" w:lineRule="exact"/>
        <w:ind w:firstLine="636" w:firstLineChars="199"/>
        <w:jc w:val="left"/>
      </w:pPr>
      <w:r>
        <w:t>11.</w:t>
      </w:r>
      <w:r>
        <w:rPr>
          <w:rFonts w:hint="eastAsia" w:cs="仿宋_GB2312"/>
        </w:rPr>
        <w:t>组织编制国民经济动员规划，协调和组织实施国民经济动员工作。</w:t>
      </w:r>
    </w:p>
    <w:p w14:paraId="172AF1CE">
      <w:pPr>
        <w:widowControl/>
        <w:spacing w:line="560" w:lineRule="exact"/>
        <w:ind w:firstLine="636" w:firstLineChars="199"/>
        <w:jc w:val="left"/>
      </w:pPr>
      <w:r>
        <w:t>12.</w:t>
      </w:r>
      <w:r>
        <w:rPr>
          <w:rFonts w:hint="eastAsia" w:cs="仿宋_GB2312"/>
        </w:rPr>
        <w:t>贯彻落实上级社会信用体系建设安排部署，统筹协调推进全县信用体系建设工作。</w:t>
      </w:r>
    </w:p>
    <w:p w14:paraId="1DE7B0A4">
      <w:pPr>
        <w:pStyle w:val="2"/>
        <w:rPr>
          <w:rFonts w:hint="eastAsia" w:cs="仿宋_GB2312"/>
        </w:rPr>
      </w:pPr>
      <w:r>
        <w:t>13.</w:t>
      </w:r>
      <w:r>
        <w:rPr>
          <w:rFonts w:hint="eastAsia" w:cs="仿宋_GB2312"/>
        </w:rPr>
        <w:t>完成县委、县政府和上级部门交办的其他任务。</w:t>
      </w:r>
    </w:p>
    <w:p w14:paraId="4F7C0F08">
      <w:pPr>
        <w:topLinePunct/>
        <w:ind w:firstLine="800" w:firstLineChars="250"/>
        <w:rPr>
          <w:rFonts w:hint="eastAsia" w:ascii="仿宋_GB2312" w:hAnsi="楷体"/>
          <w:szCs w:val="32"/>
        </w:rPr>
      </w:pPr>
      <w:r>
        <w:rPr>
          <w:rFonts w:hint="eastAsia" w:ascii="仿宋_GB2312" w:hAnsi="楷体"/>
          <w:szCs w:val="32"/>
        </w:rPr>
        <w:t>（三）部门工作完成情况。</w:t>
      </w:r>
    </w:p>
    <w:p w14:paraId="56A018B0">
      <w:pPr>
        <w:pStyle w:val="6"/>
        <w:keepNext w:val="0"/>
        <w:keepLines w:val="0"/>
        <w:pageBreakBefore w:val="0"/>
        <w:widowControl w:val="0"/>
        <w:suppressLineNumbers w:val="0"/>
        <w:kinsoku/>
        <w:wordWrap/>
        <w:overflowPunct/>
        <w:bidi w:val="0"/>
        <w:spacing w:before="0" w:beforeAutospacing="0" w:after="0" w:afterAutospacing="0" w:line="560" w:lineRule="exact"/>
        <w:ind w:left="0" w:right="0" w:firstLine="640" w:firstLineChars="200"/>
        <w:jc w:val="left"/>
        <w:textAlignment w:val="auto"/>
        <w:rPr>
          <w:rFonts w:hint="eastAsia" w:ascii="仿宋_GB2312" w:hAnsi="仿宋" w:eastAsia="仿宋_GB2312" w:cs="仿宋_GB2312"/>
          <w:color w:val="000000"/>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w:t>
      </w:r>
      <w:r>
        <w:rPr>
          <w:rFonts w:hint="eastAsia" w:ascii="仿宋_GB2312" w:hAnsi="仿宋" w:eastAsia="仿宋_GB2312" w:cs="仿宋_GB2312"/>
          <w:color w:val="000000"/>
          <w:kern w:val="2"/>
          <w:sz w:val="32"/>
          <w:szCs w:val="22"/>
          <w:lang w:val="en-US" w:eastAsia="zh-CN" w:bidi="ar-SA"/>
        </w:rPr>
        <w:t>拟定2020年重点项目建设计划。富民县2020年实施重点投资项目共82项，其中：政府投资项目44项，计划总投资151.14亿元，2020年计划投资30.06亿元；社会投资项目38项，计划总投资93.66亿元，2020年计划投资32.33亿元。</w:t>
      </w:r>
    </w:p>
    <w:p w14:paraId="241242E4">
      <w:pPr>
        <w:keepNext w:val="0"/>
        <w:keepLines w:val="0"/>
        <w:pageBreakBefore w:val="0"/>
        <w:widowControl w:val="0"/>
        <w:suppressLineNumbers w:val="0"/>
        <w:kinsoku/>
        <w:wordWrap/>
        <w:overflowPunct/>
        <w:topLinePunct/>
        <w:bidi w:val="0"/>
        <w:spacing w:before="0" w:beforeAutospacing="0" w:after="0" w:afterAutospacing="0" w:line="560" w:lineRule="exact"/>
        <w:ind w:left="0" w:right="0" w:firstLine="640" w:firstLineChars="200"/>
        <w:jc w:val="left"/>
        <w:textAlignment w:val="auto"/>
        <w:rPr>
          <w:rFonts w:hint="eastAsia" w:ascii="仿宋_GB2312" w:hAnsi="仿宋" w:eastAsia="仿宋_GB2312" w:cs="仿宋_GB2312"/>
          <w:color w:val="000000"/>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2.</w:t>
      </w:r>
      <w:r>
        <w:rPr>
          <w:rFonts w:hint="eastAsia" w:ascii="仿宋_GB2312" w:hAnsi="仿宋" w:eastAsia="仿宋_GB2312" w:cs="仿宋_GB2312"/>
          <w:color w:val="000000"/>
          <w:kern w:val="2"/>
          <w:sz w:val="32"/>
          <w:szCs w:val="22"/>
          <w:lang w:val="en-US" w:eastAsia="zh-CN" w:bidi="ar-SA"/>
        </w:rPr>
        <w:t>积极争取上级资金。获得2020年地方政府专债资金支持，下达专债资金合计13.14亿元。共有10个项目获得中央预算内资金补助，下达资金合计10725万元。共有10个项目获得2020年市级预算内前期费1800万元。</w:t>
      </w:r>
    </w:p>
    <w:p w14:paraId="6700AE45">
      <w:pPr>
        <w:pStyle w:val="3"/>
        <w:ind w:left="0" w:leftChars="0" w:firstLine="640" w:firstLineChars="200"/>
        <w:rPr>
          <w:rFonts w:hint="eastAsia" w:ascii="仿宋_GB2312" w:hAnsi="仿宋" w:eastAsia="仿宋_GB2312" w:cs="仿宋_GB2312"/>
          <w:color w:val="000000"/>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3.</w:t>
      </w:r>
      <w:r>
        <w:rPr>
          <w:rFonts w:hint="eastAsia" w:ascii="仿宋_GB2312" w:hAnsi="仿宋" w:eastAsia="仿宋_GB2312" w:cs="仿宋_GB2312"/>
          <w:color w:val="000000"/>
          <w:kern w:val="2"/>
          <w:sz w:val="32"/>
          <w:szCs w:val="22"/>
          <w:lang w:val="en-US" w:eastAsia="zh-CN" w:bidi="ar-SA"/>
        </w:rPr>
        <w:t>2020年预计全年实现地区生产总值105亿元，为“十二五”末（2015年）59.1亿元的1.78倍， 三次产业结构比重由“十二五”末17∶50∶33调整为2020年的14:40:46，结构进一步优化。</w:t>
      </w:r>
    </w:p>
    <w:p w14:paraId="79FD2458">
      <w:pPr>
        <w:pStyle w:val="3"/>
        <w:ind w:left="0" w:leftChars="0" w:firstLine="640" w:firstLineChars="200"/>
        <w:rPr>
          <w:rFonts w:hint="eastAsia" w:ascii="仿宋_GB2312" w:hAnsi="仿宋" w:eastAsia="仿宋_GB2312" w:cs="仿宋_GB2312"/>
          <w:color w:val="000000"/>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4.</w:t>
      </w:r>
      <w:r>
        <w:rPr>
          <w:rFonts w:hint="eastAsia" w:ascii="仿宋_GB2312" w:hAnsi="仿宋" w:eastAsia="仿宋_GB2312" w:cs="仿宋_GB2312"/>
          <w:color w:val="000000"/>
          <w:kern w:val="2"/>
          <w:sz w:val="32"/>
          <w:szCs w:val="22"/>
          <w:lang w:val="en-US" w:eastAsia="zh-CN" w:bidi="ar-SA"/>
        </w:rPr>
        <w:t>2020年地方公共财政预算收入达到5.98亿元，同比增长3%。社会消费品零售总额39.7亿元，同比增长0.5%。城镇常住居民人均可支配收入32232元，同比增长3.3%。农村常住居民人均可支配收入13579元，同比增长7.6%。</w:t>
      </w:r>
    </w:p>
    <w:p w14:paraId="038703EB">
      <w:pPr>
        <w:keepNext w:val="0"/>
        <w:keepLines w:val="0"/>
        <w:pageBreakBefore w:val="0"/>
        <w:kinsoku/>
        <w:wordWrap/>
        <w:overflowPunct/>
        <w:bidi w:val="0"/>
        <w:spacing w:line="560" w:lineRule="exact"/>
        <w:ind w:firstLine="640" w:firstLineChars="200"/>
        <w:textAlignment w:val="auto"/>
        <w:rPr>
          <w:rFonts w:hint="eastAsia" w:ascii="仿宋_GB2312" w:hAnsi="仿宋" w:eastAsia="仿宋_GB2312" w:cs="仿宋_GB2312"/>
          <w:color w:val="000000"/>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5.</w:t>
      </w:r>
      <w:r>
        <w:rPr>
          <w:rFonts w:hint="eastAsia" w:ascii="仿宋_GB2312" w:hAnsi="仿宋" w:eastAsia="仿宋_GB2312" w:cs="仿宋_GB2312"/>
          <w:color w:val="000000"/>
          <w:kern w:val="2"/>
          <w:sz w:val="32"/>
          <w:szCs w:val="22"/>
          <w:lang w:val="en-US" w:eastAsia="zh-CN" w:bidi="ar-SA"/>
        </w:rPr>
        <w:t>抓好新冠肺炎疫情期间和节假日价格监测预警。完成2020年行政事业性收费统计工作，统计率100%，合格率100%；编制并公布2020年行政事业性收费目录3期；完成收费备案11个。办理涉案物品价格认证案件224件，涉案金额272万元，案件评估复议率为零。</w:t>
      </w:r>
    </w:p>
    <w:p w14:paraId="4B876C69">
      <w:pPr>
        <w:keepNext w:val="0"/>
        <w:keepLines w:val="0"/>
        <w:pageBreakBefore w:val="0"/>
        <w:kinsoku/>
        <w:wordWrap/>
        <w:overflowPunct/>
        <w:bidi w:val="0"/>
        <w:spacing w:line="560" w:lineRule="exact"/>
        <w:ind w:firstLine="640" w:firstLineChars="200"/>
        <w:textAlignment w:val="auto"/>
      </w:pPr>
      <w:r>
        <w:rPr>
          <w:rFonts w:hint="eastAsia" w:ascii="Times New Roman" w:hAnsi="Times New Roman" w:eastAsia="仿宋_GB2312" w:cs="Times New Roman"/>
          <w:kern w:val="2"/>
          <w:sz w:val="32"/>
          <w:szCs w:val="22"/>
          <w:lang w:val="en-US" w:eastAsia="zh-CN" w:bidi="ar-SA"/>
        </w:rPr>
        <w:t>6.</w:t>
      </w:r>
      <w:r>
        <w:rPr>
          <w:rFonts w:hint="eastAsia" w:ascii="仿宋_GB2312" w:hAnsi="仿宋" w:eastAsia="仿宋_GB2312" w:cs="仿宋_GB2312"/>
          <w:color w:val="000000"/>
          <w:kern w:val="2"/>
          <w:sz w:val="32"/>
          <w:szCs w:val="22"/>
          <w:lang w:val="en-US" w:eastAsia="zh-CN" w:bidi="ar-SA"/>
        </w:rPr>
        <w:t>稳步推进富民县“美丽县城”建设工作。编制了富民县“美丽县城”三年行动计划（2019-2021年）重点项目库，计划实施项目53个，计划总投资20.7亿元。2020年计划实施项目41个（含2019年结转项目10项），计划完成投资8.81亿元，1—10月完成投资7.37亿元，投资完成率83.7%。</w:t>
      </w:r>
    </w:p>
    <w:p w14:paraId="611C4323">
      <w:pPr>
        <w:topLinePunct/>
        <w:ind w:firstLine="800" w:firstLineChars="250"/>
        <w:rPr>
          <w:rFonts w:hint="eastAsia" w:ascii="仿宋_GB2312" w:hAnsi="楷体"/>
          <w:szCs w:val="32"/>
        </w:rPr>
      </w:pPr>
      <w:r>
        <w:rPr>
          <w:rFonts w:hint="eastAsia" w:ascii="仿宋_GB2312" w:hAnsi="楷体"/>
          <w:szCs w:val="32"/>
        </w:rPr>
        <w:t>（四）部门管理制度。</w:t>
      </w:r>
    </w:p>
    <w:p w14:paraId="58E4C6C8">
      <w:pPr>
        <w:keepNext w:val="0"/>
        <w:keepLines w:val="0"/>
        <w:pageBreakBefore w:val="0"/>
        <w:kinsoku/>
        <w:wordWrap/>
        <w:overflowPunct/>
        <w:bidi w:val="0"/>
        <w:spacing w:line="560" w:lineRule="exact"/>
        <w:ind w:firstLine="640" w:firstLineChars="200"/>
        <w:textAlignment w:val="auto"/>
      </w:pPr>
      <w:r>
        <w:rPr>
          <w:rFonts w:hint="eastAsia" w:ascii="仿宋_GB2312" w:hAnsi="仿宋" w:eastAsia="仿宋_GB2312" w:cs="仿宋_GB2312"/>
          <w:color w:val="000000"/>
          <w:kern w:val="2"/>
          <w:sz w:val="32"/>
          <w:szCs w:val="22"/>
          <w:lang w:val="en-US" w:eastAsia="zh-CN" w:bidi="ar-SA"/>
        </w:rPr>
        <w:t>严格执行《中华人民共和国会计法》、《中华人民共和国预算法》、《行政单位财务规则》等国家法律法规，同时结合本部门具体工作实际情况，严格遵守《富民县发展和改革局财务管理制度》，并严格按财政、纪委的相关规定执行，收入、支出都严格按财务管理规定执行，严格票据管理、使用，强制执行公务卡结算制度，会议费、公务接待费严格执行报批制度，2万元以上支出报经党委会</w:t>
      </w:r>
      <w:r>
        <w:rPr>
          <w:rFonts w:hint="eastAsia" w:ascii="仿宋_GB2312" w:hAnsi="仿宋" w:cs="仿宋_GB2312"/>
          <w:color w:val="000000"/>
          <w:kern w:val="2"/>
          <w:sz w:val="32"/>
          <w:szCs w:val="22"/>
          <w:lang w:val="en-US" w:eastAsia="zh-CN" w:bidi="ar-SA"/>
        </w:rPr>
        <w:t>讨论</w:t>
      </w:r>
      <w:r>
        <w:rPr>
          <w:rFonts w:hint="eastAsia" w:ascii="仿宋_GB2312" w:hAnsi="仿宋" w:eastAsia="仿宋_GB2312" w:cs="仿宋_GB2312"/>
          <w:color w:val="000000"/>
          <w:kern w:val="2"/>
          <w:sz w:val="32"/>
          <w:szCs w:val="22"/>
          <w:lang w:val="en-US" w:eastAsia="zh-CN" w:bidi="ar-SA"/>
        </w:rPr>
        <w:t>通过等单位内控制度</w:t>
      </w:r>
      <w:r>
        <w:rPr>
          <w:rFonts w:hint="eastAsia" w:ascii="仿宋_GB2312" w:hAnsi="仿宋" w:cs="仿宋_GB2312"/>
          <w:color w:val="000000"/>
          <w:kern w:val="2"/>
          <w:sz w:val="32"/>
          <w:szCs w:val="22"/>
          <w:lang w:val="en-US" w:eastAsia="zh-CN" w:bidi="ar-SA"/>
        </w:rPr>
        <w:t>。</w:t>
      </w:r>
    </w:p>
    <w:p w14:paraId="6B231652">
      <w:pPr>
        <w:numPr>
          <w:ilvl w:val="0"/>
          <w:numId w:val="1"/>
        </w:numPr>
        <w:topLinePunct/>
        <w:spacing w:line="560" w:lineRule="exact"/>
        <w:ind w:firstLine="640" w:firstLineChars="200"/>
        <w:rPr>
          <w:rFonts w:hint="eastAsia" w:ascii="仿宋_GB2312" w:hAnsi="楷体"/>
          <w:szCs w:val="32"/>
        </w:rPr>
      </w:pPr>
      <w:r>
        <w:rPr>
          <w:rFonts w:hint="eastAsia" w:ascii="仿宋_GB2312" w:hAnsi="楷体"/>
          <w:szCs w:val="32"/>
        </w:rPr>
        <w:t>部门资金来源及使用情况。</w:t>
      </w:r>
    </w:p>
    <w:p w14:paraId="3191D5E6">
      <w:pPr>
        <w:keepNext w:val="0"/>
        <w:keepLines w:val="0"/>
        <w:pageBreakBefore w:val="0"/>
        <w:kinsoku/>
        <w:wordWrap/>
        <w:overflowPunct/>
        <w:bidi w:val="0"/>
        <w:spacing w:line="560" w:lineRule="exact"/>
        <w:ind w:firstLine="640" w:firstLineChars="200"/>
        <w:textAlignment w:val="auto"/>
        <w:rPr>
          <w:rFonts w:hint="eastAsia" w:ascii="仿宋_GB2312" w:hAnsi="仿宋" w:eastAsia="仿宋_GB2312" w:cs="仿宋_GB2312"/>
          <w:color w:val="000000"/>
          <w:kern w:val="2"/>
          <w:sz w:val="32"/>
          <w:szCs w:val="22"/>
          <w:lang w:val="en-US" w:eastAsia="zh-CN" w:bidi="ar-SA"/>
        </w:rPr>
      </w:pPr>
      <w:r>
        <w:rPr>
          <w:rFonts w:hint="eastAsia" w:ascii="仿宋_GB2312" w:hAnsi="仿宋" w:eastAsia="仿宋_GB2312" w:cs="仿宋_GB2312"/>
          <w:color w:val="000000"/>
          <w:kern w:val="2"/>
          <w:sz w:val="32"/>
          <w:szCs w:val="22"/>
          <w:lang w:val="en-US" w:eastAsia="zh-CN" w:bidi="ar-SA"/>
        </w:rPr>
        <w:t>县发改局严格按照年初预算</w:t>
      </w:r>
      <w:r>
        <w:rPr>
          <w:rFonts w:hint="eastAsia" w:ascii="仿宋_GB2312" w:hAnsi="仿宋" w:cs="仿宋_GB2312"/>
          <w:color w:val="000000"/>
          <w:kern w:val="2"/>
          <w:sz w:val="32"/>
          <w:szCs w:val="22"/>
          <w:lang w:val="en-US" w:eastAsia="zh-CN" w:bidi="ar-SA"/>
        </w:rPr>
        <w:t>控制</w:t>
      </w:r>
      <w:r>
        <w:rPr>
          <w:rFonts w:hint="eastAsia" w:ascii="仿宋_GB2312" w:hAnsi="仿宋" w:eastAsia="仿宋_GB2312" w:cs="仿宋_GB2312"/>
          <w:color w:val="000000"/>
          <w:kern w:val="2"/>
          <w:sz w:val="32"/>
          <w:szCs w:val="22"/>
          <w:lang w:val="en-US" w:eastAsia="zh-CN" w:bidi="ar-SA"/>
        </w:rPr>
        <w:t>支出。在支出过程中，能严格遵守各项财务管理制度，所有项目都详细制定了方案，严格按方案组织实施，并加强了监督。尤其是在专项经费支出上，做到了专款专用，按项目实施计划的进度情况进行资金拨付，无截留、无挪用等现象。</w:t>
      </w:r>
    </w:p>
    <w:p w14:paraId="5E89B5D3">
      <w:pPr>
        <w:numPr>
          <w:ilvl w:val="0"/>
          <w:numId w:val="0"/>
        </w:numPr>
        <w:spacing w:line="560" w:lineRule="exact"/>
        <w:ind w:firstLine="640" w:firstLineChars="200"/>
        <w:rPr>
          <w:rFonts w:hint="eastAsia" w:ascii="仿宋_GB2312" w:hAnsi="楷体"/>
          <w:b/>
          <w:bCs/>
          <w:szCs w:val="32"/>
          <w:lang w:val="en-US" w:eastAsia="zh-CN"/>
        </w:rPr>
      </w:pPr>
      <w:r>
        <w:rPr>
          <w:rFonts w:hint="eastAsia" w:ascii="Times New Roman" w:hAnsi="Times New Roman" w:eastAsia="仿宋_GB2312" w:cs="Times New Roman"/>
          <w:kern w:val="2"/>
          <w:sz w:val="32"/>
          <w:szCs w:val="22"/>
          <w:lang w:val="en-US" w:eastAsia="zh-CN" w:bidi="ar-SA"/>
        </w:rPr>
        <w:t>1.</w:t>
      </w:r>
      <w:r>
        <w:rPr>
          <w:rFonts w:hint="eastAsia" w:ascii="楷体" w:hAnsi="楷体" w:eastAsia="楷体" w:cs="楷体"/>
          <w:color w:val="000000"/>
          <w:kern w:val="0"/>
          <w:szCs w:val="22"/>
          <w:lang w:val="en-US" w:eastAsia="zh-CN"/>
        </w:rPr>
        <w:t>部门资金来源情况</w:t>
      </w:r>
    </w:p>
    <w:p w14:paraId="3A37DF67">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本单位</w:t>
      </w:r>
      <w:r>
        <w:rPr>
          <w:rFonts w:hint="eastAsia" w:ascii="仿宋_GB2312" w:hAnsi="宋体" w:cs="仿宋_GB2312"/>
          <w:color w:val="000000"/>
          <w:kern w:val="0"/>
          <w:szCs w:val="22"/>
          <w:lang w:val="en-US" w:eastAsia="zh-CN"/>
        </w:rPr>
        <w:t>2020</w:t>
      </w:r>
      <w:r>
        <w:rPr>
          <w:rFonts w:hint="eastAsia" w:ascii="仿宋_GB2312" w:hAnsi="宋体" w:cs="仿宋_GB2312"/>
          <w:color w:val="000000"/>
          <w:kern w:val="0"/>
          <w:szCs w:val="22"/>
        </w:rPr>
        <w:t>年收入合计</w:t>
      </w:r>
      <w:r>
        <w:rPr>
          <w:rFonts w:hint="eastAsia" w:ascii="仿宋_GB2312" w:hAnsi="宋体" w:cs="仿宋_GB2312"/>
          <w:color w:val="000000"/>
          <w:kern w:val="0"/>
          <w:szCs w:val="22"/>
          <w:lang w:val="en-US" w:eastAsia="zh-CN"/>
        </w:rPr>
        <w:t>8070737.42</w:t>
      </w:r>
      <w:r>
        <w:rPr>
          <w:rFonts w:hint="eastAsia" w:ascii="仿宋_GB2312" w:hAnsi="宋体" w:cs="仿宋_GB2312"/>
          <w:color w:val="000000"/>
          <w:kern w:val="0"/>
          <w:szCs w:val="22"/>
        </w:rPr>
        <w:t>元（不含非财政拨款收入</w:t>
      </w:r>
      <w:r>
        <w:rPr>
          <w:rFonts w:hint="eastAsia" w:ascii="仿宋_GB2312" w:hAnsi="宋体" w:cs="仿宋_GB2312"/>
          <w:color w:val="000000"/>
          <w:kern w:val="0"/>
          <w:szCs w:val="22"/>
          <w:lang w:val="en-US" w:eastAsia="zh-CN"/>
        </w:rPr>
        <w:t>20036067.60</w:t>
      </w:r>
      <w:r>
        <w:rPr>
          <w:rFonts w:hint="eastAsia" w:ascii="仿宋_GB2312" w:hAnsi="宋体" w:cs="仿宋_GB2312"/>
          <w:color w:val="000000"/>
          <w:kern w:val="0"/>
          <w:szCs w:val="22"/>
        </w:rPr>
        <w:t>元），</w:t>
      </w:r>
      <w:r>
        <w:rPr>
          <w:rFonts w:hint="eastAsia" w:ascii="仿宋_GB2312" w:hAnsi="宋体" w:cs="仿宋_GB2312"/>
          <w:color w:val="000000"/>
          <w:kern w:val="0"/>
          <w:szCs w:val="22"/>
          <w:lang w:eastAsia="zh-CN"/>
        </w:rPr>
        <w:t>其中：一般公共</w:t>
      </w:r>
      <w:r>
        <w:rPr>
          <w:rFonts w:hint="eastAsia" w:ascii="仿宋_GB2312" w:hAnsi="宋体" w:cs="仿宋_GB2312"/>
          <w:color w:val="000000"/>
          <w:kern w:val="0"/>
          <w:szCs w:val="22"/>
        </w:rPr>
        <w:t>财政拨款收入</w:t>
      </w:r>
      <w:r>
        <w:rPr>
          <w:rFonts w:hint="eastAsia" w:ascii="仿宋_GB2312" w:hAnsi="宋体" w:cs="仿宋_GB2312"/>
          <w:color w:val="000000"/>
          <w:kern w:val="0"/>
          <w:szCs w:val="22"/>
          <w:lang w:val="en-US" w:eastAsia="zh-CN"/>
        </w:rPr>
        <w:t>6816940.42元，政府性基金预算财政拨款收入1253797元，合计8070737.42</w:t>
      </w:r>
      <w:r>
        <w:rPr>
          <w:rFonts w:hint="eastAsia" w:ascii="仿宋_GB2312" w:hAnsi="宋体" w:cs="仿宋_GB2312"/>
          <w:color w:val="000000"/>
          <w:kern w:val="0"/>
          <w:szCs w:val="22"/>
        </w:rPr>
        <w:t>元，占全年收入的100%</w:t>
      </w:r>
      <w:r>
        <w:rPr>
          <w:rFonts w:hint="eastAsia" w:ascii="仿宋_GB2312" w:hAnsi="宋体" w:cs="仿宋_GB2312"/>
          <w:color w:val="000000"/>
          <w:kern w:val="0"/>
          <w:szCs w:val="22"/>
          <w:lang w:val="en-US" w:eastAsia="zh-CN"/>
        </w:rPr>
        <w:t>。</w:t>
      </w:r>
      <w:r>
        <w:rPr>
          <w:rFonts w:hint="eastAsia" w:ascii="仿宋_GB2312" w:hAnsi="宋体" w:cs="仿宋_GB2312"/>
          <w:color w:val="000000"/>
          <w:kern w:val="0"/>
          <w:szCs w:val="22"/>
        </w:rPr>
        <w:t>其中：</w:t>
      </w:r>
    </w:p>
    <w:p w14:paraId="19C0224B">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2010401</w:t>
      </w:r>
      <w:r>
        <w:rPr>
          <w:rFonts w:hint="eastAsia" w:ascii="仿宋_GB2312" w:hAnsi="宋体" w:cs="仿宋_GB2312"/>
          <w:color w:val="000000"/>
          <w:kern w:val="0"/>
          <w:szCs w:val="22"/>
          <w:lang w:val="en-US" w:eastAsia="zh-CN"/>
        </w:rPr>
        <w:t xml:space="preserve"> </w:t>
      </w:r>
      <w:r>
        <w:rPr>
          <w:rFonts w:hint="eastAsia" w:ascii="仿宋_GB2312" w:hAnsi="宋体" w:cs="仿宋_GB2312"/>
          <w:color w:val="000000"/>
          <w:kern w:val="0"/>
          <w:szCs w:val="22"/>
        </w:rPr>
        <w:t>行政运行收入</w:t>
      </w:r>
      <w:r>
        <w:rPr>
          <w:rFonts w:hint="eastAsia" w:ascii="仿宋_GB2312" w:hAnsi="宋体" w:cs="仿宋_GB2312"/>
          <w:color w:val="000000"/>
          <w:kern w:val="0"/>
          <w:szCs w:val="22"/>
          <w:lang w:val="en-US" w:eastAsia="zh-CN"/>
        </w:rPr>
        <w:t>4401095.85</w:t>
      </w:r>
      <w:r>
        <w:rPr>
          <w:rFonts w:hint="eastAsia" w:ascii="仿宋_GB2312" w:hAnsi="宋体" w:cs="仿宋_GB2312"/>
          <w:color w:val="000000"/>
          <w:kern w:val="0"/>
          <w:szCs w:val="22"/>
        </w:rPr>
        <w:t>元，占总收入</w:t>
      </w:r>
      <w:r>
        <w:rPr>
          <w:rFonts w:hint="eastAsia" w:ascii="仿宋_GB2312" w:hAnsi="宋体" w:cs="仿宋_GB2312"/>
          <w:color w:val="000000"/>
          <w:kern w:val="0"/>
          <w:szCs w:val="22"/>
          <w:lang w:val="en-US" w:eastAsia="zh-CN"/>
        </w:rPr>
        <w:t>54.53</w:t>
      </w:r>
      <w:r>
        <w:rPr>
          <w:rFonts w:hint="eastAsia" w:ascii="仿宋_GB2312" w:hAnsi="宋体" w:cs="仿宋_GB2312"/>
          <w:color w:val="000000"/>
          <w:kern w:val="0"/>
          <w:szCs w:val="22"/>
        </w:rPr>
        <w:t>%;</w:t>
      </w:r>
    </w:p>
    <w:p w14:paraId="2F8621DF">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2010499</w:t>
      </w:r>
      <w:r>
        <w:rPr>
          <w:rFonts w:hint="eastAsia" w:ascii="仿宋_GB2312" w:hAnsi="宋体" w:cs="仿宋_GB2312"/>
          <w:color w:val="000000"/>
          <w:kern w:val="0"/>
          <w:szCs w:val="22"/>
          <w:lang w:val="en-US" w:eastAsia="zh-CN"/>
        </w:rPr>
        <w:t xml:space="preserve"> </w:t>
      </w:r>
      <w:r>
        <w:rPr>
          <w:rFonts w:hint="eastAsia" w:ascii="仿宋_GB2312" w:hAnsi="宋体" w:cs="仿宋_GB2312"/>
          <w:color w:val="000000"/>
          <w:kern w:val="0"/>
          <w:szCs w:val="22"/>
        </w:rPr>
        <w:t>其他发展与改革事务支出 12</w:t>
      </w:r>
      <w:r>
        <w:rPr>
          <w:rFonts w:hint="eastAsia" w:ascii="仿宋_GB2312" w:hAnsi="宋体" w:cs="仿宋_GB2312"/>
          <w:color w:val="000000"/>
          <w:kern w:val="0"/>
          <w:szCs w:val="22"/>
          <w:lang w:val="en-US" w:eastAsia="zh-CN"/>
        </w:rPr>
        <w:t>2000</w:t>
      </w:r>
      <w:r>
        <w:rPr>
          <w:rFonts w:hint="eastAsia" w:ascii="仿宋_GB2312" w:hAnsi="宋体" w:cs="仿宋_GB2312"/>
          <w:color w:val="000000"/>
          <w:kern w:val="0"/>
          <w:szCs w:val="22"/>
        </w:rPr>
        <w:t>元，占总收入</w:t>
      </w:r>
      <w:r>
        <w:rPr>
          <w:rFonts w:hint="eastAsia" w:ascii="仿宋_GB2312" w:hAnsi="宋体" w:cs="仿宋_GB2312"/>
          <w:color w:val="000000"/>
          <w:kern w:val="0"/>
          <w:szCs w:val="22"/>
          <w:lang w:val="en-US" w:eastAsia="zh-CN"/>
        </w:rPr>
        <w:t>1.51</w:t>
      </w:r>
      <w:r>
        <w:rPr>
          <w:rFonts w:hint="eastAsia" w:ascii="仿宋_GB2312" w:hAnsi="宋体" w:cs="仿宋_GB2312"/>
          <w:color w:val="000000"/>
          <w:kern w:val="0"/>
          <w:szCs w:val="22"/>
        </w:rPr>
        <w:t>%；</w:t>
      </w:r>
    </w:p>
    <w:p w14:paraId="03F671F8">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2080505机关事业单位基本养老保险缴费支出</w:t>
      </w:r>
      <w:r>
        <w:rPr>
          <w:rFonts w:hint="eastAsia" w:ascii="仿宋_GB2312" w:hAnsi="宋体" w:cs="仿宋_GB2312"/>
          <w:color w:val="000000"/>
          <w:kern w:val="0"/>
          <w:szCs w:val="22"/>
          <w:lang w:val="en-US" w:eastAsia="zh-CN"/>
        </w:rPr>
        <w:t>485536.80</w:t>
      </w:r>
      <w:r>
        <w:rPr>
          <w:rFonts w:hint="eastAsia" w:ascii="仿宋_GB2312" w:hAnsi="宋体" w:cs="仿宋_GB2312"/>
          <w:color w:val="000000"/>
          <w:kern w:val="0"/>
          <w:szCs w:val="22"/>
        </w:rPr>
        <w:t>元，占总收入</w:t>
      </w:r>
      <w:r>
        <w:rPr>
          <w:rFonts w:hint="eastAsia" w:ascii="仿宋_GB2312" w:hAnsi="宋体" w:cs="仿宋_GB2312"/>
          <w:color w:val="000000"/>
          <w:kern w:val="0"/>
          <w:szCs w:val="22"/>
          <w:lang w:val="en-US" w:eastAsia="zh-CN"/>
        </w:rPr>
        <w:t>6.02</w:t>
      </w:r>
      <w:r>
        <w:rPr>
          <w:rFonts w:hint="eastAsia" w:ascii="仿宋_GB2312" w:hAnsi="宋体" w:cs="仿宋_GB2312"/>
          <w:color w:val="000000"/>
          <w:kern w:val="0"/>
          <w:szCs w:val="22"/>
        </w:rPr>
        <w:t>%；</w:t>
      </w:r>
    </w:p>
    <w:p w14:paraId="18177A9A">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2080801 死亡抚恤 1</w:t>
      </w:r>
      <w:r>
        <w:rPr>
          <w:rFonts w:hint="eastAsia" w:ascii="仿宋_GB2312" w:hAnsi="宋体" w:cs="仿宋_GB2312"/>
          <w:color w:val="000000"/>
          <w:kern w:val="0"/>
          <w:szCs w:val="22"/>
          <w:lang w:val="en-US" w:eastAsia="zh-CN"/>
        </w:rPr>
        <w:t>37306</w:t>
      </w:r>
      <w:r>
        <w:rPr>
          <w:rFonts w:hint="eastAsia" w:ascii="仿宋_GB2312" w:hAnsi="宋体" w:cs="仿宋_GB2312"/>
          <w:color w:val="000000"/>
          <w:kern w:val="0"/>
          <w:szCs w:val="22"/>
        </w:rPr>
        <w:t>元，占总收入</w:t>
      </w:r>
      <w:r>
        <w:rPr>
          <w:rFonts w:hint="eastAsia" w:ascii="仿宋_GB2312" w:hAnsi="宋体" w:cs="仿宋_GB2312"/>
          <w:color w:val="000000"/>
          <w:kern w:val="0"/>
          <w:szCs w:val="22"/>
          <w:lang w:val="en-US" w:eastAsia="zh-CN"/>
        </w:rPr>
        <w:t>1.7</w:t>
      </w:r>
      <w:r>
        <w:rPr>
          <w:rFonts w:hint="eastAsia" w:ascii="仿宋_GB2312" w:hAnsi="宋体" w:cs="仿宋_GB2312"/>
          <w:color w:val="000000"/>
          <w:kern w:val="0"/>
          <w:szCs w:val="22"/>
        </w:rPr>
        <w:t>%；</w:t>
      </w:r>
    </w:p>
    <w:p w14:paraId="720D7AB4">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2101101 行政单位医疗58</w:t>
      </w:r>
      <w:r>
        <w:rPr>
          <w:rFonts w:hint="eastAsia" w:ascii="仿宋_GB2312" w:hAnsi="宋体" w:cs="仿宋_GB2312"/>
          <w:color w:val="000000"/>
          <w:kern w:val="0"/>
          <w:szCs w:val="22"/>
          <w:lang w:val="en-US" w:eastAsia="zh-CN"/>
        </w:rPr>
        <w:t>5390.77</w:t>
      </w:r>
      <w:r>
        <w:rPr>
          <w:rFonts w:hint="eastAsia" w:ascii="仿宋_GB2312" w:hAnsi="宋体" w:cs="仿宋_GB2312"/>
          <w:color w:val="000000"/>
          <w:kern w:val="0"/>
          <w:szCs w:val="22"/>
          <w:lang w:eastAsia="zh-CN"/>
        </w:rPr>
        <w:t>元</w:t>
      </w:r>
      <w:r>
        <w:rPr>
          <w:rFonts w:hint="eastAsia" w:ascii="仿宋_GB2312" w:hAnsi="宋体" w:cs="仿宋_GB2312"/>
          <w:color w:val="000000"/>
          <w:kern w:val="0"/>
          <w:szCs w:val="22"/>
        </w:rPr>
        <w:t>，占总收入</w:t>
      </w:r>
      <w:r>
        <w:rPr>
          <w:rFonts w:hint="eastAsia" w:ascii="仿宋_GB2312" w:hAnsi="宋体" w:cs="仿宋_GB2312"/>
          <w:color w:val="000000"/>
          <w:kern w:val="0"/>
          <w:szCs w:val="22"/>
          <w:lang w:val="en-US" w:eastAsia="zh-CN"/>
        </w:rPr>
        <w:t>7.25</w:t>
      </w:r>
      <w:r>
        <w:rPr>
          <w:rFonts w:hint="eastAsia" w:ascii="仿宋_GB2312" w:hAnsi="宋体" w:cs="仿宋_GB2312"/>
          <w:color w:val="000000"/>
          <w:kern w:val="0"/>
          <w:szCs w:val="22"/>
        </w:rPr>
        <w:t>%；</w:t>
      </w:r>
    </w:p>
    <w:p w14:paraId="17B93CC4">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2120804 农村基础设施建设支出</w:t>
      </w:r>
      <w:r>
        <w:rPr>
          <w:rFonts w:hint="eastAsia" w:ascii="仿宋_GB2312" w:hAnsi="宋体" w:cs="仿宋_GB2312"/>
          <w:color w:val="000000"/>
          <w:kern w:val="0"/>
          <w:szCs w:val="22"/>
          <w:lang w:val="en-US" w:eastAsia="zh-CN"/>
        </w:rPr>
        <w:t>1246997</w:t>
      </w:r>
      <w:r>
        <w:rPr>
          <w:rFonts w:hint="eastAsia" w:ascii="仿宋_GB2312" w:hAnsi="宋体" w:cs="仿宋_GB2312"/>
          <w:color w:val="000000"/>
          <w:kern w:val="0"/>
          <w:szCs w:val="22"/>
        </w:rPr>
        <w:t>元，占总收入15.45%（上年无此项政府性经基金预算收入）；</w:t>
      </w:r>
    </w:p>
    <w:p w14:paraId="313779B9">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 xml:space="preserve">2120899 其他国有土地使用权出让收入安排的支出 </w:t>
      </w:r>
      <w:r>
        <w:rPr>
          <w:rFonts w:hint="eastAsia" w:ascii="仿宋_GB2312" w:hAnsi="宋体" w:cs="仿宋_GB2312"/>
          <w:color w:val="000000"/>
          <w:kern w:val="0"/>
          <w:szCs w:val="22"/>
          <w:lang w:val="en-US" w:eastAsia="zh-CN"/>
        </w:rPr>
        <w:t>6800</w:t>
      </w:r>
      <w:r>
        <w:rPr>
          <w:rFonts w:hint="eastAsia" w:ascii="仿宋_GB2312" w:hAnsi="宋体" w:cs="仿宋_GB2312"/>
          <w:color w:val="000000"/>
          <w:kern w:val="0"/>
          <w:szCs w:val="22"/>
        </w:rPr>
        <w:t>元，占总收入0.0</w:t>
      </w:r>
      <w:r>
        <w:rPr>
          <w:rFonts w:hint="eastAsia" w:ascii="仿宋_GB2312" w:hAnsi="宋体" w:cs="仿宋_GB2312"/>
          <w:color w:val="000000"/>
          <w:kern w:val="0"/>
          <w:szCs w:val="22"/>
          <w:lang w:val="en-US" w:eastAsia="zh-CN"/>
        </w:rPr>
        <w:t>8</w:t>
      </w:r>
      <w:r>
        <w:rPr>
          <w:rFonts w:hint="eastAsia" w:ascii="仿宋_GB2312" w:hAnsi="宋体" w:cs="仿宋_GB2312"/>
          <w:color w:val="000000"/>
          <w:kern w:val="0"/>
          <w:szCs w:val="22"/>
        </w:rPr>
        <w:t>%；</w:t>
      </w:r>
    </w:p>
    <w:p w14:paraId="08458B19">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2150205 医药制造业70</w:t>
      </w:r>
      <w:r>
        <w:rPr>
          <w:rFonts w:hint="eastAsia" w:ascii="仿宋_GB2312" w:hAnsi="宋体" w:cs="仿宋_GB2312"/>
          <w:color w:val="000000"/>
          <w:kern w:val="0"/>
          <w:szCs w:val="22"/>
          <w:lang w:val="en-US" w:eastAsia="zh-CN"/>
        </w:rPr>
        <w:t>0000</w:t>
      </w:r>
      <w:r>
        <w:rPr>
          <w:rFonts w:hint="eastAsia" w:ascii="仿宋_GB2312" w:hAnsi="宋体" w:cs="仿宋_GB2312"/>
          <w:color w:val="000000"/>
          <w:kern w:val="0"/>
          <w:szCs w:val="22"/>
        </w:rPr>
        <w:t>元，占总收入</w:t>
      </w:r>
      <w:r>
        <w:rPr>
          <w:rFonts w:hint="eastAsia" w:ascii="仿宋_GB2312" w:hAnsi="宋体" w:cs="仿宋_GB2312"/>
          <w:color w:val="000000"/>
          <w:kern w:val="0"/>
          <w:szCs w:val="22"/>
          <w:lang w:val="en-US" w:eastAsia="zh-CN"/>
        </w:rPr>
        <w:t>8.67</w:t>
      </w:r>
      <w:r>
        <w:rPr>
          <w:rFonts w:hint="eastAsia" w:ascii="仿宋_GB2312" w:hAnsi="宋体" w:cs="仿宋_GB2312"/>
          <w:color w:val="000000"/>
          <w:kern w:val="0"/>
          <w:szCs w:val="22"/>
        </w:rPr>
        <w:t>%；</w:t>
      </w:r>
    </w:p>
    <w:p w14:paraId="6096DAB4">
      <w:pPr>
        <w:numPr>
          <w:ilvl w:val="0"/>
          <w:numId w:val="0"/>
        </w:numPr>
        <w:topLinePunct/>
        <w:spacing w:line="560" w:lineRule="exact"/>
        <w:ind w:firstLine="640" w:firstLineChars="200"/>
        <w:rPr>
          <w:rFonts w:ascii="仿宋_GB2312" w:cs="仿宋_GB2312"/>
          <w:kern w:val="0"/>
        </w:rPr>
      </w:pPr>
      <w:r>
        <w:rPr>
          <w:rFonts w:hint="eastAsia" w:ascii="仿宋_GB2312" w:hAnsi="宋体" w:cs="仿宋_GB2312"/>
          <w:color w:val="000000"/>
          <w:kern w:val="0"/>
          <w:szCs w:val="22"/>
        </w:rPr>
        <w:t>2210201 住房公积金38</w:t>
      </w:r>
      <w:r>
        <w:rPr>
          <w:rFonts w:hint="eastAsia" w:ascii="仿宋_GB2312" w:hAnsi="宋体" w:cs="仿宋_GB2312"/>
          <w:color w:val="000000"/>
          <w:kern w:val="0"/>
          <w:szCs w:val="22"/>
          <w:lang w:val="en-US" w:eastAsia="zh-CN"/>
        </w:rPr>
        <w:t>5611</w:t>
      </w:r>
      <w:r>
        <w:rPr>
          <w:rFonts w:hint="eastAsia" w:ascii="仿宋_GB2312" w:hAnsi="宋体" w:cs="仿宋_GB2312"/>
          <w:color w:val="000000"/>
          <w:kern w:val="0"/>
          <w:szCs w:val="22"/>
        </w:rPr>
        <w:t>元，占总收入的</w:t>
      </w:r>
      <w:r>
        <w:rPr>
          <w:rFonts w:hint="eastAsia" w:ascii="仿宋_GB2312" w:hAnsi="宋体" w:cs="仿宋_GB2312"/>
          <w:color w:val="000000"/>
          <w:kern w:val="0"/>
          <w:szCs w:val="22"/>
          <w:lang w:val="en-US" w:eastAsia="zh-CN"/>
        </w:rPr>
        <w:t>4.78</w:t>
      </w:r>
      <w:r>
        <w:rPr>
          <w:rFonts w:hint="eastAsia" w:ascii="仿宋_GB2312" w:hAnsi="宋体" w:cs="仿宋_GB2312"/>
          <w:color w:val="000000"/>
          <w:kern w:val="0"/>
          <w:szCs w:val="22"/>
        </w:rPr>
        <w:t>%。</w:t>
      </w:r>
    </w:p>
    <w:p w14:paraId="17F2593C">
      <w:pPr>
        <w:numPr>
          <w:ilvl w:val="0"/>
          <w:numId w:val="0"/>
        </w:numPr>
        <w:spacing w:line="560" w:lineRule="exact"/>
        <w:ind w:firstLine="640" w:firstLineChars="200"/>
        <w:rPr>
          <w:rFonts w:hint="default" w:ascii="楷体" w:hAnsi="楷体" w:eastAsia="楷体" w:cs="楷体"/>
          <w:color w:val="000000"/>
          <w:kern w:val="0"/>
          <w:szCs w:val="22"/>
          <w:lang w:val="en-US" w:eastAsia="zh-CN"/>
        </w:rPr>
      </w:pPr>
      <w:r>
        <w:rPr>
          <w:rFonts w:hint="eastAsia" w:ascii="Times New Roman" w:hAnsi="Times New Roman" w:eastAsia="仿宋_GB2312" w:cs="Times New Roman"/>
          <w:kern w:val="2"/>
          <w:sz w:val="32"/>
          <w:szCs w:val="22"/>
          <w:lang w:val="en-US" w:eastAsia="zh-CN" w:bidi="ar-SA"/>
        </w:rPr>
        <w:t>2.</w:t>
      </w:r>
      <w:r>
        <w:rPr>
          <w:rFonts w:hint="eastAsia" w:ascii="楷体" w:hAnsi="楷体" w:eastAsia="楷体" w:cs="楷体"/>
          <w:color w:val="000000"/>
          <w:kern w:val="0"/>
          <w:szCs w:val="22"/>
          <w:lang w:val="en-US" w:eastAsia="zh-CN"/>
        </w:rPr>
        <w:t>部门资金支出情况</w:t>
      </w:r>
    </w:p>
    <w:p w14:paraId="16FB43A1">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本单位2020年支出合计</w:t>
      </w:r>
      <w:r>
        <w:rPr>
          <w:rFonts w:hint="eastAsia" w:ascii="仿宋_GB2312" w:hAnsi="宋体" w:cs="仿宋_GB2312"/>
          <w:color w:val="auto"/>
          <w:kern w:val="0"/>
          <w:szCs w:val="22"/>
          <w:lang w:val="en-US" w:eastAsia="zh-CN"/>
        </w:rPr>
        <w:t>7475909.04</w:t>
      </w:r>
      <w:r>
        <w:rPr>
          <w:rFonts w:hint="eastAsia" w:ascii="仿宋_GB2312" w:hAnsi="宋体" w:cs="仿宋_GB2312"/>
          <w:color w:val="000000"/>
          <w:kern w:val="0"/>
          <w:szCs w:val="22"/>
        </w:rPr>
        <w:t>元（不含非财政</w:t>
      </w:r>
      <w:r>
        <w:rPr>
          <w:rFonts w:hint="eastAsia" w:ascii="仿宋_GB2312" w:hAnsi="宋体" w:cs="仿宋_GB2312"/>
          <w:color w:val="000000"/>
          <w:kern w:val="0"/>
          <w:szCs w:val="22"/>
          <w:lang w:eastAsia="zh-CN"/>
        </w:rPr>
        <w:t>拨款</w:t>
      </w:r>
      <w:r>
        <w:rPr>
          <w:rFonts w:hint="eastAsia" w:ascii="仿宋_GB2312" w:hAnsi="宋体" w:cs="仿宋_GB2312"/>
          <w:color w:val="000000"/>
          <w:kern w:val="0"/>
          <w:szCs w:val="22"/>
        </w:rPr>
        <w:t>支出），财政拨款支出</w:t>
      </w:r>
      <w:r>
        <w:rPr>
          <w:rFonts w:hint="eastAsia" w:ascii="仿宋_GB2312" w:hAnsi="宋体" w:cs="仿宋_GB2312"/>
          <w:color w:val="auto"/>
          <w:kern w:val="0"/>
          <w:szCs w:val="22"/>
          <w:lang w:val="en-US" w:eastAsia="zh-CN"/>
        </w:rPr>
        <w:t>7475909.04</w:t>
      </w:r>
      <w:r>
        <w:rPr>
          <w:rFonts w:hint="eastAsia" w:ascii="仿宋_GB2312" w:hAnsi="宋体" w:cs="仿宋_GB2312"/>
          <w:color w:val="000000"/>
          <w:kern w:val="0"/>
          <w:szCs w:val="22"/>
          <w:lang w:eastAsia="zh-CN"/>
        </w:rPr>
        <w:t>元</w:t>
      </w:r>
      <w:r>
        <w:rPr>
          <w:rFonts w:hint="eastAsia" w:ascii="仿宋_GB2312" w:hAnsi="宋体" w:cs="仿宋_GB2312"/>
          <w:color w:val="000000"/>
          <w:kern w:val="0"/>
          <w:szCs w:val="22"/>
        </w:rPr>
        <w:t>，占全年支出的100%。其中：</w:t>
      </w:r>
    </w:p>
    <w:p w14:paraId="5CC87E99">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2010401行政运行支出43</w:t>
      </w:r>
      <w:r>
        <w:rPr>
          <w:rFonts w:hint="eastAsia" w:ascii="仿宋_GB2312" w:hAnsi="宋体" w:cs="仿宋_GB2312"/>
          <w:color w:val="000000"/>
          <w:kern w:val="0"/>
          <w:szCs w:val="22"/>
          <w:lang w:val="en-US" w:eastAsia="zh-CN"/>
        </w:rPr>
        <w:t>72181.47</w:t>
      </w:r>
      <w:r>
        <w:rPr>
          <w:rFonts w:hint="eastAsia" w:ascii="仿宋_GB2312" w:hAnsi="宋体" w:cs="仿宋_GB2312"/>
          <w:color w:val="000000"/>
          <w:kern w:val="0"/>
          <w:szCs w:val="22"/>
        </w:rPr>
        <w:t>元，占总支出</w:t>
      </w:r>
      <w:r>
        <w:rPr>
          <w:rFonts w:hint="eastAsia" w:ascii="仿宋_GB2312" w:hAnsi="宋体" w:cs="仿宋_GB2312"/>
          <w:color w:val="000000"/>
          <w:kern w:val="0"/>
          <w:szCs w:val="22"/>
          <w:lang w:val="en-US" w:eastAsia="zh-CN"/>
        </w:rPr>
        <w:t>58.48</w:t>
      </w:r>
      <w:r>
        <w:rPr>
          <w:rFonts w:hint="eastAsia" w:ascii="仿宋_GB2312" w:hAnsi="宋体" w:cs="仿宋_GB2312"/>
          <w:color w:val="000000"/>
          <w:kern w:val="0"/>
          <w:szCs w:val="22"/>
        </w:rPr>
        <w:t>%;</w:t>
      </w:r>
    </w:p>
    <w:p w14:paraId="4CD04EAA">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2010499其他发展与改革事务支出 12</w:t>
      </w:r>
      <w:r>
        <w:rPr>
          <w:rFonts w:hint="eastAsia" w:ascii="仿宋_GB2312" w:hAnsi="宋体" w:cs="仿宋_GB2312"/>
          <w:color w:val="000000"/>
          <w:kern w:val="0"/>
          <w:szCs w:val="22"/>
          <w:lang w:val="en-US" w:eastAsia="zh-CN"/>
        </w:rPr>
        <w:t>2000</w:t>
      </w:r>
      <w:r>
        <w:rPr>
          <w:rFonts w:hint="eastAsia" w:ascii="仿宋_GB2312" w:hAnsi="宋体" w:cs="仿宋_GB2312"/>
          <w:color w:val="000000"/>
          <w:kern w:val="0"/>
          <w:szCs w:val="22"/>
        </w:rPr>
        <w:t>元，占总支出</w:t>
      </w:r>
      <w:r>
        <w:rPr>
          <w:rFonts w:hint="eastAsia" w:ascii="仿宋_GB2312" w:hAnsi="宋体" w:cs="仿宋_GB2312"/>
          <w:color w:val="000000"/>
          <w:kern w:val="0"/>
          <w:szCs w:val="22"/>
          <w:lang w:val="en-US" w:eastAsia="zh-CN"/>
        </w:rPr>
        <w:t>1.63</w:t>
      </w:r>
      <w:r>
        <w:rPr>
          <w:rFonts w:hint="eastAsia" w:ascii="仿宋_GB2312" w:hAnsi="宋体" w:cs="仿宋_GB2312"/>
          <w:color w:val="000000"/>
          <w:kern w:val="0"/>
          <w:szCs w:val="22"/>
        </w:rPr>
        <w:t>%；</w:t>
      </w:r>
    </w:p>
    <w:p w14:paraId="3F46F54E">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2080505机关事业单位基本养老保险缴费支出4</w:t>
      </w:r>
      <w:r>
        <w:rPr>
          <w:rFonts w:hint="eastAsia" w:ascii="仿宋_GB2312" w:hAnsi="宋体" w:cs="仿宋_GB2312"/>
          <w:color w:val="000000"/>
          <w:kern w:val="0"/>
          <w:szCs w:val="22"/>
          <w:lang w:val="en-US" w:eastAsia="zh-CN"/>
        </w:rPr>
        <w:t>85536.80</w:t>
      </w:r>
      <w:r>
        <w:rPr>
          <w:rFonts w:hint="eastAsia" w:ascii="仿宋_GB2312" w:hAnsi="宋体" w:cs="仿宋_GB2312"/>
          <w:color w:val="000000"/>
          <w:kern w:val="0"/>
          <w:szCs w:val="22"/>
        </w:rPr>
        <w:t>元，占总支出</w:t>
      </w:r>
      <w:r>
        <w:rPr>
          <w:rFonts w:hint="eastAsia" w:ascii="仿宋_GB2312" w:hAnsi="宋体" w:cs="仿宋_GB2312"/>
          <w:color w:val="000000"/>
          <w:kern w:val="0"/>
          <w:szCs w:val="22"/>
          <w:lang w:val="en-US" w:eastAsia="zh-CN"/>
        </w:rPr>
        <w:t>6.49</w:t>
      </w:r>
      <w:r>
        <w:rPr>
          <w:rFonts w:hint="eastAsia" w:ascii="仿宋_GB2312" w:hAnsi="宋体" w:cs="仿宋_GB2312"/>
          <w:color w:val="000000"/>
          <w:kern w:val="0"/>
          <w:szCs w:val="22"/>
        </w:rPr>
        <w:t>%；</w:t>
      </w:r>
    </w:p>
    <w:p w14:paraId="4EEB6FFC">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2080801 死亡抚恤 13</w:t>
      </w:r>
      <w:r>
        <w:rPr>
          <w:rFonts w:hint="eastAsia" w:ascii="仿宋_GB2312" w:hAnsi="宋体" w:cs="仿宋_GB2312"/>
          <w:color w:val="000000"/>
          <w:kern w:val="0"/>
          <w:szCs w:val="22"/>
          <w:lang w:val="en-US" w:eastAsia="zh-CN"/>
        </w:rPr>
        <w:t>7306</w:t>
      </w:r>
      <w:r>
        <w:rPr>
          <w:rFonts w:hint="eastAsia" w:ascii="仿宋_GB2312" w:hAnsi="宋体" w:cs="仿宋_GB2312"/>
          <w:color w:val="000000"/>
          <w:kern w:val="0"/>
          <w:szCs w:val="22"/>
        </w:rPr>
        <w:t>元，占总支出</w:t>
      </w:r>
      <w:r>
        <w:rPr>
          <w:rFonts w:hint="eastAsia" w:ascii="仿宋_GB2312" w:hAnsi="宋体" w:cs="仿宋_GB2312"/>
          <w:color w:val="000000"/>
          <w:kern w:val="0"/>
          <w:szCs w:val="22"/>
          <w:lang w:val="en-US" w:eastAsia="zh-CN"/>
        </w:rPr>
        <w:t>1.84</w:t>
      </w:r>
      <w:r>
        <w:rPr>
          <w:rFonts w:hint="eastAsia" w:ascii="仿宋_GB2312" w:hAnsi="宋体" w:cs="仿宋_GB2312"/>
          <w:color w:val="000000"/>
          <w:kern w:val="0"/>
          <w:szCs w:val="22"/>
        </w:rPr>
        <w:t>%；</w:t>
      </w:r>
    </w:p>
    <w:p w14:paraId="67E271BA">
      <w:pPr>
        <w:numPr>
          <w:ilvl w:val="0"/>
          <w:numId w:val="0"/>
        </w:numPr>
        <w:topLinePunct/>
        <w:spacing w:line="560" w:lineRule="exact"/>
        <w:ind w:firstLine="640" w:firstLineChars="200"/>
        <w:rPr>
          <w:rFonts w:hint="eastAsia" w:ascii="仿宋_GB2312" w:hAnsi="宋体" w:eastAsia="仿宋_GB2312" w:cs="仿宋_GB2312"/>
          <w:color w:val="000000"/>
          <w:kern w:val="0"/>
          <w:szCs w:val="22"/>
          <w:lang w:eastAsia="zh-CN"/>
        </w:rPr>
      </w:pPr>
      <w:r>
        <w:rPr>
          <w:rFonts w:hint="eastAsia" w:ascii="仿宋_GB2312" w:hAnsi="宋体" w:cs="仿宋_GB2312"/>
          <w:color w:val="000000"/>
          <w:kern w:val="0"/>
          <w:szCs w:val="22"/>
        </w:rPr>
        <w:t>2101101 行政单位医疗58</w:t>
      </w:r>
      <w:r>
        <w:rPr>
          <w:rFonts w:hint="eastAsia" w:ascii="仿宋_GB2312" w:hAnsi="宋体" w:cs="仿宋_GB2312"/>
          <w:color w:val="000000"/>
          <w:kern w:val="0"/>
          <w:szCs w:val="22"/>
          <w:lang w:val="en-US" w:eastAsia="zh-CN"/>
        </w:rPr>
        <w:t>5390.77</w:t>
      </w:r>
      <w:r>
        <w:rPr>
          <w:rFonts w:hint="eastAsia" w:ascii="仿宋_GB2312" w:hAnsi="宋体" w:cs="仿宋_GB2312"/>
          <w:color w:val="000000"/>
          <w:kern w:val="0"/>
          <w:szCs w:val="22"/>
          <w:lang w:eastAsia="zh-CN"/>
        </w:rPr>
        <w:t>元</w:t>
      </w:r>
      <w:r>
        <w:rPr>
          <w:rFonts w:hint="eastAsia" w:ascii="仿宋_GB2312" w:hAnsi="宋体" w:cs="仿宋_GB2312"/>
          <w:color w:val="000000"/>
          <w:kern w:val="0"/>
          <w:szCs w:val="22"/>
        </w:rPr>
        <w:t>，占总收入</w:t>
      </w:r>
      <w:r>
        <w:rPr>
          <w:rFonts w:hint="eastAsia" w:ascii="仿宋_GB2312" w:hAnsi="宋体" w:cs="仿宋_GB2312"/>
          <w:color w:val="000000"/>
          <w:kern w:val="0"/>
          <w:szCs w:val="22"/>
          <w:lang w:val="en-US" w:eastAsia="zh-CN"/>
        </w:rPr>
        <w:t>7.83</w:t>
      </w:r>
      <w:r>
        <w:rPr>
          <w:rFonts w:hint="eastAsia" w:ascii="仿宋_GB2312" w:hAnsi="宋体" w:cs="仿宋_GB2312"/>
          <w:color w:val="000000"/>
          <w:kern w:val="0"/>
          <w:szCs w:val="22"/>
        </w:rPr>
        <w:t>%</w:t>
      </w:r>
      <w:r>
        <w:rPr>
          <w:rFonts w:hint="eastAsia" w:ascii="仿宋_GB2312" w:hAnsi="宋体" w:cs="仿宋_GB2312"/>
          <w:color w:val="000000"/>
          <w:kern w:val="0"/>
          <w:szCs w:val="22"/>
          <w:lang w:eastAsia="zh-CN"/>
        </w:rPr>
        <w:t>；</w:t>
      </w:r>
    </w:p>
    <w:p w14:paraId="5C51C155">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2120804 农村基础设施建设支出</w:t>
      </w:r>
      <w:r>
        <w:rPr>
          <w:rFonts w:hint="eastAsia" w:ascii="仿宋_GB2312" w:hAnsi="宋体" w:cs="仿宋_GB2312"/>
          <w:color w:val="auto"/>
          <w:kern w:val="0"/>
          <w:szCs w:val="22"/>
          <w:lang w:val="en-US" w:eastAsia="zh-CN"/>
        </w:rPr>
        <w:t>681083元</w:t>
      </w:r>
      <w:r>
        <w:rPr>
          <w:rFonts w:hint="eastAsia" w:ascii="仿宋_GB2312" w:hAnsi="宋体" w:cs="仿宋_GB2312"/>
          <w:color w:val="000000"/>
          <w:kern w:val="0"/>
          <w:szCs w:val="22"/>
        </w:rPr>
        <w:t>，占总支出</w:t>
      </w:r>
      <w:r>
        <w:rPr>
          <w:rFonts w:hint="eastAsia" w:ascii="仿宋_GB2312" w:hAnsi="宋体" w:cs="仿宋_GB2312"/>
          <w:color w:val="000000"/>
          <w:kern w:val="0"/>
          <w:szCs w:val="22"/>
          <w:lang w:val="en-US" w:eastAsia="zh-CN"/>
        </w:rPr>
        <w:t>9.11</w:t>
      </w:r>
      <w:r>
        <w:rPr>
          <w:rFonts w:hint="eastAsia" w:ascii="仿宋_GB2312" w:hAnsi="宋体" w:cs="仿宋_GB2312"/>
          <w:color w:val="000000"/>
          <w:kern w:val="0"/>
          <w:szCs w:val="22"/>
        </w:rPr>
        <w:t>%（上年无此项政府性经基金预算收入）；</w:t>
      </w:r>
    </w:p>
    <w:p w14:paraId="63F65D2E">
      <w:pPr>
        <w:numPr>
          <w:ilvl w:val="0"/>
          <w:numId w:val="0"/>
        </w:numPr>
        <w:topLinePunct/>
        <w:spacing w:line="560" w:lineRule="exact"/>
        <w:ind w:firstLine="640" w:firstLineChars="200"/>
        <w:rPr>
          <w:rFonts w:hint="default" w:eastAsia="仿宋_GB2312"/>
          <w:lang w:val="en-US" w:eastAsia="zh-CN"/>
        </w:rPr>
      </w:pPr>
      <w:r>
        <w:rPr>
          <w:rFonts w:hint="eastAsia" w:ascii="仿宋_GB2312" w:hAnsi="宋体" w:cs="仿宋_GB2312"/>
          <w:color w:val="000000"/>
          <w:kern w:val="0"/>
          <w:szCs w:val="22"/>
          <w:lang w:val="en-US" w:eastAsia="zh-CN"/>
        </w:rPr>
        <w:t>2120899</w:t>
      </w:r>
      <w:r>
        <w:rPr>
          <w:rFonts w:hint="eastAsia" w:ascii="仿宋_GB2312" w:hAnsi="宋体" w:cs="仿宋_GB2312"/>
          <w:color w:val="000000"/>
          <w:kern w:val="0"/>
          <w:szCs w:val="22"/>
        </w:rPr>
        <w:t xml:space="preserve">其他国有土地使用权出让收入安排的支出 </w:t>
      </w:r>
      <w:r>
        <w:rPr>
          <w:rFonts w:hint="eastAsia" w:ascii="仿宋_GB2312" w:hAnsi="宋体" w:cs="仿宋_GB2312"/>
          <w:color w:val="000000"/>
          <w:kern w:val="0"/>
          <w:szCs w:val="22"/>
          <w:lang w:val="en-US" w:eastAsia="zh-CN"/>
        </w:rPr>
        <w:t>6800</w:t>
      </w:r>
      <w:r>
        <w:rPr>
          <w:rFonts w:hint="eastAsia" w:ascii="仿宋_GB2312" w:hAnsi="宋体" w:cs="仿宋_GB2312"/>
          <w:color w:val="000000"/>
          <w:kern w:val="0"/>
          <w:szCs w:val="22"/>
        </w:rPr>
        <w:t>元，占总收入0.0</w:t>
      </w:r>
      <w:r>
        <w:rPr>
          <w:rFonts w:hint="eastAsia" w:ascii="仿宋_GB2312" w:hAnsi="宋体" w:cs="仿宋_GB2312"/>
          <w:color w:val="000000"/>
          <w:kern w:val="0"/>
          <w:szCs w:val="22"/>
          <w:lang w:val="en-US" w:eastAsia="zh-CN"/>
        </w:rPr>
        <w:t>9</w:t>
      </w:r>
      <w:r>
        <w:rPr>
          <w:rFonts w:hint="eastAsia" w:ascii="仿宋_GB2312" w:hAnsi="宋体" w:cs="仿宋_GB2312"/>
          <w:color w:val="000000"/>
          <w:kern w:val="0"/>
          <w:szCs w:val="22"/>
        </w:rPr>
        <w:t>%；</w:t>
      </w:r>
    </w:p>
    <w:p w14:paraId="7D3B048A">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2150205 医药制造业70</w:t>
      </w:r>
      <w:r>
        <w:rPr>
          <w:rFonts w:hint="eastAsia" w:ascii="仿宋_GB2312" w:hAnsi="宋体" w:cs="仿宋_GB2312"/>
          <w:color w:val="000000"/>
          <w:kern w:val="0"/>
          <w:szCs w:val="22"/>
          <w:lang w:val="en-US" w:eastAsia="zh-CN"/>
        </w:rPr>
        <w:t>0000</w:t>
      </w:r>
      <w:r>
        <w:rPr>
          <w:rFonts w:hint="eastAsia" w:ascii="仿宋_GB2312" w:hAnsi="宋体" w:cs="仿宋_GB2312"/>
          <w:color w:val="000000"/>
          <w:kern w:val="0"/>
          <w:szCs w:val="22"/>
        </w:rPr>
        <w:t>元，占总支出</w:t>
      </w:r>
      <w:r>
        <w:rPr>
          <w:rFonts w:hint="eastAsia" w:ascii="仿宋_GB2312" w:hAnsi="宋体" w:cs="仿宋_GB2312"/>
          <w:color w:val="000000"/>
          <w:kern w:val="0"/>
          <w:szCs w:val="22"/>
          <w:lang w:val="en-US" w:eastAsia="zh-CN"/>
        </w:rPr>
        <w:t>9.36</w:t>
      </w:r>
      <w:r>
        <w:rPr>
          <w:rFonts w:hint="eastAsia" w:ascii="仿宋_GB2312" w:hAnsi="宋体" w:cs="仿宋_GB2312"/>
          <w:color w:val="000000"/>
          <w:kern w:val="0"/>
          <w:szCs w:val="22"/>
        </w:rPr>
        <w:t>%；</w:t>
      </w:r>
    </w:p>
    <w:p w14:paraId="50A4F4FE">
      <w:pPr>
        <w:numPr>
          <w:ilvl w:val="0"/>
          <w:numId w:val="0"/>
        </w:numPr>
        <w:topLinePunct/>
        <w:spacing w:line="560" w:lineRule="exact"/>
        <w:ind w:firstLine="640" w:firstLineChars="200"/>
        <w:rPr>
          <w:rFonts w:hint="eastAsia"/>
          <w:lang w:val="en-US" w:eastAsia="zh-CN"/>
        </w:rPr>
      </w:pPr>
      <w:r>
        <w:rPr>
          <w:rFonts w:hint="eastAsia" w:ascii="仿宋_GB2312" w:hAnsi="宋体" w:cs="仿宋_GB2312"/>
          <w:color w:val="000000"/>
          <w:kern w:val="0"/>
          <w:szCs w:val="22"/>
        </w:rPr>
        <w:t>2210201 住房公积金38</w:t>
      </w:r>
      <w:r>
        <w:rPr>
          <w:rFonts w:hint="eastAsia" w:ascii="仿宋_GB2312" w:hAnsi="宋体" w:cs="仿宋_GB2312"/>
          <w:color w:val="000000"/>
          <w:kern w:val="0"/>
          <w:szCs w:val="22"/>
          <w:lang w:val="en-US" w:eastAsia="zh-CN"/>
        </w:rPr>
        <w:t>5611</w:t>
      </w:r>
      <w:r>
        <w:rPr>
          <w:rFonts w:hint="eastAsia" w:ascii="仿宋_GB2312" w:hAnsi="宋体" w:cs="仿宋_GB2312"/>
          <w:color w:val="000000"/>
          <w:kern w:val="0"/>
          <w:szCs w:val="22"/>
        </w:rPr>
        <w:t>元，占总支出的</w:t>
      </w:r>
      <w:r>
        <w:rPr>
          <w:rFonts w:hint="eastAsia" w:ascii="仿宋_GB2312" w:hAnsi="宋体" w:cs="仿宋_GB2312"/>
          <w:color w:val="000000"/>
          <w:kern w:val="0"/>
          <w:szCs w:val="22"/>
          <w:lang w:val="en-US" w:eastAsia="zh-CN"/>
        </w:rPr>
        <w:t>5.16</w:t>
      </w:r>
      <w:r>
        <w:rPr>
          <w:rFonts w:hint="eastAsia" w:ascii="仿宋_GB2312" w:hAnsi="宋体" w:cs="仿宋_GB2312"/>
          <w:color w:val="000000"/>
          <w:kern w:val="0"/>
          <w:szCs w:val="22"/>
        </w:rPr>
        <w:t>%。</w:t>
      </w:r>
    </w:p>
    <w:p w14:paraId="691A2012">
      <w:pPr>
        <w:numPr>
          <w:ilvl w:val="0"/>
          <w:numId w:val="0"/>
        </w:numPr>
        <w:spacing w:line="560" w:lineRule="exact"/>
        <w:ind w:firstLine="640" w:firstLineChars="200"/>
        <w:rPr>
          <w:rFonts w:hint="eastAsia" w:ascii="楷体" w:hAnsi="楷体" w:eastAsia="楷体" w:cs="楷体"/>
          <w:color w:val="000000"/>
          <w:kern w:val="0"/>
          <w:szCs w:val="22"/>
          <w:lang w:val="en-US" w:eastAsia="zh-CN"/>
        </w:rPr>
      </w:pPr>
      <w:r>
        <w:rPr>
          <w:rFonts w:hint="eastAsia" w:ascii="Times New Roman" w:hAnsi="Times New Roman" w:eastAsia="仿宋_GB2312" w:cs="Times New Roman"/>
          <w:kern w:val="2"/>
          <w:sz w:val="32"/>
          <w:szCs w:val="22"/>
          <w:lang w:val="en-US" w:eastAsia="zh-CN" w:bidi="ar-SA"/>
        </w:rPr>
        <w:t>3</w:t>
      </w:r>
      <w:r>
        <w:rPr>
          <w:rFonts w:hint="eastAsia" w:ascii="楷体" w:hAnsi="楷体" w:eastAsia="楷体" w:cs="楷体"/>
          <w:color w:val="000000"/>
          <w:kern w:val="0"/>
          <w:szCs w:val="22"/>
          <w:lang w:val="en-US" w:eastAsia="zh-CN"/>
        </w:rPr>
        <w:t>.三公经费使用情况</w:t>
      </w:r>
    </w:p>
    <w:p w14:paraId="40CD000E">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（1）2020年“三公经费”决算数合计2</w:t>
      </w:r>
      <w:r>
        <w:rPr>
          <w:rFonts w:hint="eastAsia" w:ascii="仿宋_GB2312" w:hAnsi="宋体" w:cs="仿宋_GB2312"/>
          <w:color w:val="000000"/>
          <w:kern w:val="0"/>
          <w:szCs w:val="22"/>
          <w:lang w:val="en-US" w:eastAsia="zh-CN"/>
        </w:rPr>
        <w:t>4697</w:t>
      </w:r>
      <w:r>
        <w:rPr>
          <w:rFonts w:hint="eastAsia" w:ascii="仿宋_GB2312" w:hAnsi="宋体" w:cs="仿宋_GB2312"/>
          <w:color w:val="000000"/>
          <w:kern w:val="0"/>
          <w:szCs w:val="22"/>
        </w:rPr>
        <w:t>元，其中：一般公共预算财政拨款安排的支出决算数</w:t>
      </w:r>
      <w:r>
        <w:rPr>
          <w:rFonts w:hint="eastAsia" w:ascii="仿宋_GB2312" w:hAnsi="宋体" w:cs="仿宋_GB2312"/>
          <w:color w:val="000000"/>
          <w:kern w:val="0"/>
          <w:szCs w:val="22"/>
          <w:lang w:val="en-US" w:eastAsia="zh-CN"/>
        </w:rPr>
        <w:t>24697</w:t>
      </w:r>
      <w:r>
        <w:rPr>
          <w:rFonts w:hint="eastAsia" w:ascii="仿宋_GB2312" w:hAnsi="宋体" w:cs="仿宋_GB2312"/>
          <w:color w:val="000000"/>
          <w:kern w:val="0"/>
          <w:szCs w:val="22"/>
        </w:rPr>
        <w:t>元，与年初预算数</w:t>
      </w:r>
      <w:r>
        <w:rPr>
          <w:rFonts w:hint="eastAsia" w:ascii="仿宋_GB2312" w:hAnsi="宋体" w:cs="仿宋_GB2312"/>
          <w:color w:val="000000"/>
          <w:kern w:val="0"/>
          <w:szCs w:val="22"/>
          <w:lang w:val="en-US" w:eastAsia="zh-CN"/>
        </w:rPr>
        <w:t>60000元</w:t>
      </w:r>
      <w:r>
        <w:rPr>
          <w:rFonts w:hint="eastAsia" w:ascii="仿宋_GB2312" w:hAnsi="宋体" w:cs="仿宋_GB2312"/>
          <w:color w:val="000000"/>
          <w:kern w:val="0"/>
          <w:szCs w:val="22"/>
        </w:rPr>
        <w:t>相比，减少3</w:t>
      </w:r>
      <w:r>
        <w:rPr>
          <w:rFonts w:hint="eastAsia" w:ascii="仿宋_GB2312" w:hAnsi="宋体" w:cs="仿宋_GB2312"/>
          <w:color w:val="000000"/>
          <w:kern w:val="0"/>
          <w:szCs w:val="22"/>
          <w:lang w:val="en-US" w:eastAsia="zh-CN"/>
        </w:rPr>
        <w:t>5303</w:t>
      </w:r>
      <w:r>
        <w:rPr>
          <w:rFonts w:hint="eastAsia" w:ascii="仿宋_GB2312" w:hAnsi="宋体" w:cs="仿宋_GB2312"/>
          <w:color w:val="000000"/>
          <w:kern w:val="0"/>
          <w:szCs w:val="22"/>
        </w:rPr>
        <w:t>元，降-58.84%；与上年决算数</w:t>
      </w:r>
      <w:r>
        <w:rPr>
          <w:rFonts w:hint="eastAsia" w:ascii="仿宋_GB2312" w:hAnsi="宋体" w:cs="仿宋_GB2312"/>
          <w:color w:val="000000"/>
          <w:kern w:val="0"/>
          <w:szCs w:val="22"/>
          <w:lang w:val="en-US" w:eastAsia="zh-CN"/>
        </w:rPr>
        <w:t>29678</w:t>
      </w:r>
      <w:r>
        <w:rPr>
          <w:rFonts w:hint="eastAsia" w:ascii="仿宋_GB2312" w:hAnsi="宋体" w:cs="仿宋_GB2312"/>
          <w:color w:val="000000"/>
          <w:kern w:val="0"/>
          <w:szCs w:val="22"/>
        </w:rPr>
        <w:t>元相比，减少</w:t>
      </w:r>
      <w:r>
        <w:rPr>
          <w:rFonts w:hint="eastAsia" w:ascii="仿宋_GB2312" w:hAnsi="宋体" w:cs="仿宋_GB2312"/>
          <w:color w:val="000000"/>
          <w:kern w:val="0"/>
          <w:szCs w:val="22"/>
          <w:lang w:val="en-US" w:eastAsia="zh-CN"/>
        </w:rPr>
        <w:t>4981</w:t>
      </w:r>
      <w:r>
        <w:rPr>
          <w:rFonts w:hint="eastAsia" w:ascii="仿宋_GB2312" w:hAnsi="宋体" w:cs="仿宋_GB2312"/>
          <w:color w:val="000000"/>
          <w:kern w:val="0"/>
          <w:szCs w:val="22"/>
        </w:rPr>
        <w:t>元，</w:t>
      </w:r>
      <w:r>
        <w:rPr>
          <w:rFonts w:hint="eastAsia" w:ascii="仿宋_GB2312" w:hAnsi="宋体" w:cs="仿宋_GB2312"/>
          <w:color w:val="000000"/>
          <w:kern w:val="0"/>
          <w:szCs w:val="22"/>
          <w:lang w:eastAsia="zh-CN"/>
        </w:rPr>
        <w:t>降</w:t>
      </w:r>
      <w:r>
        <w:rPr>
          <w:rFonts w:hint="eastAsia" w:ascii="仿宋_GB2312" w:hAnsi="宋体" w:cs="仿宋_GB2312"/>
          <w:color w:val="000000"/>
          <w:kern w:val="0"/>
          <w:szCs w:val="22"/>
        </w:rPr>
        <w:t>-16.78%。</w:t>
      </w:r>
    </w:p>
    <w:p w14:paraId="4DDFCC05">
      <w:pPr>
        <w:numPr>
          <w:ilvl w:val="0"/>
          <w:numId w:val="2"/>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分项中2020年因公出国境费、公务用车购置费为零；公务用车运行费决算数1</w:t>
      </w:r>
      <w:r>
        <w:rPr>
          <w:rFonts w:hint="eastAsia" w:ascii="仿宋_GB2312" w:hAnsi="宋体" w:cs="仿宋_GB2312"/>
          <w:color w:val="000000"/>
          <w:kern w:val="0"/>
          <w:szCs w:val="22"/>
          <w:lang w:val="en-US" w:eastAsia="zh-CN"/>
        </w:rPr>
        <w:t>0000</w:t>
      </w:r>
      <w:r>
        <w:rPr>
          <w:rFonts w:hint="eastAsia" w:ascii="仿宋_GB2312" w:hAnsi="宋体" w:cs="仿宋_GB2312"/>
          <w:color w:val="000000"/>
          <w:kern w:val="0"/>
          <w:szCs w:val="22"/>
        </w:rPr>
        <w:t>元，其中：一般公共预算财政拨款安排的支出决算数1</w:t>
      </w:r>
      <w:r>
        <w:rPr>
          <w:rFonts w:hint="eastAsia" w:ascii="仿宋_GB2312" w:hAnsi="宋体" w:cs="仿宋_GB2312"/>
          <w:color w:val="000000"/>
          <w:kern w:val="0"/>
          <w:szCs w:val="22"/>
          <w:lang w:val="en-US" w:eastAsia="zh-CN"/>
        </w:rPr>
        <w:t>0000</w:t>
      </w:r>
      <w:r>
        <w:rPr>
          <w:rFonts w:hint="eastAsia" w:ascii="仿宋_GB2312" w:hAnsi="宋体" w:cs="仿宋_GB2312"/>
          <w:color w:val="000000"/>
          <w:kern w:val="0"/>
          <w:szCs w:val="22"/>
        </w:rPr>
        <w:t>元，与年初预算数一致；与上年决算数一致。</w:t>
      </w:r>
    </w:p>
    <w:p w14:paraId="724D42DA">
      <w:pPr>
        <w:numPr>
          <w:ilvl w:val="0"/>
          <w:numId w:val="2"/>
        </w:numPr>
        <w:topLinePunct/>
        <w:spacing w:line="560" w:lineRule="exact"/>
        <w:ind w:firstLine="640" w:firstLineChars="200"/>
        <w:rPr>
          <w:rFonts w:hint="eastAsia" w:ascii="仿宋_GB2312" w:hAnsi="宋体" w:cs="仿宋_GB2312"/>
          <w:color w:val="000000"/>
          <w:kern w:val="0"/>
          <w:szCs w:val="22"/>
          <w:lang w:val="en-US" w:eastAsia="zh-CN"/>
        </w:rPr>
      </w:pPr>
      <w:r>
        <w:rPr>
          <w:rFonts w:hint="eastAsia" w:ascii="仿宋_GB2312" w:hAnsi="宋体" w:cs="仿宋_GB2312"/>
          <w:color w:val="000000"/>
          <w:kern w:val="0"/>
          <w:szCs w:val="22"/>
        </w:rPr>
        <w:t>分</w:t>
      </w:r>
      <w:r>
        <w:rPr>
          <w:rFonts w:hint="eastAsia" w:ascii="仿宋_GB2312" w:hAnsi="宋体" w:cs="仿宋_GB2312"/>
          <w:color w:val="000000"/>
          <w:kern w:val="0"/>
          <w:szCs w:val="22"/>
          <w:lang w:val="en-US" w:eastAsia="zh-CN"/>
        </w:rPr>
        <w:t>项中2020年公务接待费决算数14697元，其中：一般公共预算财政拨款的支出决算数14697元与年初预算数50000元相比，减少35303元，降-70.61%；与上年决算数19678元相比，减少4981元，降-25.31%。原因是本单位严控“三公经费”，公务接待费相应减少。</w:t>
      </w:r>
    </w:p>
    <w:p w14:paraId="5C300564">
      <w:pPr>
        <w:numPr>
          <w:ilvl w:val="0"/>
          <w:numId w:val="3"/>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本单位2020年公务用车购置费为零，年末车辆实有数1辆；因公出国（境）人数及费用为零；公务接待费1.47万元，共接待16批184人（其中：一般公共预算财政拨款的支出公务接待费1.47万元，共接待16批184人，含乡镇业务往来人员及省市相关工作人员）。</w:t>
      </w:r>
    </w:p>
    <w:p w14:paraId="57A3DDB3">
      <w:pPr>
        <w:numPr>
          <w:ilvl w:val="0"/>
          <w:numId w:val="3"/>
        </w:numPr>
        <w:topLinePunct/>
        <w:spacing w:line="560" w:lineRule="exact"/>
        <w:ind w:left="0" w:leftChars="0" w:firstLine="640" w:firstLineChars="200"/>
        <w:rPr>
          <w:rFonts w:hint="eastAsia" w:ascii="仿宋_GB2312" w:hAnsi="宋体" w:cs="仿宋_GB2312"/>
          <w:color w:val="000000"/>
          <w:kern w:val="0"/>
          <w:szCs w:val="22"/>
          <w:lang w:val="en-US" w:eastAsia="zh-CN"/>
        </w:rPr>
      </w:pPr>
      <w:r>
        <w:rPr>
          <w:rFonts w:hint="eastAsia" w:ascii="仿宋_GB2312" w:hAnsi="宋体" w:cs="仿宋_GB2312"/>
          <w:color w:val="000000"/>
          <w:kern w:val="0"/>
          <w:szCs w:val="22"/>
          <w:lang w:val="en-US" w:eastAsia="zh-CN"/>
        </w:rPr>
        <w:t>会议费支出情况：会议费本年支出数970.40元，较上年2693元，减少1722.60元，增减-63.97%。原因是本单位严控“三公经费”， 会议费相应减少。</w:t>
      </w:r>
    </w:p>
    <w:p w14:paraId="44D48419">
      <w:pPr>
        <w:numPr>
          <w:ilvl w:val="0"/>
          <w:numId w:val="3"/>
        </w:numPr>
        <w:topLinePunct/>
        <w:spacing w:line="560" w:lineRule="exact"/>
        <w:ind w:left="0" w:leftChars="0" w:firstLine="640" w:firstLineChars="200"/>
        <w:rPr>
          <w:rFonts w:hint="eastAsia" w:ascii="仿宋_GB2312" w:hAnsi="宋体" w:cs="仿宋_GB2312"/>
          <w:color w:val="000000"/>
          <w:kern w:val="0"/>
          <w:szCs w:val="22"/>
          <w:lang w:val="en-US" w:eastAsia="zh-CN"/>
        </w:rPr>
      </w:pPr>
      <w:r>
        <w:rPr>
          <w:rFonts w:hint="eastAsia" w:ascii="仿宋_GB2312" w:hAnsi="宋体" w:cs="仿宋_GB2312"/>
          <w:color w:val="000000"/>
          <w:kern w:val="0"/>
          <w:szCs w:val="22"/>
          <w:lang w:val="en-US" w:eastAsia="zh-CN"/>
        </w:rPr>
        <w:t>培训费支出情况：培训费本年支出数0万元，较上年3235元，减少3235元，降-100%。原因是本单位严控“三公经费”，会议费相应减少。</w:t>
      </w:r>
    </w:p>
    <w:p w14:paraId="292E817E">
      <w:pPr>
        <w:pStyle w:val="2"/>
        <w:numPr>
          <w:ilvl w:val="0"/>
          <w:numId w:val="0"/>
        </w:numPr>
        <w:ind w:firstLine="640" w:firstLineChars="200"/>
        <w:rPr>
          <w:rFonts w:hint="default"/>
          <w:lang w:val="en-US" w:eastAsia="zh-CN"/>
        </w:rPr>
      </w:pPr>
      <w:r>
        <w:rPr>
          <w:rFonts w:hint="eastAsia" w:ascii="Times New Roman" w:hAnsi="Times New Roman" w:eastAsia="仿宋_GB2312" w:cs="Times New Roman"/>
          <w:kern w:val="2"/>
          <w:sz w:val="32"/>
          <w:szCs w:val="22"/>
          <w:lang w:val="en-US" w:eastAsia="zh-CN" w:bidi="ar-SA"/>
        </w:rPr>
        <w:t>4.</w:t>
      </w:r>
      <w:r>
        <w:rPr>
          <w:rFonts w:hint="eastAsia" w:ascii="楷体" w:hAnsi="楷体" w:eastAsia="楷体" w:cs="楷体"/>
          <w:color w:val="000000"/>
          <w:kern w:val="0"/>
          <w:sz w:val="32"/>
          <w:szCs w:val="22"/>
          <w:lang w:val="en-US" w:eastAsia="zh-CN" w:bidi="ar-SA"/>
        </w:rPr>
        <w:t>年末结转和结余情况</w:t>
      </w:r>
    </w:p>
    <w:p w14:paraId="22A79ACC">
      <w:pPr>
        <w:numPr>
          <w:ilvl w:val="0"/>
          <w:numId w:val="0"/>
        </w:numPr>
        <w:topLinePunct/>
        <w:spacing w:line="560" w:lineRule="exact"/>
        <w:ind w:firstLine="640" w:firstLineChars="200"/>
        <w:rPr>
          <w:rFonts w:hint="eastAsia" w:ascii="仿宋_GB2312" w:hAnsi="宋体" w:cs="仿宋_GB2312"/>
          <w:color w:val="000000"/>
          <w:kern w:val="0"/>
          <w:szCs w:val="22"/>
          <w:lang w:eastAsia="zh-CN"/>
        </w:rPr>
      </w:pPr>
      <w:r>
        <w:rPr>
          <w:rFonts w:hint="eastAsia" w:ascii="仿宋_GB2312" w:hAnsi="宋体" w:cs="仿宋_GB2312"/>
          <w:color w:val="000000"/>
          <w:kern w:val="0"/>
          <w:szCs w:val="22"/>
          <w:lang w:eastAsia="zh-CN"/>
        </w:rPr>
        <w:t>本单位</w:t>
      </w:r>
      <w:r>
        <w:rPr>
          <w:rFonts w:hint="eastAsia" w:ascii="仿宋_GB2312" w:hAnsi="宋体" w:cs="仿宋_GB2312"/>
          <w:color w:val="000000"/>
          <w:kern w:val="0"/>
          <w:szCs w:val="22"/>
          <w:lang w:val="en-US" w:eastAsia="zh-CN"/>
        </w:rPr>
        <w:t>2020年12月31日止</w:t>
      </w:r>
      <w:r>
        <w:rPr>
          <w:rFonts w:hint="eastAsia" w:ascii="仿宋_GB2312" w:hAnsi="宋体" w:cs="仿宋_GB2312"/>
          <w:color w:val="000000"/>
          <w:kern w:val="0"/>
          <w:szCs w:val="22"/>
        </w:rPr>
        <w:t>年末结转和结余</w:t>
      </w:r>
      <w:r>
        <w:rPr>
          <w:rFonts w:hint="eastAsia" w:ascii="仿宋_GB2312" w:hAnsi="宋体" w:cs="仿宋_GB2312"/>
          <w:color w:val="000000"/>
          <w:kern w:val="0"/>
          <w:szCs w:val="22"/>
          <w:lang w:eastAsia="zh-CN"/>
        </w:rPr>
        <w:t>共</w:t>
      </w:r>
      <w:r>
        <w:rPr>
          <w:rFonts w:hint="eastAsia" w:ascii="仿宋_GB2312" w:hAnsi="宋体" w:cs="仿宋_GB2312"/>
          <w:color w:val="000000"/>
          <w:kern w:val="0"/>
          <w:szCs w:val="22"/>
        </w:rPr>
        <w:t>3920.83万元</w:t>
      </w:r>
      <w:r>
        <w:rPr>
          <w:rFonts w:hint="eastAsia" w:ascii="仿宋_GB2312" w:hAnsi="宋体" w:cs="仿宋_GB2312"/>
          <w:color w:val="000000"/>
          <w:kern w:val="0"/>
          <w:szCs w:val="22"/>
          <w:lang w:eastAsia="zh-CN"/>
        </w:rPr>
        <w:t>。</w:t>
      </w:r>
    </w:p>
    <w:p w14:paraId="59D0DC01">
      <w:pPr>
        <w:numPr>
          <w:ilvl w:val="0"/>
          <w:numId w:val="4"/>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一般公共预算财政拨款结转</w:t>
      </w:r>
      <w:r>
        <w:rPr>
          <w:rFonts w:hint="eastAsia" w:ascii="仿宋_GB2312" w:hAnsi="宋体" w:cs="仿宋_GB2312"/>
          <w:color w:val="000000"/>
          <w:kern w:val="0"/>
          <w:szCs w:val="22"/>
          <w:lang w:val="en-US" w:eastAsia="zh-CN"/>
        </w:rPr>
        <w:t>30654.38</w:t>
      </w:r>
      <w:r>
        <w:rPr>
          <w:rFonts w:hint="eastAsia" w:ascii="仿宋_GB2312" w:hAnsi="宋体" w:cs="仿宋_GB2312"/>
          <w:color w:val="000000"/>
          <w:kern w:val="0"/>
          <w:szCs w:val="22"/>
        </w:rPr>
        <w:t>元、上年</w:t>
      </w:r>
      <w:r>
        <w:rPr>
          <w:rFonts w:hint="eastAsia" w:ascii="仿宋_GB2312" w:hAnsi="宋体" w:cs="仿宋_GB2312"/>
          <w:color w:val="000000"/>
          <w:kern w:val="0"/>
          <w:szCs w:val="22"/>
          <w:lang w:val="en-US" w:eastAsia="zh-CN"/>
        </w:rPr>
        <w:t>1740</w:t>
      </w:r>
      <w:r>
        <w:rPr>
          <w:rFonts w:hint="eastAsia" w:ascii="仿宋_GB2312" w:hAnsi="宋体" w:cs="仿宋_GB2312"/>
          <w:color w:val="000000"/>
          <w:kern w:val="0"/>
          <w:szCs w:val="22"/>
        </w:rPr>
        <w:t>元，增减1661.75%，原因是本年增加公务接待费、公务交通专项经费、公车运行维护费2.89万元结转2021年使用。2019年县财政拨入2019年粮库智能化升级改造补助资金5</w:t>
      </w:r>
      <w:r>
        <w:rPr>
          <w:rFonts w:hint="eastAsia" w:ascii="仿宋_GB2312" w:hAnsi="宋体" w:cs="仿宋_GB2312"/>
          <w:color w:val="000000"/>
          <w:kern w:val="0"/>
          <w:szCs w:val="22"/>
          <w:lang w:val="en-US" w:eastAsia="zh-CN"/>
        </w:rPr>
        <w:t>0000</w:t>
      </w:r>
      <w:r>
        <w:rPr>
          <w:rFonts w:hint="eastAsia" w:ascii="仿宋_GB2312" w:hAnsi="宋体" w:cs="仿宋_GB2312"/>
          <w:color w:val="000000"/>
          <w:kern w:val="0"/>
          <w:szCs w:val="22"/>
        </w:rPr>
        <w:t>元、余款</w:t>
      </w:r>
      <w:r>
        <w:rPr>
          <w:rFonts w:hint="eastAsia" w:ascii="仿宋_GB2312" w:hAnsi="宋体" w:cs="仿宋_GB2312"/>
          <w:color w:val="000000"/>
          <w:kern w:val="0"/>
          <w:szCs w:val="22"/>
          <w:lang w:val="en-US" w:eastAsia="zh-CN"/>
        </w:rPr>
        <w:t>1740</w:t>
      </w:r>
      <w:r>
        <w:rPr>
          <w:rFonts w:hint="eastAsia" w:ascii="仿宋_GB2312" w:hAnsi="宋体" w:cs="仿宋_GB2312"/>
          <w:color w:val="000000"/>
          <w:kern w:val="0"/>
          <w:szCs w:val="22"/>
        </w:rPr>
        <w:t>元，结转2021年拨付。</w:t>
      </w:r>
    </w:p>
    <w:p w14:paraId="60411687">
      <w:pPr>
        <w:numPr>
          <w:ilvl w:val="0"/>
          <w:numId w:val="4"/>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rPr>
        <w:t>政府性基金预算财政拨款本年余5</w:t>
      </w:r>
      <w:r>
        <w:rPr>
          <w:rFonts w:hint="eastAsia" w:ascii="仿宋_GB2312" w:hAnsi="宋体" w:cs="仿宋_GB2312"/>
          <w:color w:val="000000"/>
          <w:kern w:val="0"/>
          <w:szCs w:val="22"/>
          <w:lang w:val="en-US" w:eastAsia="zh-CN"/>
        </w:rPr>
        <w:t>65914</w:t>
      </w:r>
      <w:r>
        <w:rPr>
          <w:rFonts w:hint="eastAsia" w:ascii="仿宋_GB2312" w:hAnsi="宋体" w:cs="仿宋_GB2312"/>
          <w:color w:val="000000"/>
          <w:kern w:val="0"/>
          <w:szCs w:val="22"/>
        </w:rPr>
        <w:t>元、上年0万元，增减100%.原因是本年度县财政拨入富民县“十四五”国民经济和社会发展规划编制经费100万元，支出</w:t>
      </w:r>
      <w:r>
        <w:rPr>
          <w:rFonts w:hint="eastAsia" w:ascii="仿宋_GB2312" w:hAnsi="宋体" w:cs="仿宋_GB2312"/>
          <w:color w:val="000000"/>
          <w:kern w:val="0"/>
          <w:szCs w:val="22"/>
          <w:lang w:val="en-US" w:eastAsia="zh-CN"/>
        </w:rPr>
        <w:t>434086</w:t>
      </w:r>
      <w:r>
        <w:rPr>
          <w:rFonts w:hint="eastAsia" w:ascii="仿宋_GB2312" w:hAnsi="宋体" w:cs="仿宋_GB2312"/>
          <w:color w:val="000000"/>
          <w:kern w:val="0"/>
          <w:szCs w:val="22"/>
        </w:rPr>
        <w:t>元，余款56</w:t>
      </w:r>
      <w:r>
        <w:rPr>
          <w:rFonts w:hint="eastAsia" w:ascii="仿宋_GB2312" w:hAnsi="宋体" w:cs="仿宋_GB2312"/>
          <w:color w:val="000000"/>
          <w:kern w:val="0"/>
          <w:szCs w:val="22"/>
          <w:lang w:val="en-US" w:eastAsia="zh-CN"/>
        </w:rPr>
        <w:t>5914</w:t>
      </w:r>
      <w:r>
        <w:rPr>
          <w:rFonts w:hint="eastAsia" w:ascii="仿宋_GB2312" w:hAnsi="宋体" w:cs="仿宋_GB2312"/>
          <w:color w:val="000000"/>
          <w:kern w:val="0"/>
          <w:szCs w:val="22"/>
        </w:rPr>
        <w:t>元，结转2021年使用。</w:t>
      </w:r>
    </w:p>
    <w:p w14:paraId="0BA771E8">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lang w:eastAsia="zh-CN"/>
        </w:rPr>
        <w:t>（</w:t>
      </w:r>
      <w:r>
        <w:rPr>
          <w:rFonts w:hint="eastAsia" w:ascii="仿宋_GB2312" w:hAnsi="宋体" w:cs="仿宋_GB2312"/>
          <w:color w:val="000000"/>
          <w:kern w:val="0"/>
          <w:szCs w:val="22"/>
          <w:lang w:val="en-US" w:eastAsia="zh-CN"/>
        </w:rPr>
        <w:t>3</w:t>
      </w:r>
      <w:r>
        <w:rPr>
          <w:rFonts w:hint="eastAsia" w:ascii="仿宋_GB2312" w:hAnsi="宋体" w:cs="仿宋_GB2312"/>
          <w:color w:val="000000"/>
          <w:kern w:val="0"/>
          <w:szCs w:val="22"/>
          <w:lang w:eastAsia="zh-CN"/>
        </w:rPr>
        <w:t>）</w:t>
      </w:r>
      <w:r>
        <w:rPr>
          <w:rFonts w:hint="eastAsia" w:ascii="仿宋_GB2312" w:hAnsi="宋体" w:cs="仿宋_GB2312"/>
          <w:color w:val="000000"/>
          <w:kern w:val="0"/>
          <w:szCs w:val="22"/>
        </w:rPr>
        <w:t>市发改委拨入项目前期费3465.82万元，项目正在设施中，支出按工程进度拨付，结转2021年使用。</w:t>
      </w:r>
    </w:p>
    <w:p w14:paraId="580B894D">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仿宋_GB2312" w:hAnsi="宋体" w:cs="仿宋_GB2312"/>
          <w:color w:val="000000"/>
          <w:kern w:val="0"/>
          <w:szCs w:val="22"/>
          <w:lang w:eastAsia="zh-CN"/>
        </w:rPr>
        <w:t>（</w:t>
      </w:r>
      <w:r>
        <w:rPr>
          <w:rFonts w:hint="eastAsia" w:ascii="仿宋_GB2312" w:hAnsi="宋体" w:cs="仿宋_GB2312"/>
          <w:color w:val="000000"/>
          <w:kern w:val="0"/>
          <w:szCs w:val="22"/>
          <w:lang w:val="en-US" w:eastAsia="zh-CN"/>
        </w:rPr>
        <w:t>4</w:t>
      </w:r>
      <w:r>
        <w:rPr>
          <w:rFonts w:hint="eastAsia" w:ascii="仿宋_GB2312" w:hAnsi="宋体" w:cs="仿宋_GB2312"/>
          <w:color w:val="000000"/>
          <w:kern w:val="0"/>
          <w:szCs w:val="22"/>
          <w:lang w:eastAsia="zh-CN"/>
        </w:rPr>
        <w:t>）</w:t>
      </w:r>
      <w:r>
        <w:rPr>
          <w:rFonts w:hint="eastAsia" w:ascii="仿宋_GB2312" w:hAnsi="宋体" w:cs="仿宋_GB2312"/>
          <w:color w:val="000000"/>
          <w:kern w:val="0"/>
          <w:szCs w:val="22"/>
        </w:rPr>
        <w:t>富民县石漠化综合治理工程项目资金余395.35万元，相关项目正在验收中，待项目验收结束结余资金上缴财政，现结转2021年。</w:t>
      </w:r>
    </w:p>
    <w:p w14:paraId="42A9260F">
      <w:pPr>
        <w:topLinePunct/>
        <w:ind w:firstLine="640" w:firstLineChars="200"/>
        <w:rPr>
          <w:rFonts w:hint="eastAsia" w:ascii="仿宋_GB2312" w:hAnsi="楷体"/>
          <w:szCs w:val="32"/>
        </w:rPr>
      </w:pPr>
      <w:r>
        <w:rPr>
          <w:rFonts w:hint="eastAsia" w:ascii="仿宋_GB2312" w:hAnsi="楷体"/>
          <w:szCs w:val="32"/>
        </w:rPr>
        <w:t>（六）政府采购情况。</w:t>
      </w:r>
    </w:p>
    <w:p w14:paraId="2119AE7C">
      <w:pPr>
        <w:numPr>
          <w:ilvl w:val="0"/>
          <w:numId w:val="0"/>
        </w:numPr>
        <w:topLinePunct/>
        <w:spacing w:line="560" w:lineRule="exact"/>
        <w:ind w:firstLine="640" w:firstLineChars="200"/>
      </w:pPr>
      <w:r>
        <w:rPr>
          <w:rFonts w:hint="eastAsia" w:ascii="仿宋_GB2312" w:hAnsi="宋体" w:cs="仿宋_GB2312"/>
          <w:color w:val="000000"/>
          <w:kern w:val="0"/>
          <w:szCs w:val="22"/>
          <w:lang w:val="en-US" w:eastAsia="zh-CN"/>
        </w:rPr>
        <w:t>2020</w:t>
      </w:r>
      <w:r>
        <w:rPr>
          <w:rFonts w:hint="eastAsia" w:ascii="仿宋_GB2312" w:hAnsi="宋体" w:cs="仿宋_GB2312"/>
          <w:color w:val="000000"/>
          <w:kern w:val="0"/>
          <w:szCs w:val="22"/>
        </w:rPr>
        <w:t>年政府采购预算数为</w:t>
      </w:r>
      <w:r>
        <w:rPr>
          <w:rFonts w:hint="eastAsia" w:ascii="仿宋_GB2312" w:hAnsi="宋体" w:cs="仿宋_GB2312"/>
          <w:color w:val="000000"/>
          <w:kern w:val="0"/>
          <w:szCs w:val="22"/>
          <w:lang w:val="en-US" w:eastAsia="zh-CN"/>
        </w:rPr>
        <w:t>10.9万</w:t>
      </w:r>
      <w:r>
        <w:rPr>
          <w:rFonts w:hint="eastAsia" w:ascii="仿宋_GB2312" w:hAnsi="宋体" w:cs="仿宋_GB2312"/>
          <w:color w:val="000000"/>
          <w:kern w:val="0"/>
          <w:szCs w:val="22"/>
        </w:rPr>
        <w:t>元，本年购入办公设备9.4万元，家具用具2.5万元，合计11.9万元。</w:t>
      </w:r>
    </w:p>
    <w:p w14:paraId="041CF393">
      <w:pPr>
        <w:topLinePunct/>
        <w:ind w:firstLine="800" w:firstLineChars="250"/>
        <w:rPr>
          <w:rFonts w:hint="eastAsia" w:ascii="仿宋_GB2312" w:hAnsi="楷体"/>
          <w:szCs w:val="32"/>
        </w:rPr>
      </w:pPr>
      <w:r>
        <w:rPr>
          <w:rFonts w:hint="eastAsia" w:ascii="仿宋_GB2312" w:hAnsi="楷体"/>
          <w:szCs w:val="32"/>
        </w:rPr>
        <w:t>（七）固定资产情况。</w:t>
      </w:r>
    </w:p>
    <w:p w14:paraId="21DC1AE6">
      <w:pPr>
        <w:topLinePunct/>
        <w:ind w:firstLine="800" w:firstLineChars="250"/>
        <w:rPr>
          <w:rFonts w:hint="eastAsia" w:ascii="仿宋_GB2312" w:hAnsi="宋体" w:cs="仿宋_GB2312"/>
          <w:color w:val="000000"/>
          <w:kern w:val="0"/>
          <w:szCs w:val="22"/>
          <w:lang w:val="en-US" w:eastAsia="zh-CN"/>
        </w:rPr>
      </w:pPr>
      <w:r>
        <w:rPr>
          <w:rFonts w:hint="eastAsia" w:ascii="仿宋_GB2312" w:hAnsi="宋体" w:cs="仿宋_GB2312"/>
          <w:color w:val="000000"/>
          <w:kern w:val="0"/>
          <w:szCs w:val="22"/>
          <w:lang w:val="en-US" w:eastAsia="zh-CN"/>
        </w:rPr>
        <w:t>2020年末</w:t>
      </w:r>
      <w:r>
        <w:rPr>
          <w:rFonts w:hint="eastAsia" w:ascii="仿宋_GB2312" w:hAnsi="宋体" w:cs="仿宋_GB2312"/>
          <w:color w:val="000000"/>
          <w:kern w:val="0"/>
          <w:szCs w:val="22"/>
        </w:rPr>
        <w:t>固定资产</w:t>
      </w:r>
      <w:r>
        <w:rPr>
          <w:rFonts w:hint="eastAsia" w:ascii="仿宋_GB2312" w:hAnsi="宋体" w:cs="仿宋_GB2312"/>
          <w:color w:val="000000"/>
          <w:kern w:val="0"/>
          <w:szCs w:val="22"/>
          <w:lang w:eastAsia="zh-CN"/>
        </w:rPr>
        <w:t>净值为</w:t>
      </w:r>
      <w:r>
        <w:rPr>
          <w:rFonts w:hint="eastAsia" w:ascii="仿宋_GB2312" w:hAnsi="宋体" w:cs="仿宋_GB2312"/>
          <w:color w:val="000000"/>
          <w:kern w:val="0"/>
          <w:szCs w:val="22"/>
          <w:lang w:val="en-US" w:eastAsia="zh-CN"/>
        </w:rPr>
        <w:t>1113764.8</w:t>
      </w:r>
      <w:r>
        <w:rPr>
          <w:rFonts w:hint="eastAsia" w:ascii="仿宋_GB2312" w:hAnsi="宋体" w:cs="仿宋_GB2312"/>
          <w:color w:val="000000"/>
          <w:kern w:val="0"/>
          <w:szCs w:val="22"/>
        </w:rPr>
        <w:t>元</w:t>
      </w:r>
      <w:r>
        <w:rPr>
          <w:rFonts w:hint="eastAsia" w:ascii="仿宋_GB2312" w:hAnsi="宋体" w:cs="仿宋_GB2312"/>
          <w:color w:val="000000"/>
          <w:kern w:val="0"/>
          <w:szCs w:val="22"/>
          <w:lang w:eastAsia="zh-CN"/>
        </w:rPr>
        <w:t>，其中：土地、房屋及构筑物</w:t>
      </w:r>
      <w:r>
        <w:rPr>
          <w:rFonts w:hint="eastAsia" w:ascii="仿宋_GB2312" w:hAnsi="宋体" w:cs="仿宋_GB2312"/>
          <w:color w:val="000000"/>
          <w:kern w:val="0"/>
          <w:szCs w:val="22"/>
          <w:lang w:val="en-US" w:eastAsia="zh-CN"/>
        </w:rPr>
        <w:t>350150.88元；通用设备112215.71元；专用设备580327.45元；家具、用具71070.76元。</w:t>
      </w:r>
    </w:p>
    <w:p w14:paraId="454D9288">
      <w:pPr>
        <w:pStyle w:val="2"/>
        <w:rPr>
          <w:rFonts w:hint="eastAsia" w:ascii="仿宋_GB2312" w:hAnsi="宋体" w:cs="仿宋_GB2312"/>
          <w:color w:val="000000"/>
          <w:kern w:val="0"/>
          <w:szCs w:val="22"/>
          <w:lang w:val="en-US" w:eastAsia="zh-CN"/>
        </w:rPr>
      </w:pPr>
      <w:r>
        <w:rPr>
          <w:rFonts w:hint="eastAsia" w:ascii="仿宋_GB2312" w:hAnsi="宋体" w:cs="仿宋_GB2312"/>
          <w:color w:val="000000"/>
          <w:kern w:val="0"/>
          <w:szCs w:val="22"/>
          <w:lang w:val="en-US" w:eastAsia="zh-CN"/>
        </w:rPr>
        <w:t>2020年增加固定资产119005元，其中：增加13台台式机共63300元；4台便携式计算机共18800元；3台打印设备共10040元；1台多功能一体机1900元；台、桌类6485元；椅凳类16080元；文件柜1900元；其他柜500元。</w:t>
      </w:r>
    </w:p>
    <w:p w14:paraId="19CD151A">
      <w:pPr>
        <w:pStyle w:val="2"/>
        <w:rPr>
          <w:rFonts w:hint="eastAsia" w:ascii="仿宋_GB2312" w:hAnsi="宋体" w:cs="仿宋_GB2312"/>
          <w:color w:val="000000"/>
          <w:kern w:val="0"/>
          <w:szCs w:val="22"/>
          <w:lang w:val="en-US" w:eastAsia="zh-CN"/>
        </w:rPr>
      </w:pPr>
      <w:r>
        <w:rPr>
          <w:rFonts w:hint="eastAsia" w:ascii="仿宋_GB2312" w:hAnsi="宋体" w:cs="仿宋_GB2312"/>
          <w:color w:val="000000"/>
          <w:kern w:val="0"/>
          <w:szCs w:val="22"/>
          <w:lang w:val="en-US" w:eastAsia="zh-CN"/>
        </w:rPr>
        <w:t>2020年固定资产减少32270元。</w:t>
      </w:r>
    </w:p>
    <w:p w14:paraId="1CDBC76D">
      <w:pPr>
        <w:topLinePunct/>
        <w:ind w:firstLine="640" w:firstLineChars="200"/>
        <w:rPr>
          <w:rFonts w:hint="default" w:ascii="仿宋_GB2312" w:hAnsi="宋体" w:cs="仿宋_GB2312"/>
          <w:color w:val="000000"/>
          <w:kern w:val="0"/>
          <w:szCs w:val="22"/>
          <w:lang w:val="en-US" w:eastAsia="zh-CN"/>
        </w:rPr>
      </w:pPr>
      <w:r>
        <w:rPr>
          <w:rFonts w:hint="eastAsia" w:ascii="仿宋_GB2312" w:hAnsi="宋体" w:cs="仿宋_GB2312"/>
          <w:color w:val="000000"/>
          <w:kern w:val="0"/>
          <w:szCs w:val="22"/>
          <w:lang w:val="en-US" w:eastAsia="zh-CN"/>
        </w:rPr>
        <w:t>按以上数据，2019年末固定资产数2342312.5元+增加数119005元-减少数32270元=2020年末固定资产数2425247.5元，截止2020年12月31日，固定资产累计折旧1311482.7元，固定资产净值1113764.8元。</w:t>
      </w:r>
    </w:p>
    <w:p w14:paraId="5403183C">
      <w:pPr>
        <w:topLinePunct/>
        <w:ind w:firstLine="800" w:firstLineChars="250"/>
        <w:rPr>
          <w:rFonts w:hint="eastAsia" w:ascii="仿宋_GB2312" w:hAnsi="楷体"/>
          <w:szCs w:val="32"/>
        </w:rPr>
      </w:pPr>
      <w:r>
        <w:rPr>
          <w:rFonts w:hint="eastAsia" w:ascii="仿宋_GB2312" w:hAnsi="楷体"/>
          <w:szCs w:val="32"/>
        </w:rPr>
        <w:t>（</w:t>
      </w:r>
      <w:r>
        <w:rPr>
          <w:rFonts w:hint="eastAsia" w:ascii="仿宋_GB2312" w:hAnsi="楷体"/>
          <w:szCs w:val="32"/>
          <w:lang w:eastAsia="zh-CN"/>
        </w:rPr>
        <w:t>八</w:t>
      </w:r>
      <w:r>
        <w:rPr>
          <w:rFonts w:hint="eastAsia" w:ascii="仿宋_GB2312" w:hAnsi="楷体"/>
          <w:szCs w:val="32"/>
        </w:rPr>
        <w:t>）</w:t>
      </w:r>
      <w:r>
        <w:rPr>
          <w:rFonts w:hint="eastAsia" w:ascii="仿宋_GB2312" w:hAnsi="楷体"/>
          <w:szCs w:val="32"/>
          <w:lang w:eastAsia="zh-CN"/>
        </w:rPr>
        <w:t>无形</w:t>
      </w:r>
      <w:r>
        <w:rPr>
          <w:rFonts w:hint="eastAsia" w:ascii="仿宋_GB2312" w:hAnsi="楷体"/>
          <w:szCs w:val="32"/>
        </w:rPr>
        <w:t>资产情况。</w:t>
      </w:r>
    </w:p>
    <w:p w14:paraId="3B5B88F1">
      <w:pPr>
        <w:numPr>
          <w:ilvl w:val="0"/>
          <w:numId w:val="0"/>
        </w:numPr>
        <w:topLinePunct/>
        <w:spacing w:line="560" w:lineRule="exact"/>
        <w:ind w:firstLine="640" w:firstLineChars="200"/>
        <w:rPr>
          <w:rFonts w:hint="eastAsia" w:ascii="仿宋_GB2312" w:hAnsi="楷体"/>
          <w:szCs w:val="32"/>
        </w:rPr>
      </w:pPr>
      <w:r>
        <w:rPr>
          <w:rFonts w:hint="eastAsia" w:ascii="仿宋_GB2312" w:hAnsi="宋体" w:cs="仿宋_GB2312"/>
          <w:color w:val="000000"/>
          <w:kern w:val="0"/>
          <w:szCs w:val="22"/>
          <w:lang w:val="en-US" w:eastAsia="zh-CN"/>
        </w:rPr>
        <w:t>2020年无形资产原值总计3800元，为县财政局2019年3月无偿划拨用友财务软件一套，截止2020年12月31日，无形资产累计摊销1161.16元，无形资产净值2638.84元。</w:t>
      </w:r>
    </w:p>
    <w:p w14:paraId="3DDAD9F6">
      <w:pPr>
        <w:topLinePunct/>
        <w:ind w:firstLine="800" w:firstLineChars="250"/>
        <w:rPr>
          <w:rFonts w:ascii="黑体" w:hAnsi="黑体" w:eastAsia="黑体"/>
          <w:szCs w:val="32"/>
        </w:rPr>
      </w:pPr>
      <w:r>
        <w:rPr>
          <w:rFonts w:hint="eastAsia" w:ascii="黑体" w:hAnsi="黑体" w:eastAsia="黑体"/>
          <w:szCs w:val="32"/>
        </w:rPr>
        <w:t>二、绩效目标</w:t>
      </w:r>
    </w:p>
    <w:p w14:paraId="0233F83B">
      <w:pPr>
        <w:topLinePunct/>
        <w:ind w:firstLine="800" w:firstLineChars="250"/>
        <w:rPr>
          <w:rFonts w:hint="eastAsia" w:ascii="楷体" w:hAnsi="楷体" w:eastAsia="楷体"/>
          <w:szCs w:val="32"/>
        </w:rPr>
      </w:pPr>
      <w:r>
        <w:rPr>
          <w:rFonts w:hint="eastAsia" w:ascii="楷体" w:hAnsi="楷体" w:eastAsia="楷体"/>
          <w:szCs w:val="32"/>
        </w:rPr>
        <w:t>（一）部门总目标。</w:t>
      </w:r>
    </w:p>
    <w:p w14:paraId="4042231D">
      <w:pPr>
        <w:numPr>
          <w:ilvl w:val="0"/>
          <w:numId w:val="0"/>
        </w:numPr>
        <w:topLinePunct/>
        <w:spacing w:line="560" w:lineRule="exact"/>
        <w:ind w:firstLine="640" w:firstLineChars="200"/>
        <w:rPr>
          <w:rFonts w:hint="eastAsia" w:ascii="仿宋_GB2312" w:hAnsi="宋体" w:cs="仿宋_GB2312"/>
          <w:color w:val="000000"/>
          <w:kern w:val="0"/>
          <w:szCs w:val="22"/>
          <w:lang w:eastAsia="zh-CN"/>
        </w:rPr>
      </w:pPr>
      <w:r>
        <w:rPr>
          <w:rFonts w:hint="eastAsia" w:ascii="Times New Roman" w:hAnsi="Times New Roman" w:eastAsia="仿宋_GB2312" w:cs="Times New Roman"/>
          <w:kern w:val="2"/>
          <w:sz w:val="32"/>
          <w:szCs w:val="22"/>
          <w:lang w:val="en-US" w:eastAsia="zh-CN" w:bidi="ar-SA"/>
        </w:rPr>
        <w:t>1.</w:t>
      </w:r>
      <w:r>
        <w:rPr>
          <w:rFonts w:hint="eastAsia" w:ascii="仿宋_GB2312" w:hAnsi="宋体" w:cs="仿宋_GB2312"/>
          <w:color w:val="000000"/>
          <w:kern w:val="0"/>
          <w:szCs w:val="22"/>
          <w:lang w:eastAsia="zh-CN"/>
        </w:rPr>
        <w:t>促进经济平稳发展；</w:t>
      </w:r>
    </w:p>
    <w:p w14:paraId="64126A62">
      <w:pPr>
        <w:numPr>
          <w:ilvl w:val="0"/>
          <w:numId w:val="0"/>
        </w:numPr>
        <w:topLinePunct/>
        <w:spacing w:line="560" w:lineRule="exact"/>
        <w:ind w:firstLine="640" w:firstLineChars="200"/>
        <w:rPr>
          <w:rFonts w:hint="eastAsia" w:ascii="仿宋_GB2312" w:hAnsi="宋体" w:cs="仿宋_GB2312"/>
          <w:color w:val="000000"/>
          <w:kern w:val="0"/>
          <w:szCs w:val="22"/>
          <w:lang w:eastAsia="zh-CN"/>
        </w:rPr>
      </w:pPr>
      <w:r>
        <w:rPr>
          <w:rFonts w:hint="eastAsia" w:ascii="Times New Roman" w:hAnsi="Times New Roman" w:eastAsia="仿宋_GB2312" w:cs="Times New Roman"/>
          <w:kern w:val="2"/>
          <w:sz w:val="32"/>
          <w:szCs w:val="22"/>
          <w:lang w:val="en-US" w:eastAsia="zh-CN" w:bidi="ar-SA"/>
        </w:rPr>
        <w:t>2.</w:t>
      </w:r>
      <w:r>
        <w:rPr>
          <w:rFonts w:hint="eastAsia" w:ascii="仿宋_GB2312" w:hAnsi="宋体" w:cs="仿宋_GB2312"/>
          <w:color w:val="000000"/>
          <w:kern w:val="0"/>
          <w:szCs w:val="22"/>
          <w:lang w:eastAsia="zh-CN"/>
        </w:rPr>
        <w:t>抓实重点建设项目；</w:t>
      </w:r>
    </w:p>
    <w:p w14:paraId="2EF99797">
      <w:pPr>
        <w:numPr>
          <w:ilvl w:val="0"/>
          <w:numId w:val="0"/>
        </w:numPr>
        <w:topLinePunct/>
        <w:spacing w:line="560" w:lineRule="exact"/>
        <w:ind w:firstLine="640" w:firstLineChars="200"/>
        <w:rPr>
          <w:rFonts w:hint="eastAsia" w:ascii="仿宋_GB2312" w:hAnsi="宋体" w:cs="仿宋_GB2312"/>
          <w:color w:val="000000"/>
          <w:kern w:val="0"/>
          <w:szCs w:val="22"/>
          <w:lang w:eastAsia="zh-CN"/>
        </w:rPr>
      </w:pPr>
      <w:r>
        <w:rPr>
          <w:rFonts w:hint="eastAsia" w:ascii="Times New Roman" w:hAnsi="Times New Roman" w:eastAsia="仿宋_GB2312" w:cs="Times New Roman"/>
          <w:kern w:val="2"/>
          <w:sz w:val="32"/>
          <w:szCs w:val="22"/>
          <w:lang w:val="en-US" w:eastAsia="zh-CN" w:bidi="ar-SA"/>
        </w:rPr>
        <w:t>3</w:t>
      </w:r>
      <w:r>
        <w:rPr>
          <w:rFonts w:hint="eastAsia" w:ascii="仿宋_GB2312" w:hAnsi="宋体" w:cs="仿宋_GB2312"/>
          <w:color w:val="000000"/>
          <w:kern w:val="0"/>
          <w:szCs w:val="22"/>
        </w:rPr>
        <w:t>.加强价格和收费管理，确保价格运行平稳</w:t>
      </w:r>
      <w:r>
        <w:rPr>
          <w:rFonts w:hint="eastAsia" w:ascii="仿宋_GB2312" w:hAnsi="宋体" w:cs="仿宋_GB2312"/>
          <w:color w:val="000000"/>
          <w:kern w:val="0"/>
          <w:szCs w:val="22"/>
          <w:lang w:eastAsia="zh-CN"/>
        </w:rPr>
        <w:t>；</w:t>
      </w:r>
    </w:p>
    <w:p w14:paraId="271C0173">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Times New Roman" w:hAnsi="Times New Roman" w:eastAsia="仿宋_GB2312" w:cs="Times New Roman"/>
          <w:kern w:val="2"/>
          <w:sz w:val="32"/>
          <w:szCs w:val="22"/>
          <w:lang w:val="en-US" w:eastAsia="zh-CN" w:bidi="ar-SA"/>
        </w:rPr>
        <w:t>4</w:t>
      </w:r>
      <w:r>
        <w:rPr>
          <w:rFonts w:hint="eastAsia" w:ascii="仿宋_GB2312" w:hAnsi="宋体" w:cs="仿宋_GB2312"/>
          <w:color w:val="000000"/>
          <w:kern w:val="0"/>
          <w:szCs w:val="22"/>
        </w:rPr>
        <w:t>.</w:t>
      </w:r>
      <w:r>
        <w:rPr>
          <w:rFonts w:hint="eastAsia" w:ascii="仿宋_GB2312" w:hAnsi="宋体" w:cs="仿宋_GB2312"/>
          <w:color w:val="000000"/>
          <w:kern w:val="0"/>
          <w:szCs w:val="22"/>
          <w:lang w:eastAsia="zh-CN"/>
        </w:rPr>
        <w:t>加强能源行业监管，推进能源企业健康发展；</w:t>
      </w:r>
    </w:p>
    <w:p w14:paraId="7CEC2DB6">
      <w:pPr>
        <w:numPr>
          <w:ilvl w:val="0"/>
          <w:numId w:val="0"/>
        </w:numPr>
        <w:topLinePunct/>
        <w:spacing w:line="560" w:lineRule="exact"/>
        <w:ind w:firstLine="640" w:firstLineChars="200"/>
        <w:rPr>
          <w:rFonts w:hint="eastAsia" w:ascii="仿宋_GB2312" w:hAnsi="宋体" w:cs="仿宋_GB2312"/>
          <w:color w:val="000000"/>
          <w:kern w:val="0"/>
          <w:szCs w:val="22"/>
          <w:lang w:eastAsia="zh-CN"/>
        </w:rPr>
      </w:pPr>
      <w:r>
        <w:rPr>
          <w:rFonts w:hint="eastAsia" w:ascii="Times New Roman" w:hAnsi="Times New Roman" w:eastAsia="仿宋_GB2312" w:cs="Times New Roman"/>
          <w:kern w:val="2"/>
          <w:sz w:val="32"/>
          <w:szCs w:val="22"/>
          <w:lang w:val="en-US" w:eastAsia="zh-CN" w:bidi="ar-SA"/>
        </w:rPr>
        <w:t>5</w:t>
      </w:r>
      <w:r>
        <w:rPr>
          <w:rFonts w:hint="eastAsia" w:ascii="仿宋_GB2312" w:hAnsi="宋体" w:cs="仿宋_GB2312"/>
          <w:color w:val="000000"/>
          <w:kern w:val="0"/>
          <w:szCs w:val="22"/>
        </w:rPr>
        <w:t>.</w:t>
      </w:r>
      <w:r>
        <w:rPr>
          <w:rFonts w:hint="eastAsia" w:ascii="仿宋_GB2312" w:hAnsi="宋体" w:cs="仿宋_GB2312"/>
          <w:color w:val="000000"/>
          <w:kern w:val="0"/>
          <w:szCs w:val="22"/>
          <w:lang w:eastAsia="zh-CN"/>
        </w:rPr>
        <w:t>加强粮食管理，确保粮食安全；</w:t>
      </w:r>
    </w:p>
    <w:p w14:paraId="5B5C167F">
      <w:pPr>
        <w:numPr>
          <w:ilvl w:val="0"/>
          <w:numId w:val="0"/>
        </w:numPr>
        <w:topLinePunct/>
        <w:spacing w:line="560" w:lineRule="exact"/>
        <w:ind w:firstLine="640" w:firstLineChars="200"/>
        <w:rPr>
          <w:rFonts w:hint="eastAsia" w:ascii="仿宋_GB2312" w:hAnsi="宋体" w:cs="仿宋_GB2312"/>
          <w:color w:val="000000"/>
          <w:kern w:val="0"/>
          <w:szCs w:val="22"/>
          <w:lang w:eastAsia="zh-CN"/>
        </w:rPr>
      </w:pPr>
      <w:r>
        <w:rPr>
          <w:rFonts w:hint="eastAsia" w:ascii="Times New Roman" w:hAnsi="Times New Roman" w:eastAsia="仿宋_GB2312" w:cs="Times New Roman"/>
          <w:kern w:val="2"/>
          <w:sz w:val="32"/>
          <w:szCs w:val="22"/>
          <w:lang w:val="en-US" w:eastAsia="zh-CN" w:bidi="ar-SA"/>
        </w:rPr>
        <w:t>6</w:t>
      </w:r>
      <w:r>
        <w:rPr>
          <w:rFonts w:hint="eastAsia" w:ascii="仿宋_GB2312" w:hAnsi="宋体" w:cs="仿宋_GB2312"/>
          <w:color w:val="000000"/>
          <w:kern w:val="0"/>
          <w:szCs w:val="22"/>
        </w:rPr>
        <w:t>.</w:t>
      </w:r>
      <w:r>
        <w:rPr>
          <w:rFonts w:hint="eastAsia" w:ascii="仿宋_GB2312" w:hAnsi="宋体" w:cs="仿宋_GB2312"/>
          <w:color w:val="000000"/>
          <w:kern w:val="0"/>
          <w:szCs w:val="22"/>
          <w:lang w:eastAsia="zh-CN"/>
        </w:rPr>
        <w:t>提升窗口形象，优化行政服务质量；</w:t>
      </w:r>
    </w:p>
    <w:p w14:paraId="095600D0">
      <w:pPr>
        <w:numPr>
          <w:ilvl w:val="0"/>
          <w:numId w:val="0"/>
        </w:numPr>
        <w:topLinePunct/>
        <w:spacing w:line="560" w:lineRule="exact"/>
        <w:ind w:firstLine="640" w:firstLineChars="200"/>
      </w:pPr>
      <w:r>
        <w:rPr>
          <w:rFonts w:hint="eastAsia" w:ascii="Times New Roman" w:hAnsi="Times New Roman" w:eastAsia="仿宋_GB2312" w:cs="Times New Roman"/>
          <w:kern w:val="2"/>
          <w:sz w:val="32"/>
          <w:szCs w:val="22"/>
          <w:lang w:val="en-US" w:eastAsia="zh-CN" w:bidi="ar-SA"/>
        </w:rPr>
        <w:t>7</w:t>
      </w:r>
      <w:r>
        <w:rPr>
          <w:rFonts w:hint="eastAsia" w:ascii="仿宋_GB2312" w:hAnsi="宋体" w:cs="仿宋_GB2312"/>
          <w:color w:val="000000"/>
          <w:kern w:val="0"/>
          <w:szCs w:val="22"/>
        </w:rPr>
        <w:t>.加强综合协调，确保各项工作顺利开展</w:t>
      </w:r>
      <w:r>
        <w:rPr>
          <w:rFonts w:hint="eastAsia" w:ascii="仿宋_GB2312" w:hAnsi="宋体" w:cs="仿宋_GB2312"/>
          <w:color w:val="000000"/>
          <w:kern w:val="0"/>
          <w:szCs w:val="22"/>
          <w:lang w:eastAsia="zh-CN"/>
        </w:rPr>
        <w:t>。</w:t>
      </w:r>
    </w:p>
    <w:p w14:paraId="38B61BF3">
      <w:pPr>
        <w:topLinePunct/>
        <w:ind w:firstLine="800" w:firstLineChars="250"/>
        <w:rPr>
          <w:rFonts w:hint="eastAsia" w:ascii="楷体" w:hAnsi="楷体" w:eastAsia="楷体"/>
          <w:szCs w:val="32"/>
        </w:rPr>
      </w:pPr>
      <w:r>
        <w:rPr>
          <w:rFonts w:hint="eastAsia" w:ascii="楷体" w:hAnsi="楷体" w:eastAsia="楷体"/>
          <w:szCs w:val="32"/>
        </w:rPr>
        <w:t>（二）部门项目具体计划目标。</w:t>
      </w:r>
    </w:p>
    <w:p w14:paraId="1F1EF50C">
      <w:pPr>
        <w:numPr>
          <w:ilvl w:val="0"/>
          <w:numId w:val="0"/>
        </w:numPr>
        <w:topLinePunct/>
        <w:spacing w:line="560" w:lineRule="exact"/>
        <w:ind w:firstLine="640" w:firstLineChars="200"/>
        <w:rPr>
          <w:rFonts w:hint="eastAsia" w:ascii="仿宋_GB2312" w:hAnsi="宋体" w:cs="仿宋_GB2312"/>
          <w:color w:val="000000"/>
          <w:kern w:val="0"/>
          <w:szCs w:val="22"/>
          <w:lang w:eastAsia="zh-CN"/>
        </w:rPr>
      </w:pPr>
      <w:r>
        <w:rPr>
          <w:rFonts w:hint="eastAsia" w:ascii="Times New Roman" w:hAnsi="Times New Roman" w:eastAsia="仿宋_GB2312" w:cs="Times New Roman"/>
          <w:kern w:val="2"/>
          <w:sz w:val="32"/>
          <w:szCs w:val="22"/>
          <w:lang w:val="en-US" w:eastAsia="zh-CN" w:bidi="ar-SA"/>
        </w:rPr>
        <w:t>1</w:t>
      </w:r>
      <w:r>
        <w:rPr>
          <w:rFonts w:hint="eastAsia" w:ascii="仿宋_GB2312" w:hAnsi="宋体" w:cs="仿宋_GB2312"/>
          <w:color w:val="000000"/>
          <w:kern w:val="0"/>
          <w:szCs w:val="22"/>
        </w:rPr>
        <w:t>.</w:t>
      </w:r>
      <w:r>
        <w:rPr>
          <w:rFonts w:hint="eastAsia" w:ascii="仿宋_GB2312" w:hAnsi="宋体" w:cs="仿宋_GB2312"/>
          <w:color w:val="000000"/>
          <w:kern w:val="0"/>
          <w:szCs w:val="22"/>
          <w:lang w:eastAsia="zh-CN"/>
        </w:rPr>
        <w:t>促进经济平稳发展</w:t>
      </w:r>
    </w:p>
    <w:p w14:paraId="7434CCB8">
      <w:pPr>
        <w:widowControl/>
        <w:spacing w:line="560" w:lineRule="exact"/>
        <w:ind w:firstLine="640" w:firstLineChars="200"/>
        <w:rPr>
          <w:rFonts w:ascii="仿宋_GB2312"/>
        </w:rPr>
      </w:pPr>
      <w:r>
        <w:rPr>
          <w:rFonts w:hint="eastAsia" w:ascii="仿宋_GB2312" w:cs="仿宋_GB2312"/>
        </w:rPr>
        <w:t>（</w:t>
      </w:r>
      <w:r>
        <w:rPr>
          <w:rFonts w:ascii="仿宋_GB2312" w:cs="仿宋_GB2312"/>
        </w:rPr>
        <w:t>1</w:t>
      </w:r>
      <w:r>
        <w:rPr>
          <w:rFonts w:hint="eastAsia" w:ascii="仿宋_GB2312" w:cs="仿宋_GB2312"/>
        </w:rPr>
        <w:t>）</w:t>
      </w:r>
      <w:r>
        <w:rPr>
          <w:rFonts w:hint="eastAsia" w:ascii="仿宋_GB2312" w:cs="仿宋_GB2312"/>
          <w:lang w:eastAsia="zh-CN"/>
        </w:rPr>
        <w:t>科学</w:t>
      </w:r>
      <w:r>
        <w:rPr>
          <w:rFonts w:hint="eastAsia" w:ascii="仿宋_GB2312" w:cs="仿宋_GB2312"/>
        </w:rPr>
        <w:t>编制国民经济和社会发展计划。</w:t>
      </w:r>
    </w:p>
    <w:p w14:paraId="71550908">
      <w:pPr>
        <w:widowControl/>
        <w:spacing w:line="560" w:lineRule="exact"/>
        <w:ind w:firstLine="640" w:firstLineChars="200"/>
        <w:rPr>
          <w:rFonts w:hint="eastAsia" w:ascii="仿宋_GB2312" w:cs="仿宋_GB2312"/>
          <w:szCs w:val="22"/>
          <w:lang w:val="en-US" w:eastAsia="zh-CN"/>
        </w:rPr>
      </w:pPr>
      <w:r>
        <w:rPr>
          <w:rFonts w:hint="eastAsia" w:ascii="仿宋_GB2312" w:cs="仿宋_GB2312"/>
        </w:rPr>
        <w:t>（</w:t>
      </w:r>
      <w:r>
        <w:rPr>
          <w:rFonts w:ascii="仿宋_GB2312" w:cs="仿宋_GB2312"/>
        </w:rPr>
        <w:t>2</w:t>
      </w:r>
      <w:r>
        <w:rPr>
          <w:rFonts w:hint="eastAsia" w:ascii="仿宋_GB2312" w:cs="仿宋_GB2312"/>
        </w:rPr>
        <w:t>）</w:t>
      </w:r>
      <w:r>
        <w:rPr>
          <w:rFonts w:hint="eastAsia" w:ascii="仿宋_GB2312" w:cs="仿宋_GB2312"/>
          <w:szCs w:val="22"/>
          <w:lang w:val="en-US" w:eastAsia="zh-CN"/>
        </w:rPr>
        <w:t>拟定并印发执行2020年主要经济指标预期目标分解方案。</w:t>
      </w:r>
    </w:p>
    <w:p w14:paraId="05449710">
      <w:pPr>
        <w:widowControl/>
        <w:spacing w:line="560" w:lineRule="exact"/>
        <w:ind w:firstLine="640" w:firstLineChars="200"/>
        <w:rPr>
          <w:rFonts w:hint="eastAsia" w:ascii="仿宋_GB2312" w:cs="仿宋_GB2312"/>
          <w:szCs w:val="22"/>
          <w:lang w:eastAsia="zh-CN"/>
        </w:rPr>
      </w:pPr>
      <w:r>
        <w:rPr>
          <w:rFonts w:hint="eastAsia" w:ascii="仿宋_GB2312" w:cs="仿宋_GB2312"/>
          <w:szCs w:val="22"/>
          <w:lang w:eastAsia="zh-CN"/>
        </w:rPr>
        <w:t>（3）</w:t>
      </w:r>
      <w:r>
        <w:rPr>
          <w:rFonts w:hint="eastAsia" w:ascii="仿宋_GB2312" w:cs="仿宋_GB2312"/>
          <w:szCs w:val="22"/>
          <w:lang w:val="en-US" w:eastAsia="zh-CN"/>
        </w:rPr>
        <w:t>适时召开经济运行分析会。</w:t>
      </w:r>
    </w:p>
    <w:p w14:paraId="6BA93A93">
      <w:pPr>
        <w:spacing w:line="560" w:lineRule="exact"/>
        <w:ind w:firstLine="640" w:firstLineChars="200"/>
        <w:rPr>
          <w:rFonts w:hint="eastAsia"/>
          <w:lang w:eastAsia="zh-CN"/>
        </w:rPr>
      </w:pPr>
      <w:r>
        <w:rPr>
          <w:rFonts w:hint="eastAsia" w:ascii="仿宋_GB2312" w:cs="仿宋_GB2312"/>
          <w:shd w:val="clear" w:color="auto" w:fill="FFFFFF"/>
        </w:rPr>
        <w:t>（</w:t>
      </w:r>
      <w:r>
        <w:rPr>
          <w:rFonts w:ascii="仿宋_GB2312" w:cs="仿宋_GB2312"/>
          <w:shd w:val="clear" w:color="auto" w:fill="FFFFFF"/>
        </w:rPr>
        <w:t>4</w:t>
      </w:r>
      <w:r>
        <w:rPr>
          <w:rFonts w:hint="eastAsia" w:ascii="仿宋_GB2312" w:cs="仿宋_GB2312"/>
          <w:shd w:val="clear" w:color="auto" w:fill="FFFFFF"/>
        </w:rPr>
        <w:t>）</w:t>
      </w:r>
      <w:r>
        <w:rPr>
          <w:rFonts w:hint="eastAsia" w:ascii="仿宋_GB2312" w:cs="仿宋_GB2312"/>
          <w:szCs w:val="22"/>
          <w:lang w:val="en-US" w:eastAsia="zh-CN"/>
        </w:rPr>
        <w:t>严格执行监测、预警、分析、会商“四项制度 ”。</w:t>
      </w:r>
    </w:p>
    <w:p w14:paraId="7BD09C5A">
      <w:pPr>
        <w:numPr>
          <w:ilvl w:val="0"/>
          <w:numId w:val="0"/>
        </w:numPr>
        <w:topLinePunct/>
        <w:spacing w:line="560" w:lineRule="exact"/>
        <w:ind w:firstLine="640" w:firstLineChars="200"/>
        <w:rPr>
          <w:rFonts w:hint="eastAsia" w:ascii="仿宋_GB2312" w:hAnsi="宋体" w:cs="仿宋_GB2312"/>
          <w:color w:val="000000"/>
          <w:kern w:val="0"/>
          <w:szCs w:val="22"/>
          <w:lang w:eastAsia="zh-CN"/>
        </w:rPr>
      </w:pPr>
      <w:r>
        <w:rPr>
          <w:rFonts w:hint="eastAsia" w:ascii="Times New Roman" w:hAnsi="Times New Roman" w:eastAsia="仿宋_GB2312" w:cs="Times New Roman"/>
          <w:kern w:val="2"/>
          <w:sz w:val="32"/>
          <w:szCs w:val="22"/>
          <w:lang w:val="en-US" w:eastAsia="zh-CN" w:bidi="ar-SA"/>
        </w:rPr>
        <w:t>2</w:t>
      </w:r>
      <w:r>
        <w:rPr>
          <w:rFonts w:hint="eastAsia" w:ascii="仿宋_GB2312" w:hAnsi="宋体" w:cs="仿宋_GB2312"/>
          <w:color w:val="000000"/>
          <w:kern w:val="0"/>
          <w:szCs w:val="22"/>
        </w:rPr>
        <w:t>.</w:t>
      </w:r>
      <w:r>
        <w:rPr>
          <w:rFonts w:hint="eastAsia" w:ascii="仿宋_GB2312" w:hAnsi="宋体" w:cs="仿宋_GB2312"/>
          <w:color w:val="000000"/>
          <w:kern w:val="0"/>
          <w:szCs w:val="22"/>
          <w:lang w:eastAsia="zh-CN"/>
        </w:rPr>
        <w:t>抓实重点建设项目</w:t>
      </w:r>
    </w:p>
    <w:p w14:paraId="7F5C5594">
      <w:pPr>
        <w:widowControl/>
        <w:spacing w:line="560" w:lineRule="exact"/>
        <w:ind w:firstLine="640" w:firstLineChars="200"/>
        <w:rPr>
          <w:rFonts w:hint="eastAsia" w:ascii="仿宋_GB2312" w:cs="仿宋_GB2312"/>
          <w:szCs w:val="22"/>
        </w:rPr>
      </w:pPr>
      <w:r>
        <w:rPr>
          <w:rFonts w:hint="eastAsia" w:ascii="仿宋_GB2312" w:cs="仿宋_GB2312"/>
          <w:szCs w:val="22"/>
        </w:rPr>
        <w:t>（1）</w:t>
      </w:r>
      <w:r>
        <w:rPr>
          <w:rFonts w:hint="eastAsia" w:ascii="仿宋_GB2312" w:cs="仿宋_GB2312"/>
          <w:szCs w:val="22"/>
          <w:lang w:val="en-US" w:eastAsia="zh-CN"/>
        </w:rPr>
        <w:t>拟定2020年重点项目建设计划。</w:t>
      </w:r>
    </w:p>
    <w:p w14:paraId="0807876B">
      <w:pPr>
        <w:widowControl/>
        <w:spacing w:line="560" w:lineRule="exact"/>
        <w:ind w:firstLine="640" w:firstLineChars="200"/>
        <w:rPr>
          <w:rFonts w:hint="eastAsia" w:ascii="仿宋_GB2312" w:cs="仿宋_GB2312"/>
          <w:szCs w:val="22"/>
        </w:rPr>
      </w:pPr>
      <w:r>
        <w:rPr>
          <w:rFonts w:hint="eastAsia" w:ascii="仿宋_GB2312" w:cs="仿宋_GB2312"/>
          <w:szCs w:val="22"/>
        </w:rPr>
        <w:t>（2）</w:t>
      </w:r>
      <w:r>
        <w:rPr>
          <w:rFonts w:hint="eastAsia" w:ascii="仿宋_GB2312" w:cs="仿宋_GB2312"/>
          <w:szCs w:val="22"/>
          <w:lang w:val="en-US" w:eastAsia="zh-CN"/>
        </w:rPr>
        <w:t>积极</w:t>
      </w:r>
      <w:r>
        <w:rPr>
          <w:rFonts w:hint="eastAsia" w:ascii="仿宋_GB2312" w:cs="仿宋_GB2312"/>
          <w:szCs w:val="22"/>
          <w:lang w:eastAsia="zh-CN"/>
        </w:rPr>
        <w:t>做好地方政府专项债券、中央预算内投资项目申报工作。</w:t>
      </w:r>
    </w:p>
    <w:p w14:paraId="7494614D">
      <w:pPr>
        <w:widowControl/>
        <w:spacing w:line="560" w:lineRule="exact"/>
        <w:ind w:firstLine="640" w:firstLineChars="200"/>
        <w:rPr>
          <w:rFonts w:hint="eastAsia" w:ascii="仿宋_GB2312" w:cs="仿宋_GB2312"/>
          <w:szCs w:val="22"/>
        </w:rPr>
      </w:pPr>
      <w:r>
        <w:rPr>
          <w:rFonts w:hint="eastAsia" w:ascii="仿宋_GB2312" w:cs="仿宋_GB2312"/>
          <w:szCs w:val="22"/>
        </w:rPr>
        <w:t>（3）</w:t>
      </w:r>
      <w:r>
        <w:rPr>
          <w:rFonts w:hint="eastAsia" w:ascii="仿宋_GB2312" w:cs="仿宋_GB2312"/>
          <w:szCs w:val="22"/>
          <w:lang w:val="en-US" w:eastAsia="zh-CN"/>
        </w:rPr>
        <w:t>积极争取2020年市级预算内前期工作经费支持。</w:t>
      </w:r>
    </w:p>
    <w:p w14:paraId="78C1B282">
      <w:pPr>
        <w:widowControl/>
        <w:spacing w:line="560" w:lineRule="exact"/>
        <w:ind w:firstLine="640" w:firstLineChars="200"/>
        <w:rPr>
          <w:rFonts w:hint="eastAsia" w:ascii="仿宋_GB2312" w:cs="仿宋_GB2312"/>
          <w:szCs w:val="22"/>
        </w:rPr>
      </w:pPr>
      <w:r>
        <w:rPr>
          <w:rFonts w:hint="eastAsia" w:ascii="仿宋_GB2312" w:cs="仿宋_GB2312"/>
          <w:szCs w:val="22"/>
        </w:rPr>
        <w:t>（4）</w:t>
      </w:r>
      <w:r>
        <w:rPr>
          <w:rFonts w:hint="eastAsia" w:ascii="仿宋_GB2312" w:cs="仿宋_GB2312"/>
          <w:szCs w:val="22"/>
          <w:lang w:val="zh-CN" w:eastAsia="zh-CN"/>
        </w:rPr>
        <w:t>抓好市、县级重点项目推进工作。</w:t>
      </w:r>
    </w:p>
    <w:p w14:paraId="6AD7B541">
      <w:pPr>
        <w:widowControl/>
        <w:spacing w:line="560" w:lineRule="exact"/>
        <w:ind w:firstLine="640" w:firstLineChars="200"/>
        <w:rPr>
          <w:rFonts w:hint="eastAsia" w:ascii="仿宋_GB2312" w:cs="仿宋_GB2312"/>
          <w:szCs w:val="22"/>
        </w:rPr>
      </w:pPr>
      <w:r>
        <w:rPr>
          <w:rFonts w:hint="eastAsia" w:ascii="仿宋_GB2312" w:cs="仿宋_GB2312"/>
          <w:szCs w:val="22"/>
        </w:rPr>
        <w:t>（5）</w:t>
      </w:r>
      <w:r>
        <w:rPr>
          <w:rFonts w:hint="eastAsia" w:ascii="仿宋_GB2312" w:cs="仿宋_GB2312"/>
          <w:szCs w:val="22"/>
          <w:lang w:val="en-US" w:eastAsia="zh-CN"/>
        </w:rPr>
        <w:t>完善重点项目建设推进协调机制。</w:t>
      </w:r>
    </w:p>
    <w:p w14:paraId="442930FD">
      <w:pPr>
        <w:widowControl/>
        <w:spacing w:line="560" w:lineRule="exact"/>
        <w:ind w:firstLine="640" w:firstLineChars="200"/>
        <w:rPr>
          <w:rFonts w:hint="eastAsia"/>
          <w:lang w:eastAsia="zh-CN"/>
        </w:rPr>
      </w:pPr>
      <w:r>
        <w:rPr>
          <w:rFonts w:hint="eastAsia" w:ascii="仿宋_GB2312" w:cs="仿宋_GB2312"/>
          <w:szCs w:val="22"/>
        </w:rPr>
        <w:t>（6）做好疫情期间投资项目开复工项目日监测工作</w:t>
      </w:r>
      <w:r>
        <w:rPr>
          <w:rFonts w:hint="eastAsia" w:ascii="仿宋_GB2312" w:cs="仿宋_GB2312"/>
          <w:szCs w:val="22"/>
          <w:lang w:eastAsia="zh-CN"/>
        </w:rPr>
        <w:t>。</w:t>
      </w:r>
    </w:p>
    <w:p w14:paraId="031C23F9">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Times New Roman" w:hAnsi="Times New Roman" w:eastAsia="仿宋_GB2312" w:cs="Times New Roman"/>
          <w:kern w:val="2"/>
          <w:sz w:val="32"/>
          <w:szCs w:val="22"/>
          <w:lang w:val="en-US" w:eastAsia="zh-CN" w:bidi="ar-SA"/>
        </w:rPr>
        <w:t>3</w:t>
      </w:r>
      <w:r>
        <w:rPr>
          <w:rFonts w:hint="eastAsia" w:ascii="仿宋_GB2312" w:hAnsi="宋体" w:cs="仿宋_GB2312"/>
          <w:color w:val="000000"/>
          <w:kern w:val="0"/>
          <w:szCs w:val="22"/>
        </w:rPr>
        <w:t>.加强价格和收费管理，确保价格运行平稳</w:t>
      </w:r>
    </w:p>
    <w:p w14:paraId="6B67900A">
      <w:pPr>
        <w:widowControl/>
        <w:spacing w:line="560" w:lineRule="exact"/>
        <w:ind w:firstLine="640" w:firstLineChars="200"/>
        <w:rPr>
          <w:rFonts w:hint="eastAsia" w:ascii="仿宋_GB2312" w:cs="仿宋_GB2312"/>
          <w:szCs w:val="22"/>
          <w:lang w:val="en-US" w:eastAsia="zh-CN"/>
        </w:rPr>
      </w:pPr>
      <w:r>
        <w:rPr>
          <w:rFonts w:hint="eastAsia" w:ascii="仿宋_GB2312" w:cs="仿宋_GB2312"/>
          <w:szCs w:val="22"/>
          <w:lang w:val="en-US" w:eastAsia="zh-CN"/>
        </w:rPr>
        <w:t>（1）贯彻落实国家和省、市颁布的价格和收费法律、法规和政策及重大价格改革政策、方案</w:t>
      </w:r>
    </w:p>
    <w:p w14:paraId="41FF4C80">
      <w:pPr>
        <w:widowControl/>
        <w:spacing w:line="560" w:lineRule="exact"/>
        <w:ind w:firstLine="640" w:firstLineChars="200"/>
        <w:rPr>
          <w:rFonts w:hint="eastAsia" w:ascii="仿宋_GB2312" w:cs="仿宋_GB2312"/>
          <w:szCs w:val="22"/>
          <w:lang w:val="en-US" w:eastAsia="zh-CN"/>
        </w:rPr>
      </w:pPr>
      <w:r>
        <w:rPr>
          <w:rFonts w:hint="eastAsia" w:ascii="仿宋_GB2312" w:cs="仿宋_GB2312"/>
          <w:szCs w:val="22"/>
          <w:lang w:val="en-US" w:eastAsia="zh-CN"/>
        </w:rPr>
        <w:t>（2）加强重要民生商品和服务价格（收费）管理。</w:t>
      </w:r>
    </w:p>
    <w:p w14:paraId="27FBF5B2">
      <w:pPr>
        <w:widowControl/>
        <w:spacing w:line="560" w:lineRule="exact"/>
        <w:ind w:firstLine="640" w:firstLineChars="200"/>
        <w:rPr>
          <w:rFonts w:hint="eastAsia" w:ascii="仿宋_GB2312" w:cs="仿宋_GB2312"/>
          <w:szCs w:val="22"/>
          <w:lang w:val="en-US" w:eastAsia="zh-CN"/>
        </w:rPr>
      </w:pPr>
      <w:r>
        <w:rPr>
          <w:rFonts w:hint="eastAsia" w:ascii="仿宋_GB2312" w:cs="仿宋_GB2312"/>
          <w:szCs w:val="22"/>
          <w:lang w:val="en-US" w:eastAsia="zh-CN"/>
        </w:rPr>
        <w:t>（3）严格按相关规定和程序，办结涉案物品价格认证案件。</w:t>
      </w:r>
    </w:p>
    <w:p w14:paraId="59848F67">
      <w:pPr>
        <w:numPr>
          <w:ilvl w:val="0"/>
          <w:numId w:val="0"/>
        </w:numPr>
        <w:topLinePunct/>
        <w:spacing w:line="560" w:lineRule="exact"/>
        <w:ind w:firstLine="640" w:firstLineChars="200"/>
        <w:rPr>
          <w:rFonts w:hint="eastAsia" w:ascii="仿宋_GB2312" w:hAnsi="宋体" w:cs="仿宋_GB2312"/>
          <w:color w:val="000000"/>
          <w:kern w:val="0"/>
          <w:szCs w:val="22"/>
          <w:lang w:eastAsia="zh-CN"/>
        </w:rPr>
      </w:pPr>
      <w:r>
        <w:rPr>
          <w:rFonts w:hint="eastAsia" w:ascii="Times New Roman" w:hAnsi="Times New Roman" w:eastAsia="仿宋_GB2312" w:cs="Times New Roman"/>
          <w:kern w:val="2"/>
          <w:sz w:val="32"/>
          <w:szCs w:val="22"/>
          <w:lang w:val="en-US" w:eastAsia="zh-CN" w:bidi="ar-SA"/>
        </w:rPr>
        <w:t>4.</w:t>
      </w:r>
      <w:r>
        <w:rPr>
          <w:rFonts w:hint="eastAsia" w:ascii="仿宋_GB2312" w:hAnsi="宋体" w:cs="仿宋_GB2312"/>
          <w:color w:val="000000"/>
          <w:kern w:val="0"/>
          <w:szCs w:val="22"/>
          <w:lang w:eastAsia="zh-CN"/>
        </w:rPr>
        <w:t>加强能源行业监管，推进能源企业健康发展</w:t>
      </w:r>
    </w:p>
    <w:p w14:paraId="7AC71DFB">
      <w:pPr>
        <w:widowControl/>
        <w:spacing w:line="560" w:lineRule="exact"/>
        <w:ind w:firstLine="640" w:firstLineChars="200"/>
        <w:rPr>
          <w:rFonts w:hint="eastAsia" w:ascii="仿宋_GB2312" w:cs="仿宋_GB2312"/>
          <w:szCs w:val="22"/>
          <w:lang w:val="en-US" w:eastAsia="zh-CN"/>
        </w:rPr>
      </w:pPr>
      <w:r>
        <w:rPr>
          <w:rFonts w:hint="eastAsia" w:ascii="仿宋_GB2312" w:cs="仿宋_GB2312"/>
          <w:szCs w:val="22"/>
          <w:lang w:val="en-US" w:eastAsia="zh-CN"/>
        </w:rPr>
        <w:t>（1）积极开展能源行业（石油、天然气）建设项目的审核和申报工作。</w:t>
      </w:r>
    </w:p>
    <w:p w14:paraId="540D4909">
      <w:pPr>
        <w:widowControl/>
        <w:spacing w:line="560" w:lineRule="exact"/>
        <w:ind w:firstLine="640" w:firstLineChars="200"/>
        <w:rPr>
          <w:rFonts w:hint="eastAsia" w:ascii="仿宋_GB2312" w:cs="仿宋_GB2312"/>
          <w:szCs w:val="22"/>
          <w:lang w:val="en-US" w:eastAsia="zh-CN"/>
        </w:rPr>
      </w:pPr>
      <w:r>
        <w:rPr>
          <w:rFonts w:hint="eastAsia" w:ascii="仿宋_GB2312" w:cs="仿宋_GB2312"/>
          <w:szCs w:val="22"/>
          <w:lang w:val="en-US" w:eastAsia="zh-CN"/>
        </w:rPr>
        <w:t>（2）积极协助企业推进项目前期工作。</w:t>
      </w:r>
    </w:p>
    <w:p w14:paraId="1D409ED1">
      <w:pPr>
        <w:widowControl/>
        <w:spacing w:line="560" w:lineRule="exact"/>
        <w:ind w:firstLine="640" w:firstLineChars="200"/>
        <w:rPr>
          <w:rFonts w:hint="eastAsia"/>
          <w:lang w:eastAsia="zh-CN"/>
        </w:rPr>
      </w:pPr>
      <w:r>
        <w:rPr>
          <w:rFonts w:hint="eastAsia" w:ascii="仿宋_GB2312" w:cs="仿宋_GB2312"/>
          <w:szCs w:val="22"/>
          <w:lang w:val="en-US" w:eastAsia="zh-CN"/>
        </w:rPr>
        <w:t>（3）高度重视能源企业安全生产及隐患排查工作。</w:t>
      </w:r>
    </w:p>
    <w:p w14:paraId="16AC359B">
      <w:pPr>
        <w:numPr>
          <w:ilvl w:val="0"/>
          <w:numId w:val="0"/>
        </w:numPr>
        <w:topLinePunct/>
        <w:spacing w:line="560" w:lineRule="exact"/>
        <w:ind w:firstLine="640" w:firstLineChars="200"/>
        <w:rPr>
          <w:rFonts w:hint="eastAsia" w:ascii="仿宋_GB2312" w:hAnsi="宋体" w:cs="仿宋_GB2312"/>
          <w:color w:val="000000"/>
          <w:kern w:val="0"/>
          <w:szCs w:val="22"/>
          <w:lang w:eastAsia="zh-CN"/>
        </w:rPr>
      </w:pPr>
      <w:r>
        <w:rPr>
          <w:rFonts w:hint="eastAsia" w:ascii="Times New Roman" w:hAnsi="Times New Roman" w:eastAsia="仿宋_GB2312" w:cs="Times New Roman"/>
          <w:kern w:val="2"/>
          <w:sz w:val="32"/>
          <w:szCs w:val="22"/>
          <w:lang w:val="en-US" w:eastAsia="zh-CN" w:bidi="ar-SA"/>
        </w:rPr>
        <w:t>5.</w:t>
      </w:r>
      <w:r>
        <w:rPr>
          <w:rFonts w:hint="eastAsia" w:ascii="仿宋_GB2312" w:hAnsi="宋体" w:cs="仿宋_GB2312"/>
          <w:color w:val="000000"/>
          <w:kern w:val="0"/>
          <w:szCs w:val="22"/>
          <w:lang w:eastAsia="zh-CN"/>
        </w:rPr>
        <w:t>加强粮食管理，确保粮食安全</w:t>
      </w:r>
    </w:p>
    <w:p w14:paraId="7AAE6714">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（1）积极应对新冠肺炎疫情，做好粮油市场保障供应。</w:t>
      </w:r>
    </w:p>
    <w:p w14:paraId="3AA81FB3">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（2）加强县级储备粮管理。</w:t>
      </w:r>
    </w:p>
    <w:p w14:paraId="74146FF4">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（3）保障校园粮油供应。</w:t>
      </w:r>
    </w:p>
    <w:p w14:paraId="17A0BE3C">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（4）做好粮油企业复工复产安全生产各项工作。</w:t>
      </w:r>
    </w:p>
    <w:p w14:paraId="081EAE76">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（5）市场流通粮食质量安全抽检全覆盖，完成年度预期目标。</w:t>
      </w:r>
    </w:p>
    <w:p w14:paraId="0E2BE5D6">
      <w:pPr>
        <w:numPr>
          <w:ilvl w:val="0"/>
          <w:numId w:val="0"/>
        </w:numPr>
        <w:topLinePunct/>
        <w:spacing w:line="560" w:lineRule="exact"/>
        <w:ind w:firstLine="640" w:firstLineChars="200"/>
        <w:rPr>
          <w:rFonts w:hint="eastAsia" w:ascii="仿宋_GB2312" w:hAnsi="宋体" w:cs="仿宋_GB2312"/>
          <w:color w:val="000000"/>
          <w:kern w:val="0"/>
          <w:szCs w:val="22"/>
          <w:lang w:eastAsia="zh-CN"/>
        </w:rPr>
      </w:pPr>
      <w:r>
        <w:rPr>
          <w:rFonts w:hint="eastAsia" w:ascii="Times New Roman" w:hAnsi="Times New Roman" w:eastAsia="仿宋_GB2312" w:cs="Times New Roman"/>
          <w:kern w:val="2"/>
          <w:sz w:val="32"/>
          <w:szCs w:val="22"/>
          <w:lang w:val="en-US" w:eastAsia="zh-CN" w:bidi="ar-SA"/>
        </w:rPr>
        <w:t>6.</w:t>
      </w:r>
      <w:r>
        <w:rPr>
          <w:rFonts w:hint="eastAsia" w:ascii="仿宋_GB2312" w:hAnsi="宋体" w:cs="仿宋_GB2312"/>
          <w:color w:val="000000"/>
          <w:kern w:val="0"/>
          <w:szCs w:val="22"/>
          <w:lang w:eastAsia="zh-CN"/>
        </w:rPr>
        <w:t>提升窗口形象，优化行政服务质量</w:t>
      </w:r>
    </w:p>
    <w:p w14:paraId="5213C35C">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（1）优化审批流程，提高工作效率、建设服务型政府。</w:t>
      </w:r>
    </w:p>
    <w:p w14:paraId="0814AA5E">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（2）公开行政审批事项，增大透明度。</w:t>
      </w:r>
    </w:p>
    <w:p w14:paraId="78D30E73">
      <w:pPr>
        <w:pStyle w:val="2"/>
        <w:rPr>
          <w:rFonts w:hint="eastAsia" w:ascii="仿宋_GB2312" w:cs="仿宋_GB2312"/>
          <w:kern w:val="0"/>
          <w:lang w:eastAsia="zh-CN"/>
        </w:rPr>
      </w:pPr>
      <w:r>
        <w:rPr>
          <w:rFonts w:hint="eastAsia" w:ascii="仿宋_GB2312" w:hAnsi="Times New Roman" w:eastAsia="仿宋_GB2312" w:cs="仿宋_GB2312"/>
          <w:kern w:val="2"/>
          <w:sz w:val="32"/>
          <w:szCs w:val="22"/>
          <w:lang w:val="en-US" w:eastAsia="zh-CN" w:bidi="ar-SA"/>
        </w:rPr>
        <w:t>（3）探索新方法，提升服务形象。</w:t>
      </w:r>
    </w:p>
    <w:p w14:paraId="776C1A3E">
      <w:pPr>
        <w:numPr>
          <w:ilvl w:val="0"/>
          <w:numId w:val="0"/>
        </w:numPr>
        <w:topLinePunct/>
        <w:spacing w:line="560" w:lineRule="exact"/>
        <w:ind w:firstLine="640" w:firstLineChars="200"/>
        <w:rPr>
          <w:rFonts w:hint="eastAsia" w:ascii="仿宋_GB2312" w:hAnsi="宋体" w:cs="仿宋_GB2312"/>
          <w:color w:val="000000"/>
          <w:kern w:val="0"/>
          <w:szCs w:val="22"/>
        </w:rPr>
      </w:pPr>
      <w:r>
        <w:rPr>
          <w:rFonts w:hint="eastAsia" w:ascii="Times New Roman" w:hAnsi="Times New Roman" w:eastAsia="仿宋_GB2312" w:cs="Times New Roman"/>
          <w:kern w:val="2"/>
          <w:sz w:val="32"/>
          <w:szCs w:val="22"/>
          <w:lang w:val="en-US" w:eastAsia="zh-CN" w:bidi="ar-SA"/>
        </w:rPr>
        <w:t>7.</w:t>
      </w:r>
      <w:r>
        <w:rPr>
          <w:rFonts w:hint="eastAsia" w:ascii="仿宋_GB2312" w:hAnsi="宋体" w:cs="仿宋_GB2312"/>
          <w:color w:val="000000"/>
          <w:kern w:val="0"/>
          <w:szCs w:val="22"/>
        </w:rPr>
        <w:t>加强综合协调，确保各项工作顺利开展</w:t>
      </w:r>
    </w:p>
    <w:p w14:paraId="59F4999B">
      <w:pPr>
        <w:pStyle w:val="2"/>
        <w:rPr>
          <w:rFonts w:hint="eastAsia" w:ascii="仿宋_GB2312" w:hAnsi="Times New Roman" w:eastAsia="仿宋_GB2312" w:cs="仿宋_GB2312"/>
          <w:kern w:val="2"/>
          <w:sz w:val="32"/>
          <w:szCs w:val="22"/>
          <w:lang w:val="en-US" w:eastAsia="zh-CN" w:bidi="ar-SA"/>
        </w:rPr>
      </w:pPr>
      <w:r>
        <w:rPr>
          <w:rFonts w:hint="eastAsia" w:ascii="仿宋" w:hAnsi="仿宋" w:eastAsia="仿宋" w:cs="仿宋"/>
          <w:b w:val="0"/>
          <w:bCs w:val="0"/>
          <w:color w:val="auto"/>
          <w:sz w:val="32"/>
          <w:szCs w:val="32"/>
          <w:lang w:eastAsia="zh-CN"/>
        </w:rPr>
        <w:t>（</w:t>
      </w:r>
      <w:r>
        <w:rPr>
          <w:rFonts w:hint="eastAsia" w:ascii="仿宋_GB2312" w:hAnsi="Times New Roman" w:eastAsia="仿宋_GB2312" w:cs="仿宋_GB2312"/>
          <w:kern w:val="2"/>
          <w:sz w:val="32"/>
          <w:szCs w:val="22"/>
          <w:lang w:val="en-US" w:eastAsia="zh-CN" w:bidi="ar-SA"/>
        </w:rPr>
        <w:t>1）稳步推进富民县“美丽县城”建设工作。</w:t>
      </w:r>
    </w:p>
    <w:p w14:paraId="4E5861D0">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（2）认真开展长江经济带和金沙江流域生态环境突出问题整改工作。</w:t>
      </w:r>
    </w:p>
    <w:p w14:paraId="3B3BCC73">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（3）切实做好“十四五”规划编制工作。</w:t>
      </w:r>
    </w:p>
    <w:p w14:paraId="1D295078">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（4）继续做好地条钢整治监管工作。</w:t>
      </w:r>
    </w:p>
    <w:p w14:paraId="60D8CF46">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（5）加强社会信用体系建设。</w:t>
      </w:r>
    </w:p>
    <w:p w14:paraId="448D2D43">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（6）认真落实深化改革工作。</w:t>
      </w:r>
    </w:p>
    <w:p w14:paraId="60EAE8A7">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（7）高度重视安全生产工作。</w:t>
      </w:r>
    </w:p>
    <w:p w14:paraId="35CB744A">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（8）做好易地扶贫搬迁相关工作。</w:t>
      </w:r>
    </w:p>
    <w:p w14:paraId="355729A1">
      <w:pPr>
        <w:pStyle w:val="2"/>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（9）完成其他综合性工作。</w:t>
      </w:r>
    </w:p>
    <w:p w14:paraId="56F69AF3">
      <w:pPr>
        <w:topLinePunct/>
        <w:ind w:firstLine="800" w:firstLineChars="250"/>
        <w:rPr>
          <w:rFonts w:ascii="黑体" w:hAnsi="黑体" w:eastAsia="黑体"/>
          <w:szCs w:val="32"/>
        </w:rPr>
      </w:pPr>
      <w:r>
        <w:rPr>
          <w:rFonts w:hint="eastAsia" w:ascii="黑体" w:hAnsi="黑体" w:eastAsia="黑体"/>
          <w:szCs w:val="32"/>
        </w:rPr>
        <w:t>三、评价结论</w:t>
      </w:r>
    </w:p>
    <w:p w14:paraId="0AC3B326">
      <w:pPr>
        <w:topLinePunct/>
        <w:ind w:firstLine="800" w:firstLineChars="250"/>
        <w:rPr>
          <w:rFonts w:hint="eastAsia" w:ascii="仿宋_GB2312" w:hAnsi="仿宋"/>
          <w:szCs w:val="32"/>
        </w:rPr>
      </w:pPr>
      <w:r>
        <w:rPr>
          <w:rFonts w:hint="eastAsia" w:ascii="仿宋_GB2312" w:hAnsi="仿宋"/>
          <w:szCs w:val="32"/>
        </w:rPr>
        <w:t>（一）主要绩效。</w:t>
      </w:r>
    </w:p>
    <w:p w14:paraId="2C1E1D7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1</w:t>
      </w:r>
      <w:r>
        <w:rPr>
          <w:rFonts w:hint="eastAsia" w:ascii="仿宋_GB2312" w:hAnsi="Times New Roman" w:eastAsia="仿宋_GB2312" w:cs="仿宋_GB2312"/>
          <w:kern w:val="2"/>
          <w:sz w:val="32"/>
          <w:szCs w:val="22"/>
          <w:lang w:val="en-US" w:eastAsia="zh-CN" w:bidi="ar-SA"/>
        </w:rPr>
        <w:t>.促进经济平稳发展</w:t>
      </w:r>
    </w:p>
    <w:p w14:paraId="4705983E">
      <w:pPr>
        <w:keepNext w:val="0"/>
        <w:keepLines w:val="0"/>
        <w:pageBreakBefore w:val="0"/>
        <w:widowControl w:val="0"/>
        <w:suppressLineNumbers w:val="0"/>
        <w:kinsoku/>
        <w:wordWrap/>
        <w:overflowPunct/>
        <w:bidi w:val="0"/>
        <w:spacing w:before="0" w:beforeAutospacing="0" w:after="0" w:afterAutospacing="0" w:line="560" w:lineRule="exact"/>
        <w:ind w:left="0" w:right="0" w:firstLine="640" w:firstLineChars="200"/>
        <w:jc w:val="both"/>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（1）编制完成《富民县</w:t>
      </w:r>
      <w:r>
        <w:rPr>
          <w:rFonts w:hint="eastAsia" w:ascii="Times New Roman" w:hAnsi="Times New Roman" w:eastAsia="仿宋_GB2312" w:cs="Times New Roman"/>
          <w:kern w:val="2"/>
          <w:sz w:val="32"/>
          <w:szCs w:val="22"/>
          <w:lang w:val="en-US" w:eastAsia="zh-CN" w:bidi="ar-SA"/>
        </w:rPr>
        <w:t>2019</w:t>
      </w:r>
      <w:r>
        <w:rPr>
          <w:rFonts w:hint="eastAsia" w:ascii="仿宋_GB2312" w:hAnsi="Times New Roman" w:eastAsia="仿宋_GB2312" w:cs="仿宋_GB2312"/>
          <w:kern w:val="2"/>
          <w:sz w:val="32"/>
          <w:szCs w:val="22"/>
          <w:lang w:val="en-US" w:eastAsia="zh-CN" w:bidi="ar-SA"/>
        </w:rPr>
        <w:t>年国民经济和社会发展计划执行情况与</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年国民经济和社会发展计划（草案）的报告》。结合市级下达及县“两会”确定的目标任务，按照就高不就低的原则，拟定了富民县</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年主要经济指标预期目标分解方案，并印发执行。</w:t>
      </w:r>
    </w:p>
    <w:p w14:paraId="78118AB9">
      <w:pPr>
        <w:keepNext w:val="0"/>
        <w:keepLines w:val="0"/>
        <w:pageBreakBefore w:val="0"/>
        <w:widowControl/>
        <w:suppressLineNumbers w:val="0"/>
        <w:kinsoku/>
        <w:wordWrap/>
        <w:overflowPunct/>
        <w:bidi w:val="0"/>
        <w:spacing w:before="0" w:beforeAutospacing="0" w:after="0" w:afterAutospacing="0" w:line="560" w:lineRule="exact"/>
        <w:ind w:left="0" w:right="0" w:firstLine="640" w:firstLineChars="200"/>
        <w:jc w:val="left"/>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（2）适时召开经济运行分析会。面对新冠肺炎疫情影响和经济下行压力，严格执行监测、预警、分析、会商“四项制度 ”，落实经济运行、工业经济、固定资产投资、服务经济等7项分析制度，按月召开重点指标、重点行业经济运行分析会，确保我县经济平稳健康运行。</w:t>
      </w:r>
    </w:p>
    <w:p w14:paraId="67A567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2</w:t>
      </w:r>
      <w:r>
        <w:rPr>
          <w:rFonts w:hint="eastAsia" w:ascii="仿宋_GB2312" w:hAnsi="Times New Roman" w:eastAsia="仿宋_GB2312" w:cs="仿宋_GB2312"/>
          <w:kern w:val="2"/>
          <w:sz w:val="32"/>
          <w:szCs w:val="22"/>
          <w:lang w:val="en-US" w:eastAsia="zh-CN" w:bidi="ar-SA"/>
        </w:rPr>
        <w:t>.抓实重点建设项目</w:t>
      </w:r>
    </w:p>
    <w:p w14:paraId="65DE977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（1）拟定</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年重点项目建设计划。富民县</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年实施重点投资项目共</w:t>
      </w:r>
      <w:r>
        <w:rPr>
          <w:rFonts w:hint="eastAsia" w:ascii="Times New Roman" w:hAnsi="Times New Roman" w:eastAsia="仿宋_GB2312" w:cs="Times New Roman"/>
          <w:kern w:val="2"/>
          <w:sz w:val="32"/>
          <w:szCs w:val="22"/>
          <w:lang w:val="en-US" w:eastAsia="zh-CN" w:bidi="ar-SA"/>
        </w:rPr>
        <w:t>82</w:t>
      </w:r>
      <w:r>
        <w:rPr>
          <w:rFonts w:hint="eastAsia" w:ascii="仿宋_GB2312" w:hAnsi="Times New Roman" w:eastAsia="仿宋_GB2312" w:cs="仿宋_GB2312"/>
          <w:kern w:val="2"/>
          <w:sz w:val="32"/>
          <w:szCs w:val="22"/>
          <w:lang w:val="en-US" w:eastAsia="zh-CN" w:bidi="ar-SA"/>
        </w:rPr>
        <w:t>项，其中：政府投资项目44项，计划总投资</w:t>
      </w:r>
      <w:r>
        <w:rPr>
          <w:rFonts w:hint="eastAsia" w:ascii="Times New Roman" w:hAnsi="Times New Roman" w:eastAsia="仿宋_GB2312" w:cs="Times New Roman"/>
          <w:kern w:val="2"/>
          <w:sz w:val="32"/>
          <w:szCs w:val="22"/>
          <w:lang w:val="en-US" w:eastAsia="zh-CN" w:bidi="ar-SA"/>
        </w:rPr>
        <w:t>151.14</w:t>
      </w:r>
      <w:r>
        <w:rPr>
          <w:rFonts w:hint="eastAsia" w:ascii="仿宋_GB2312" w:hAnsi="Times New Roman" w:eastAsia="仿宋_GB2312" w:cs="仿宋_GB2312"/>
          <w:kern w:val="2"/>
          <w:sz w:val="32"/>
          <w:szCs w:val="22"/>
          <w:lang w:val="en-US" w:eastAsia="zh-CN" w:bidi="ar-SA"/>
        </w:rPr>
        <w:t>亿元，2020年计划投资</w:t>
      </w:r>
      <w:r>
        <w:rPr>
          <w:rFonts w:hint="eastAsia" w:ascii="Times New Roman" w:hAnsi="Times New Roman" w:eastAsia="仿宋_GB2312" w:cs="Times New Roman"/>
          <w:kern w:val="2"/>
          <w:sz w:val="32"/>
          <w:szCs w:val="22"/>
          <w:lang w:val="en-US" w:eastAsia="zh-CN" w:bidi="ar-SA"/>
        </w:rPr>
        <w:t>30.06</w:t>
      </w:r>
      <w:r>
        <w:rPr>
          <w:rFonts w:hint="eastAsia" w:ascii="仿宋_GB2312" w:hAnsi="Times New Roman" w:eastAsia="仿宋_GB2312" w:cs="仿宋_GB2312"/>
          <w:kern w:val="2"/>
          <w:sz w:val="32"/>
          <w:szCs w:val="22"/>
          <w:lang w:val="en-US" w:eastAsia="zh-CN" w:bidi="ar-SA"/>
        </w:rPr>
        <w:t>亿元；社会投资项目</w:t>
      </w:r>
      <w:r>
        <w:rPr>
          <w:rFonts w:hint="eastAsia" w:ascii="Times New Roman" w:hAnsi="Times New Roman" w:eastAsia="仿宋_GB2312" w:cs="Times New Roman"/>
          <w:kern w:val="2"/>
          <w:sz w:val="32"/>
          <w:szCs w:val="22"/>
          <w:lang w:val="en-US" w:eastAsia="zh-CN" w:bidi="ar-SA"/>
        </w:rPr>
        <w:t>38</w:t>
      </w:r>
      <w:r>
        <w:rPr>
          <w:rFonts w:hint="eastAsia" w:ascii="仿宋_GB2312" w:hAnsi="Times New Roman" w:eastAsia="仿宋_GB2312" w:cs="仿宋_GB2312"/>
          <w:kern w:val="2"/>
          <w:sz w:val="32"/>
          <w:szCs w:val="22"/>
          <w:lang w:val="en-US" w:eastAsia="zh-CN" w:bidi="ar-SA"/>
        </w:rPr>
        <w:t>项，计划总投资</w:t>
      </w:r>
      <w:r>
        <w:rPr>
          <w:rFonts w:hint="eastAsia" w:ascii="Times New Roman" w:hAnsi="Times New Roman" w:eastAsia="仿宋_GB2312" w:cs="Times New Roman"/>
          <w:kern w:val="2"/>
          <w:sz w:val="32"/>
          <w:szCs w:val="22"/>
          <w:lang w:val="en-US" w:eastAsia="zh-CN" w:bidi="ar-SA"/>
        </w:rPr>
        <w:t>93.66</w:t>
      </w:r>
      <w:r>
        <w:rPr>
          <w:rFonts w:hint="eastAsia" w:ascii="仿宋_GB2312" w:hAnsi="Times New Roman" w:eastAsia="仿宋_GB2312" w:cs="仿宋_GB2312"/>
          <w:kern w:val="2"/>
          <w:sz w:val="32"/>
          <w:szCs w:val="22"/>
          <w:lang w:val="en-US" w:eastAsia="zh-CN" w:bidi="ar-SA"/>
        </w:rPr>
        <w:t>亿元，</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年计划投资</w:t>
      </w:r>
      <w:r>
        <w:rPr>
          <w:rFonts w:hint="eastAsia" w:ascii="Times New Roman" w:hAnsi="Times New Roman" w:eastAsia="仿宋_GB2312" w:cs="Times New Roman"/>
          <w:kern w:val="2"/>
          <w:sz w:val="32"/>
          <w:szCs w:val="22"/>
          <w:lang w:val="en-US" w:eastAsia="zh-CN" w:bidi="ar-SA"/>
        </w:rPr>
        <w:t>32.33</w:t>
      </w:r>
      <w:r>
        <w:rPr>
          <w:rFonts w:hint="eastAsia" w:ascii="仿宋_GB2312" w:hAnsi="Times New Roman" w:eastAsia="仿宋_GB2312" w:cs="仿宋_GB2312"/>
          <w:kern w:val="2"/>
          <w:sz w:val="32"/>
          <w:szCs w:val="22"/>
          <w:lang w:val="en-US" w:eastAsia="zh-CN" w:bidi="ar-SA"/>
        </w:rPr>
        <w:t>亿元。</w:t>
      </w:r>
    </w:p>
    <w:p w14:paraId="2354592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（2）积极做好地方政府专项债券、中央预算内投资项目申报工作。目前共有</w:t>
      </w:r>
      <w:r>
        <w:rPr>
          <w:rFonts w:hint="eastAsia" w:ascii="Times New Roman" w:hAnsi="Times New Roman" w:eastAsia="仿宋_GB2312" w:cs="Times New Roman"/>
          <w:kern w:val="2"/>
          <w:sz w:val="32"/>
          <w:szCs w:val="22"/>
          <w:lang w:val="en-US" w:eastAsia="zh-CN" w:bidi="ar-SA"/>
        </w:rPr>
        <w:t>4</w:t>
      </w:r>
      <w:r>
        <w:rPr>
          <w:rFonts w:hint="eastAsia" w:ascii="仿宋_GB2312" w:hAnsi="Times New Roman" w:eastAsia="仿宋_GB2312" w:cs="仿宋_GB2312"/>
          <w:kern w:val="2"/>
          <w:sz w:val="32"/>
          <w:szCs w:val="22"/>
          <w:lang w:val="en-US" w:eastAsia="zh-CN" w:bidi="ar-SA"/>
        </w:rPr>
        <w:t>个项目（国家高原云果产业园项目、富民工业园区基础设施建设项目、富民县城建成区棚户区改造东城河片区安置房基础设施建设项目、富民县城建成区棚户区改造班张村片区安置房基础设施建设项目）获得</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年地方政府专债资金支持，下达专债资金合计</w:t>
      </w:r>
      <w:r>
        <w:rPr>
          <w:rFonts w:hint="eastAsia" w:ascii="Times New Roman" w:hAnsi="Times New Roman" w:eastAsia="仿宋_GB2312" w:cs="Times New Roman"/>
          <w:kern w:val="2"/>
          <w:sz w:val="32"/>
          <w:szCs w:val="22"/>
          <w:lang w:val="en-US" w:eastAsia="zh-CN" w:bidi="ar-SA"/>
        </w:rPr>
        <w:t>13.14</w:t>
      </w:r>
      <w:r>
        <w:rPr>
          <w:rFonts w:hint="eastAsia" w:ascii="仿宋_GB2312" w:hAnsi="Times New Roman" w:eastAsia="仿宋_GB2312" w:cs="仿宋_GB2312"/>
          <w:kern w:val="2"/>
          <w:sz w:val="32"/>
          <w:szCs w:val="22"/>
          <w:lang w:val="en-US" w:eastAsia="zh-CN" w:bidi="ar-SA"/>
        </w:rPr>
        <w:t>亿元。共有</w:t>
      </w:r>
      <w:r>
        <w:rPr>
          <w:rFonts w:hint="eastAsia" w:ascii="Times New Roman" w:hAnsi="Times New Roman" w:eastAsia="仿宋_GB2312" w:cs="Times New Roman"/>
          <w:kern w:val="2"/>
          <w:sz w:val="32"/>
          <w:szCs w:val="22"/>
          <w:lang w:val="en-US" w:eastAsia="zh-CN" w:bidi="ar-SA"/>
        </w:rPr>
        <w:t>10</w:t>
      </w:r>
      <w:r>
        <w:rPr>
          <w:rFonts w:hint="eastAsia" w:ascii="仿宋_GB2312" w:hAnsi="Times New Roman" w:eastAsia="仿宋_GB2312" w:cs="仿宋_GB2312"/>
          <w:kern w:val="2"/>
          <w:sz w:val="32"/>
          <w:szCs w:val="22"/>
          <w:lang w:val="en-US" w:eastAsia="zh-CN" w:bidi="ar-SA"/>
        </w:rPr>
        <w:t>个项目获得中央预算内资金补助，下达资金合计</w:t>
      </w:r>
      <w:r>
        <w:rPr>
          <w:rFonts w:hint="eastAsia" w:ascii="Times New Roman" w:hAnsi="Times New Roman" w:eastAsia="仿宋_GB2312" w:cs="Times New Roman"/>
          <w:kern w:val="2"/>
          <w:sz w:val="32"/>
          <w:szCs w:val="22"/>
          <w:lang w:val="en-US" w:eastAsia="zh-CN" w:bidi="ar-SA"/>
        </w:rPr>
        <w:t>10725</w:t>
      </w:r>
      <w:r>
        <w:rPr>
          <w:rFonts w:hint="eastAsia" w:ascii="仿宋_GB2312" w:hAnsi="Times New Roman" w:eastAsia="仿宋_GB2312" w:cs="仿宋_GB2312"/>
          <w:kern w:val="2"/>
          <w:sz w:val="32"/>
          <w:szCs w:val="22"/>
          <w:lang w:val="en-US" w:eastAsia="zh-CN" w:bidi="ar-SA"/>
        </w:rPr>
        <w:t>万元，其中：中央预算内投资资金</w:t>
      </w:r>
      <w:r>
        <w:rPr>
          <w:rFonts w:hint="eastAsia" w:ascii="Times New Roman" w:hAnsi="Times New Roman" w:eastAsia="仿宋_GB2312" w:cs="Times New Roman"/>
          <w:kern w:val="2"/>
          <w:sz w:val="32"/>
          <w:szCs w:val="22"/>
          <w:lang w:val="en-US" w:eastAsia="zh-CN" w:bidi="ar-SA"/>
        </w:rPr>
        <w:t>9056</w:t>
      </w:r>
      <w:r>
        <w:rPr>
          <w:rFonts w:hint="eastAsia" w:ascii="仿宋_GB2312" w:hAnsi="Times New Roman" w:eastAsia="仿宋_GB2312" w:cs="仿宋_GB2312"/>
          <w:kern w:val="2"/>
          <w:sz w:val="32"/>
          <w:szCs w:val="22"/>
          <w:lang w:val="en-US" w:eastAsia="zh-CN" w:bidi="ar-SA"/>
        </w:rPr>
        <w:t>万元，中央财政性建设资金</w:t>
      </w:r>
      <w:r>
        <w:rPr>
          <w:rFonts w:hint="eastAsia" w:ascii="Times New Roman" w:hAnsi="Times New Roman" w:eastAsia="仿宋_GB2312" w:cs="Times New Roman"/>
          <w:kern w:val="2"/>
          <w:sz w:val="32"/>
          <w:szCs w:val="22"/>
          <w:lang w:val="en-US" w:eastAsia="zh-CN" w:bidi="ar-SA"/>
        </w:rPr>
        <w:t>1669</w:t>
      </w:r>
      <w:r>
        <w:rPr>
          <w:rFonts w:hint="eastAsia" w:ascii="仿宋_GB2312" w:hAnsi="Times New Roman" w:eastAsia="仿宋_GB2312" w:cs="仿宋_GB2312"/>
          <w:kern w:val="2"/>
          <w:sz w:val="32"/>
          <w:szCs w:val="22"/>
          <w:lang w:val="en-US" w:eastAsia="zh-CN" w:bidi="ar-SA"/>
        </w:rPr>
        <w:t>万元。</w:t>
      </w:r>
    </w:p>
    <w:p w14:paraId="252F6EA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（3）积极争取</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年市级预算内前期工作经费支持。分两个批次申报市级预算内前期工作经费支持，目前共有</w:t>
      </w:r>
      <w:r>
        <w:rPr>
          <w:rFonts w:hint="eastAsia" w:ascii="Times New Roman" w:hAnsi="Times New Roman" w:eastAsia="仿宋_GB2312" w:cs="Times New Roman"/>
          <w:kern w:val="2"/>
          <w:sz w:val="32"/>
          <w:szCs w:val="22"/>
          <w:lang w:val="en-US" w:eastAsia="zh-CN" w:bidi="ar-SA"/>
        </w:rPr>
        <w:t>10</w:t>
      </w:r>
      <w:r>
        <w:rPr>
          <w:rFonts w:hint="eastAsia" w:ascii="仿宋_GB2312" w:hAnsi="Times New Roman" w:eastAsia="仿宋_GB2312" w:cs="仿宋_GB2312"/>
          <w:kern w:val="2"/>
          <w:sz w:val="32"/>
          <w:szCs w:val="22"/>
          <w:lang w:val="en-US" w:eastAsia="zh-CN" w:bidi="ar-SA"/>
        </w:rPr>
        <w:t>个项目获得</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年市级预算内前期费</w:t>
      </w:r>
      <w:r>
        <w:rPr>
          <w:rFonts w:hint="eastAsia" w:ascii="Times New Roman" w:hAnsi="Times New Roman" w:eastAsia="仿宋_GB2312" w:cs="Times New Roman"/>
          <w:kern w:val="2"/>
          <w:sz w:val="32"/>
          <w:szCs w:val="22"/>
          <w:lang w:val="en-US" w:eastAsia="zh-CN" w:bidi="ar-SA"/>
        </w:rPr>
        <w:t>1800</w:t>
      </w:r>
      <w:r>
        <w:rPr>
          <w:rFonts w:hint="eastAsia" w:ascii="仿宋_GB2312" w:hAnsi="Times New Roman" w:eastAsia="仿宋_GB2312" w:cs="仿宋_GB2312"/>
          <w:kern w:val="2"/>
          <w:sz w:val="32"/>
          <w:szCs w:val="22"/>
          <w:lang w:val="en-US" w:eastAsia="zh-CN" w:bidi="ar-SA"/>
        </w:rPr>
        <w:t>万元。</w:t>
      </w:r>
    </w:p>
    <w:p w14:paraId="1EF3CED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zh-CN" w:eastAsia="zh-CN" w:bidi="ar-SA"/>
        </w:rPr>
        <w:t>（</w:t>
      </w:r>
      <w:r>
        <w:rPr>
          <w:rFonts w:hint="eastAsia" w:ascii="仿宋_GB2312" w:hAnsi="Times New Roman" w:eastAsia="仿宋_GB2312" w:cs="仿宋_GB2312"/>
          <w:kern w:val="2"/>
          <w:sz w:val="32"/>
          <w:szCs w:val="22"/>
          <w:lang w:val="en-US" w:eastAsia="zh-CN" w:bidi="ar-SA"/>
        </w:rPr>
        <w:t>4</w:t>
      </w:r>
      <w:r>
        <w:rPr>
          <w:rFonts w:hint="eastAsia" w:ascii="仿宋_GB2312" w:hAnsi="Times New Roman" w:eastAsia="仿宋_GB2312" w:cs="仿宋_GB2312"/>
          <w:kern w:val="2"/>
          <w:sz w:val="32"/>
          <w:szCs w:val="22"/>
          <w:lang w:val="zh-CN" w:eastAsia="zh-CN" w:bidi="ar-SA"/>
        </w:rPr>
        <w:t>）抓好市、县级重点项目推进工作。</w:t>
      </w:r>
      <w:r>
        <w:rPr>
          <w:rFonts w:hint="eastAsia" w:ascii="仿宋_GB2312" w:hAnsi="Times New Roman" w:eastAsia="仿宋_GB2312" w:cs="仿宋_GB2312"/>
          <w:kern w:val="2"/>
          <w:sz w:val="32"/>
          <w:szCs w:val="22"/>
          <w:lang w:val="en-US" w:eastAsia="zh-CN" w:bidi="ar-SA"/>
        </w:rPr>
        <w:t>我县</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年纳入市级管理的重点建设项目共</w:t>
      </w:r>
      <w:r>
        <w:rPr>
          <w:rFonts w:hint="eastAsia" w:ascii="Times New Roman" w:hAnsi="Times New Roman" w:eastAsia="仿宋_GB2312" w:cs="Times New Roman"/>
          <w:kern w:val="2"/>
          <w:sz w:val="32"/>
          <w:szCs w:val="22"/>
          <w:lang w:val="en-US" w:eastAsia="zh-CN" w:bidi="ar-SA"/>
        </w:rPr>
        <w:t>10</w:t>
      </w:r>
      <w:r>
        <w:rPr>
          <w:rFonts w:hint="eastAsia" w:ascii="仿宋_GB2312" w:hAnsi="Times New Roman" w:eastAsia="仿宋_GB2312" w:cs="仿宋_GB2312"/>
          <w:kern w:val="2"/>
          <w:sz w:val="32"/>
          <w:szCs w:val="22"/>
          <w:lang w:val="en-US" w:eastAsia="zh-CN" w:bidi="ar-SA"/>
        </w:rPr>
        <w:t>项，其中：基础设施项目</w:t>
      </w:r>
      <w:r>
        <w:rPr>
          <w:rFonts w:hint="eastAsia" w:ascii="Times New Roman" w:hAnsi="Times New Roman" w:eastAsia="仿宋_GB2312" w:cs="Times New Roman"/>
          <w:kern w:val="2"/>
          <w:sz w:val="32"/>
          <w:szCs w:val="22"/>
          <w:lang w:val="en-US" w:eastAsia="zh-CN" w:bidi="ar-SA"/>
        </w:rPr>
        <w:t>3</w:t>
      </w:r>
      <w:r>
        <w:rPr>
          <w:rFonts w:hint="eastAsia" w:ascii="仿宋_GB2312" w:hAnsi="Times New Roman" w:eastAsia="仿宋_GB2312" w:cs="仿宋_GB2312"/>
          <w:kern w:val="2"/>
          <w:sz w:val="32"/>
          <w:szCs w:val="22"/>
          <w:lang w:val="en-US" w:eastAsia="zh-CN" w:bidi="ar-SA"/>
        </w:rPr>
        <w:t>项，产业项目</w:t>
      </w:r>
      <w:r>
        <w:rPr>
          <w:rFonts w:hint="eastAsia" w:ascii="Times New Roman" w:hAnsi="Times New Roman" w:eastAsia="仿宋_GB2312" w:cs="Times New Roman"/>
          <w:kern w:val="2"/>
          <w:sz w:val="32"/>
          <w:szCs w:val="22"/>
          <w:lang w:val="en-US" w:eastAsia="zh-CN" w:bidi="ar-SA"/>
        </w:rPr>
        <w:t>7</w:t>
      </w:r>
      <w:r>
        <w:rPr>
          <w:rFonts w:hint="eastAsia" w:ascii="仿宋_GB2312" w:hAnsi="Times New Roman" w:eastAsia="仿宋_GB2312" w:cs="仿宋_GB2312"/>
          <w:kern w:val="2"/>
          <w:sz w:val="32"/>
          <w:szCs w:val="22"/>
          <w:lang w:val="en-US" w:eastAsia="zh-CN" w:bidi="ar-SA"/>
        </w:rPr>
        <w:t>项，计划总投资</w:t>
      </w:r>
      <w:r>
        <w:rPr>
          <w:rFonts w:hint="eastAsia" w:ascii="Times New Roman" w:hAnsi="Times New Roman" w:eastAsia="仿宋_GB2312" w:cs="Times New Roman"/>
          <w:kern w:val="2"/>
          <w:sz w:val="32"/>
          <w:szCs w:val="22"/>
          <w:lang w:val="en-US" w:eastAsia="zh-CN" w:bidi="ar-SA"/>
        </w:rPr>
        <w:t>128.26</w:t>
      </w:r>
      <w:r>
        <w:rPr>
          <w:rFonts w:hint="eastAsia" w:ascii="仿宋_GB2312" w:hAnsi="Times New Roman" w:eastAsia="仿宋_GB2312" w:cs="仿宋_GB2312"/>
          <w:kern w:val="2"/>
          <w:sz w:val="32"/>
          <w:szCs w:val="22"/>
          <w:lang w:val="en-US" w:eastAsia="zh-CN" w:bidi="ar-SA"/>
        </w:rPr>
        <w:t>亿元，2020年计划投资</w:t>
      </w:r>
      <w:r>
        <w:rPr>
          <w:rFonts w:hint="eastAsia" w:ascii="Times New Roman" w:hAnsi="Times New Roman" w:eastAsia="仿宋_GB2312" w:cs="Times New Roman"/>
          <w:kern w:val="2"/>
          <w:sz w:val="32"/>
          <w:szCs w:val="22"/>
          <w:lang w:val="en-US" w:eastAsia="zh-CN" w:bidi="ar-SA"/>
        </w:rPr>
        <w:t>34</w:t>
      </w:r>
      <w:r>
        <w:rPr>
          <w:rFonts w:hint="eastAsia" w:ascii="仿宋_GB2312" w:hAnsi="Times New Roman" w:eastAsia="仿宋_GB2312" w:cs="仿宋_GB2312"/>
          <w:kern w:val="2"/>
          <w:sz w:val="32"/>
          <w:szCs w:val="22"/>
          <w:lang w:val="en-US" w:eastAsia="zh-CN" w:bidi="ar-SA"/>
        </w:rPr>
        <w:t>亿元；</w:t>
      </w:r>
      <w:r>
        <w:rPr>
          <w:rFonts w:hint="eastAsia" w:ascii="Times New Roman" w:hAnsi="Times New Roman" w:eastAsia="仿宋_GB2312" w:cs="Times New Roman"/>
          <w:kern w:val="2"/>
          <w:sz w:val="32"/>
          <w:szCs w:val="22"/>
          <w:lang w:val="en-US" w:eastAsia="zh-CN" w:bidi="ar-SA"/>
        </w:rPr>
        <w:t>1-10</w:t>
      </w:r>
      <w:r>
        <w:rPr>
          <w:rFonts w:hint="eastAsia" w:ascii="仿宋_GB2312" w:hAnsi="Times New Roman" w:eastAsia="仿宋_GB2312" w:cs="仿宋_GB2312"/>
          <w:kern w:val="2"/>
          <w:sz w:val="32"/>
          <w:szCs w:val="22"/>
          <w:lang w:val="en-US" w:eastAsia="zh-CN" w:bidi="ar-SA"/>
        </w:rPr>
        <w:t>月完成投资</w:t>
      </w:r>
      <w:r>
        <w:rPr>
          <w:rFonts w:hint="eastAsia" w:ascii="Times New Roman" w:hAnsi="Times New Roman" w:eastAsia="仿宋_GB2312" w:cs="Times New Roman"/>
          <w:kern w:val="2"/>
          <w:sz w:val="32"/>
          <w:szCs w:val="22"/>
          <w:lang w:val="en-US" w:eastAsia="zh-CN" w:bidi="ar-SA"/>
        </w:rPr>
        <w:t>19.87</w:t>
      </w:r>
      <w:r>
        <w:rPr>
          <w:rFonts w:hint="eastAsia" w:ascii="仿宋_GB2312" w:hAnsi="Times New Roman" w:eastAsia="仿宋_GB2312" w:cs="仿宋_GB2312"/>
          <w:kern w:val="2"/>
          <w:sz w:val="32"/>
          <w:szCs w:val="22"/>
          <w:lang w:val="en-US" w:eastAsia="zh-CN" w:bidi="ar-SA"/>
        </w:rPr>
        <w:t>亿元，投资完成率</w:t>
      </w:r>
      <w:r>
        <w:rPr>
          <w:rFonts w:hint="eastAsia" w:ascii="Times New Roman" w:hAnsi="Times New Roman" w:eastAsia="仿宋_GB2312" w:cs="Times New Roman"/>
          <w:kern w:val="2"/>
          <w:sz w:val="32"/>
          <w:szCs w:val="22"/>
          <w:lang w:val="en-US" w:eastAsia="zh-CN" w:bidi="ar-SA"/>
        </w:rPr>
        <w:t>58.45%</w:t>
      </w:r>
      <w:r>
        <w:rPr>
          <w:rFonts w:hint="eastAsia" w:ascii="仿宋_GB2312" w:hAnsi="Times New Roman" w:eastAsia="仿宋_GB2312" w:cs="仿宋_GB2312"/>
          <w:kern w:val="2"/>
          <w:sz w:val="32"/>
          <w:szCs w:val="22"/>
          <w:lang w:val="en-US" w:eastAsia="zh-CN" w:bidi="ar-SA"/>
        </w:rPr>
        <w:t>，塌时序进度</w:t>
      </w:r>
      <w:r>
        <w:rPr>
          <w:rFonts w:hint="eastAsia" w:ascii="Times New Roman" w:hAnsi="Times New Roman" w:eastAsia="仿宋_GB2312" w:cs="Times New Roman"/>
          <w:kern w:val="2"/>
          <w:sz w:val="32"/>
          <w:szCs w:val="22"/>
          <w:lang w:val="en-US" w:eastAsia="zh-CN" w:bidi="ar-SA"/>
        </w:rPr>
        <w:t>24.88</w:t>
      </w:r>
      <w:r>
        <w:rPr>
          <w:rFonts w:hint="eastAsia" w:ascii="仿宋_GB2312" w:hAnsi="Times New Roman" w:eastAsia="仿宋_GB2312" w:cs="仿宋_GB2312"/>
          <w:kern w:val="2"/>
          <w:sz w:val="32"/>
          <w:szCs w:val="22"/>
          <w:lang w:val="en-US" w:eastAsia="zh-CN" w:bidi="ar-SA"/>
        </w:rPr>
        <w:t>个百分点。预计</w:t>
      </w:r>
      <w:r>
        <w:rPr>
          <w:rFonts w:hint="eastAsia" w:ascii="Times New Roman" w:hAnsi="Times New Roman" w:eastAsia="仿宋_GB2312" w:cs="Times New Roman"/>
          <w:kern w:val="2"/>
          <w:sz w:val="32"/>
          <w:szCs w:val="22"/>
          <w:lang w:val="en-US" w:eastAsia="zh-CN" w:bidi="ar-SA"/>
        </w:rPr>
        <w:t>1-12</w:t>
      </w:r>
      <w:r>
        <w:rPr>
          <w:rFonts w:hint="eastAsia" w:ascii="仿宋_GB2312" w:hAnsi="Times New Roman" w:eastAsia="仿宋_GB2312" w:cs="仿宋_GB2312"/>
          <w:kern w:val="2"/>
          <w:sz w:val="32"/>
          <w:szCs w:val="22"/>
          <w:lang w:val="en-US" w:eastAsia="zh-CN" w:bidi="ar-SA"/>
        </w:rPr>
        <w:t>月完成投资</w:t>
      </w:r>
      <w:r>
        <w:rPr>
          <w:rFonts w:hint="eastAsia" w:ascii="Times New Roman" w:hAnsi="Times New Roman" w:eastAsia="仿宋_GB2312" w:cs="Times New Roman"/>
          <w:kern w:val="2"/>
          <w:sz w:val="32"/>
          <w:szCs w:val="22"/>
          <w:lang w:val="en-US" w:eastAsia="zh-CN" w:bidi="ar-SA"/>
        </w:rPr>
        <w:t>28.9</w:t>
      </w:r>
      <w:r>
        <w:rPr>
          <w:rFonts w:hint="eastAsia" w:ascii="仿宋_GB2312" w:hAnsi="Times New Roman" w:eastAsia="仿宋_GB2312" w:cs="仿宋_GB2312"/>
          <w:kern w:val="2"/>
          <w:sz w:val="32"/>
          <w:szCs w:val="22"/>
          <w:lang w:val="en-US" w:eastAsia="zh-CN" w:bidi="ar-SA"/>
        </w:rPr>
        <w:t>亿元，投资完成率</w:t>
      </w:r>
      <w:r>
        <w:rPr>
          <w:rFonts w:hint="eastAsia" w:ascii="Times New Roman" w:hAnsi="Times New Roman" w:eastAsia="仿宋_GB2312" w:cs="Times New Roman"/>
          <w:kern w:val="2"/>
          <w:sz w:val="32"/>
          <w:szCs w:val="22"/>
          <w:lang w:val="en-US" w:eastAsia="zh-CN" w:bidi="ar-SA"/>
        </w:rPr>
        <w:t>85%</w:t>
      </w:r>
      <w:r>
        <w:rPr>
          <w:rFonts w:hint="eastAsia" w:ascii="仿宋_GB2312" w:hAnsi="Times New Roman" w:eastAsia="仿宋_GB2312" w:cs="仿宋_GB2312"/>
          <w:kern w:val="2"/>
          <w:sz w:val="32"/>
          <w:szCs w:val="22"/>
          <w:lang w:val="en-US" w:eastAsia="zh-CN" w:bidi="ar-SA"/>
        </w:rPr>
        <w:t>。富民县</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年计划实施并纳入考核重点项目共</w:t>
      </w:r>
      <w:r>
        <w:rPr>
          <w:rFonts w:hint="eastAsia" w:ascii="Times New Roman" w:hAnsi="Times New Roman" w:eastAsia="仿宋_GB2312" w:cs="Times New Roman"/>
          <w:kern w:val="2"/>
          <w:sz w:val="32"/>
          <w:szCs w:val="22"/>
          <w:lang w:val="en-US" w:eastAsia="zh-CN" w:bidi="ar-SA"/>
        </w:rPr>
        <w:t>82</w:t>
      </w:r>
      <w:r>
        <w:rPr>
          <w:rFonts w:hint="eastAsia" w:ascii="仿宋_GB2312" w:hAnsi="Times New Roman" w:eastAsia="仿宋_GB2312" w:cs="仿宋_GB2312"/>
          <w:kern w:val="2"/>
          <w:sz w:val="32"/>
          <w:szCs w:val="22"/>
          <w:lang w:val="en-US" w:eastAsia="zh-CN" w:bidi="ar-SA"/>
        </w:rPr>
        <w:t>项，计划总投资</w:t>
      </w:r>
      <w:r>
        <w:rPr>
          <w:rFonts w:hint="eastAsia" w:ascii="Times New Roman" w:hAnsi="Times New Roman" w:eastAsia="仿宋_GB2312" w:cs="Times New Roman"/>
          <w:kern w:val="2"/>
          <w:sz w:val="32"/>
          <w:szCs w:val="22"/>
          <w:lang w:val="en-US" w:eastAsia="zh-CN" w:bidi="ar-SA"/>
        </w:rPr>
        <w:t>247.87</w:t>
      </w:r>
      <w:r>
        <w:rPr>
          <w:rFonts w:hint="eastAsia" w:ascii="仿宋_GB2312" w:hAnsi="Times New Roman" w:eastAsia="仿宋_GB2312" w:cs="仿宋_GB2312"/>
          <w:kern w:val="2"/>
          <w:sz w:val="32"/>
          <w:szCs w:val="22"/>
          <w:lang w:val="en-US" w:eastAsia="zh-CN" w:bidi="ar-SA"/>
        </w:rPr>
        <w:t>亿元，</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年计划投资</w:t>
      </w:r>
      <w:r>
        <w:rPr>
          <w:rFonts w:hint="eastAsia" w:ascii="Times New Roman" w:hAnsi="Times New Roman" w:eastAsia="仿宋_GB2312" w:cs="Times New Roman"/>
          <w:kern w:val="2"/>
          <w:sz w:val="32"/>
          <w:szCs w:val="22"/>
          <w:lang w:val="en-US" w:eastAsia="zh-CN" w:bidi="ar-SA"/>
        </w:rPr>
        <w:t>65.33</w:t>
      </w:r>
      <w:r>
        <w:rPr>
          <w:rFonts w:hint="eastAsia" w:ascii="仿宋_GB2312" w:hAnsi="Times New Roman" w:eastAsia="仿宋_GB2312" w:cs="仿宋_GB2312"/>
          <w:kern w:val="2"/>
          <w:sz w:val="32"/>
          <w:szCs w:val="22"/>
          <w:lang w:val="en-US" w:eastAsia="zh-CN" w:bidi="ar-SA"/>
        </w:rPr>
        <w:t>亿元；</w:t>
      </w:r>
      <w:r>
        <w:rPr>
          <w:rFonts w:hint="eastAsia" w:ascii="Times New Roman" w:hAnsi="Times New Roman" w:eastAsia="仿宋_GB2312" w:cs="Times New Roman"/>
          <w:kern w:val="2"/>
          <w:sz w:val="32"/>
          <w:szCs w:val="22"/>
          <w:lang w:val="en-US" w:eastAsia="zh-CN" w:bidi="ar-SA"/>
        </w:rPr>
        <w:t>1-10</w:t>
      </w:r>
      <w:r>
        <w:rPr>
          <w:rFonts w:hint="eastAsia" w:ascii="仿宋_GB2312" w:hAnsi="Times New Roman" w:eastAsia="仿宋_GB2312" w:cs="仿宋_GB2312"/>
          <w:kern w:val="2"/>
          <w:sz w:val="32"/>
          <w:szCs w:val="22"/>
          <w:lang w:val="en-US" w:eastAsia="zh-CN" w:bidi="ar-SA"/>
        </w:rPr>
        <w:t>月完成投资</w:t>
      </w:r>
      <w:r>
        <w:rPr>
          <w:rFonts w:hint="eastAsia" w:ascii="Times New Roman" w:hAnsi="Times New Roman" w:eastAsia="仿宋_GB2312" w:cs="Times New Roman"/>
          <w:kern w:val="2"/>
          <w:sz w:val="32"/>
          <w:szCs w:val="22"/>
          <w:lang w:val="en-US" w:eastAsia="zh-CN" w:bidi="ar-SA"/>
        </w:rPr>
        <w:t>41.34</w:t>
      </w:r>
      <w:r>
        <w:rPr>
          <w:rFonts w:hint="eastAsia" w:ascii="仿宋_GB2312" w:hAnsi="Times New Roman" w:eastAsia="仿宋_GB2312" w:cs="仿宋_GB2312"/>
          <w:kern w:val="2"/>
          <w:sz w:val="32"/>
          <w:szCs w:val="22"/>
          <w:lang w:val="en-US" w:eastAsia="zh-CN" w:bidi="ar-SA"/>
        </w:rPr>
        <w:t>亿元，投资完成率为</w:t>
      </w:r>
      <w:r>
        <w:rPr>
          <w:rFonts w:hint="eastAsia" w:ascii="Times New Roman" w:hAnsi="Times New Roman" w:eastAsia="仿宋_GB2312" w:cs="Times New Roman"/>
          <w:kern w:val="2"/>
          <w:sz w:val="32"/>
          <w:szCs w:val="22"/>
          <w:lang w:val="en-US" w:eastAsia="zh-CN" w:bidi="ar-SA"/>
        </w:rPr>
        <w:t>63.29％</w:t>
      </w:r>
      <w:r>
        <w:rPr>
          <w:rFonts w:hint="eastAsia" w:ascii="仿宋_GB2312" w:hAnsi="Times New Roman" w:eastAsia="仿宋_GB2312" w:cs="仿宋_GB2312"/>
          <w:kern w:val="2"/>
          <w:sz w:val="32"/>
          <w:szCs w:val="22"/>
          <w:lang w:val="en-US" w:eastAsia="zh-CN" w:bidi="ar-SA"/>
        </w:rPr>
        <w:t>，塌时序进度</w:t>
      </w:r>
      <w:r>
        <w:rPr>
          <w:rFonts w:hint="eastAsia" w:ascii="Times New Roman" w:hAnsi="Times New Roman" w:eastAsia="仿宋_GB2312" w:cs="Times New Roman"/>
          <w:kern w:val="2"/>
          <w:sz w:val="32"/>
          <w:szCs w:val="22"/>
          <w:lang w:val="en-US" w:eastAsia="zh-CN" w:bidi="ar-SA"/>
        </w:rPr>
        <w:t>20.04</w:t>
      </w:r>
      <w:r>
        <w:rPr>
          <w:rFonts w:hint="eastAsia" w:ascii="仿宋_GB2312" w:hAnsi="Times New Roman" w:eastAsia="仿宋_GB2312" w:cs="仿宋_GB2312"/>
          <w:kern w:val="2"/>
          <w:sz w:val="32"/>
          <w:szCs w:val="22"/>
          <w:lang w:val="en-US" w:eastAsia="zh-CN" w:bidi="ar-SA"/>
        </w:rPr>
        <w:t>个百分点。预计</w:t>
      </w:r>
      <w:r>
        <w:rPr>
          <w:rFonts w:hint="eastAsia" w:ascii="Times New Roman" w:hAnsi="Times New Roman" w:eastAsia="仿宋_GB2312" w:cs="Times New Roman"/>
          <w:kern w:val="2"/>
          <w:sz w:val="32"/>
          <w:szCs w:val="22"/>
          <w:lang w:val="en-US" w:eastAsia="zh-CN" w:bidi="ar-SA"/>
        </w:rPr>
        <w:t>1-12</w:t>
      </w:r>
      <w:r>
        <w:rPr>
          <w:rFonts w:hint="eastAsia" w:ascii="仿宋_GB2312" w:hAnsi="Times New Roman" w:eastAsia="仿宋_GB2312" w:cs="仿宋_GB2312"/>
          <w:kern w:val="2"/>
          <w:sz w:val="32"/>
          <w:szCs w:val="22"/>
          <w:lang w:val="en-US" w:eastAsia="zh-CN" w:bidi="ar-SA"/>
        </w:rPr>
        <w:t>月完成投资</w:t>
      </w:r>
      <w:r>
        <w:rPr>
          <w:rFonts w:hint="eastAsia" w:ascii="Times New Roman" w:hAnsi="Times New Roman" w:eastAsia="仿宋_GB2312" w:cs="Times New Roman"/>
          <w:kern w:val="2"/>
          <w:sz w:val="32"/>
          <w:szCs w:val="22"/>
          <w:lang w:val="en-US" w:eastAsia="zh-CN" w:bidi="ar-SA"/>
        </w:rPr>
        <w:t>52.2</w:t>
      </w:r>
      <w:r>
        <w:rPr>
          <w:rFonts w:hint="eastAsia" w:ascii="仿宋_GB2312" w:hAnsi="Times New Roman" w:eastAsia="仿宋_GB2312" w:cs="仿宋_GB2312"/>
          <w:kern w:val="2"/>
          <w:sz w:val="32"/>
          <w:szCs w:val="22"/>
          <w:lang w:val="en-US" w:eastAsia="zh-CN" w:bidi="ar-SA"/>
        </w:rPr>
        <w:t>亿元，投资完成率</w:t>
      </w:r>
      <w:r>
        <w:rPr>
          <w:rFonts w:hint="eastAsia" w:ascii="Times New Roman" w:hAnsi="Times New Roman" w:eastAsia="仿宋_GB2312" w:cs="Times New Roman"/>
          <w:kern w:val="2"/>
          <w:sz w:val="32"/>
          <w:szCs w:val="22"/>
          <w:lang w:val="en-US" w:eastAsia="zh-CN" w:bidi="ar-SA"/>
        </w:rPr>
        <w:t>80%</w:t>
      </w:r>
      <w:r>
        <w:rPr>
          <w:rFonts w:hint="eastAsia" w:ascii="仿宋_GB2312" w:hAnsi="Times New Roman" w:eastAsia="仿宋_GB2312" w:cs="仿宋_GB2312"/>
          <w:kern w:val="2"/>
          <w:sz w:val="32"/>
          <w:szCs w:val="22"/>
          <w:lang w:val="en-US" w:eastAsia="zh-CN" w:bidi="ar-SA"/>
        </w:rPr>
        <w:t>。</w:t>
      </w:r>
    </w:p>
    <w:p w14:paraId="1F38508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（5）完善重点项目建设推进协调机制。</w:t>
      </w:r>
      <w:r>
        <w:rPr>
          <w:rFonts w:hint="eastAsia" w:ascii="仿宋_GB2312" w:hAnsi="Times New Roman" w:eastAsia="仿宋_GB2312" w:cs="仿宋_GB2312"/>
          <w:kern w:val="2"/>
          <w:sz w:val="32"/>
          <w:szCs w:val="22"/>
          <w:lang w:val="zh-CN" w:eastAsia="zh-CN" w:bidi="ar-SA"/>
        </w:rPr>
        <w:t>拟定《富民县</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年重点项目协调推进机制</w:t>
      </w:r>
      <w:r>
        <w:rPr>
          <w:rFonts w:hint="eastAsia" w:ascii="仿宋_GB2312" w:hAnsi="Times New Roman" w:eastAsia="仿宋_GB2312" w:cs="仿宋_GB2312"/>
          <w:kern w:val="2"/>
          <w:sz w:val="32"/>
          <w:szCs w:val="22"/>
          <w:lang w:val="zh-CN" w:eastAsia="zh-CN" w:bidi="ar-SA"/>
        </w:rPr>
        <w:t>实施方案》、《富民县</w:t>
      </w:r>
      <w:r>
        <w:rPr>
          <w:rFonts w:hint="eastAsia" w:ascii="Times New Roman" w:hAnsi="Times New Roman" w:eastAsia="仿宋_GB2312" w:cs="Times New Roman"/>
          <w:kern w:val="2"/>
          <w:sz w:val="32"/>
          <w:szCs w:val="22"/>
          <w:lang w:val="en-US" w:eastAsia="zh-CN" w:bidi="ar-SA"/>
        </w:rPr>
        <w:t>2020</w:t>
      </w:r>
      <w:r>
        <w:rPr>
          <w:rFonts w:hint="eastAsia" w:ascii="仿宋_GB2312" w:hAnsi="Times New Roman" w:eastAsia="仿宋_GB2312" w:cs="仿宋_GB2312"/>
          <w:kern w:val="2"/>
          <w:sz w:val="32"/>
          <w:szCs w:val="22"/>
          <w:lang w:val="en-US" w:eastAsia="zh-CN" w:bidi="ar-SA"/>
        </w:rPr>
        <w:t>年重点建设项目考核实施细则</w:t>
      </w:r>
      <w:r>
        <w:rPr>
          <w:rFonts w:hint="eastAsia" w:ascii="仿宋_GB2312" w:hAnsi="Times New Roman" w:eastAsia="仿宋_GB2312" w:cs="仿宋_GB2312"/>
          <w:kern w:val="2"/>
          <w:sz w:val="32"/>
          <w:szCs w:val="22"/>
          <w:lang w:val="zh-CN" w:eastAsia="zh-CN" w:bidi="ar-SA"/>
        </w:rPr>
        <w:t>》、《</w:t>
      </w:r>
      <w:r>
        <w:rPr>
          <w:rFonts w:hint="eastAsia" w:ascii="仿宋_GB2312" w:hAnsi="Times New Roman" w:eastAsia="仿宋_GB2312" w:cs="仿宋_GB2312"/>
          <w:kern w:val="2"/>
          <w:sz w:val="32"/>
          <w:szCs w:val="22"/>
          <w:lang w:val="en-US" w:eastAsia="zh-CN" w:bidi="ar-SA"/>
        </w:rPr>
        <w:t>富民县关于进一步加强政府性投资项目监督管理的实施意见》、《富民县固定资产投资工作考核办法》、《富民县固定资产投资工作考核办法》，完善监督制约机制，激发各部门谋项目、抓项目的积极性和主动性。</w:t>
      </w:r>
    </w:p>
    <w:p w14:paraId="2635587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（6）做好疫情期间投资项目开复工项目日监测工作。积极争取云南省重大项目金融支持。</w:t>
      </w:r>
    </w:p>
    <w:p w14:paraId="332F837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 </w:t>
      </w:r>
      <w:r>
        <w:rPr>
          <w:rFonts w:hint="eastAsia" w:ascii="Times New Roman" w:hAnsi="Times New Roman" w:eastAsia="仿宋_GB2312" w:cs="Times New Roman"/>
          <w:kern w:val="2"/>
          <w:sz w:val="32"/>
          <w:szCs w:val="22"/>
          <w:lang w:val="en-US" w:eastAsia="zh-CN" w:bidi="ar-SA"/>
        </w:rPr>
        <w:t>3</w:t>
      </w:r>
      <w:r>
        <w:rPr>
          <w:rFonts w:hint="eastAsia" w:ascii="仿宋_GB2312" w:hAnsi="Times New Roman" w:eastAsia="仿宋_GB2312" w:cs="仿宋_GB2312"/>
          <w:kern w:val="2"/>
          <w:sz w:val="32"/>
          <w:szCs w:val="22"/>
          <w:lang w:val="en-US" w:eastAsia="zh-CN" w:bidi="ar-SA"/>
        </w:rPr>
        <w:t>.加强价格和收费管理，确保价格运行平稳</w:t>
      </w:r>
    </w:p>
    <w:p w14:paraId="7B30150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（1）贯彻落实国家和省、市颁布的价格和收费法律、法规和政策及重大价格改革政策、方案，加强重要民生商品和服务价格（收费）管理。</w:t>
      </w:r>
    </w:p>
    <w:p w14:paraId="0515C14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（2）抓好新冠肺炎疫情期间和节假日价格监测预警。完成2020年行政事业性收费统计工作，统计率100%，合格率100%。</w:t>
      </w:r>
    </w:p>
    <w:p w14:paraId="6E26141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（3）编制并公布2020年行政事业性收费目录3期；完成收费备案11个。</w:t>
      </w:r>
    </w:p>
    <w:p w14:paraId="5AB8040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（4）办理涉案物品价格认证案件224件，涉案金额272万元，案件评估复议率为零。</w:t>
      </w:r>
    </w:p>
    <w:p w14:paraId="19CF29B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4</w:t>
      </w:r>
      <w:r>
        <w:rPr>
          <w:rFonts w:hint="eastAsia" w:ascii="仿宋_GB2312" w:hAnsi="Times New Roman" w:eastAsia="仿宋_GB2312" w:cs="仿宋_GB2312"/>
          <w:kern w:val="2"/>
          <w:sz w:val="32"/>
          <w:szCs w:val="22"/>
          <w:lang w:val="en-US" w:eastAsia="zh-CN" w:bidi="ar-SA"/>
        </w:rPr>
        <w:t>.加强能源行业监管，推进能源企业健康发展</w:t>
      </w:r>
    </w:p>
    <w:p w14:paraId="47C80B8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（1）积极开展能源行业（石油、天然气）建设项目的审核和申报工作。</w:t>
      </w:r>
    </w:p>
    <w:p w14:paraId="2C360DC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（2）协助中清能罗免100兆瓦农光互补发电项目完善相关审批材料并上报市发改委；协助中国电力、中节能等公司开展项目土地性质查询工作。</w:t>
      </w:r>
    </w:p>
    <w:p w14:paraId="173217E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（3）组织开展油气管道企业复工复产安全检查，清明、五一以及“两会”期间安全生产专项检查，覆盖率达100%。</w:t>
      </w:r>
    </w:p>
    <w:p w14:paraId="3853986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5</w:t>
      </w:r>
      <w:r>
        <w:rPr>
          <w:rFonts w:hint="eastAsia" w:ascii="仿宋_GB2312" w:hAnsi="Times New Roman" w:eastAsia="仿宋_GB2312" w:cs="仿宋_GB2312"/>
          <w:kern w:val="2"/>
          <w:sz w:val="32"/>
          <w:szCs w:val="22"/>
          <w:lang w:val="en-US" w:eastAsia="zh-CN" w:bidi="ar-SA"/>
        </w:rPr>
        <w:t>.加强粮食管理，确保粮食安全</w:t>
      </w:r>
    </w:p>
    <w:p w14:paraId="0E13BD2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1）积极应对新冠肺炎疫情，做好粮油市场保障供应。制定《富民县应对新型冠状病毒感染的肺炎疫情粮油市场保供应急处置方案》，在全县设置10个粮油保供监测点，及时了解和掌握各镇（街道）粮油保供情况。确保疫情期间粮油市场运行平稳。</w:t>
      </w:r>
    </w:p>
    <w:p w14:paraId="23687A9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（2）加强县级储备粮管理。完成县级储备粮2000吨轮换出库，预计2021年1月底新粮可轮换入库。</w:t>
      </w:r>
    </w:p>
    <w:p w14:paraId="2B6C0E9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（3）保障校园粮油供应。向我县32所中、小学校、幼儿园配送大米253吨、面粉（面条）24吨、食用植物油26吨。</w:t>
      </w:r>
    </w:p>
    <w:p w14:paraId="0AF58E74">
      <w:pPr>
        <w:pStyle w:val="6"/>
        <w:keepNext w:val="0"/>
        <w:keepLines w:val="0"/>
        <w:pageBreakBefore w:val="0"/>
        <w:widowControl w:val="0"/>
        <w:suppressLineNumbers w:val="0"/>
        <w:kinsoku/>
        <w:wordWrap/>
        <w:overflowPunct/>
        <w:bidi w:val="0"/>
        <w:spacing w:before="0" w:beforeAutospacing="0" w:after="0" w:afterAutospacing="0" w:line="560" w:lineRule="exact"/>
        <w:ind w:left="0" w:right="0" w:firstLine="640" w:firstLineChars="200"/>
        <w:jc w:val="both"/>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4）做好安全生产各项工作。结合疫情防控需要和行业安全实际，做好粮油企业复工复产生产经营单位安全提示，明确复工复产安全防范措施和要求，配合云南省粮油产品质量监督检验站对分布于永定街道，罗免镇、赤鹫镇10家粮油经营企业开展粮油安全质抽查，质量及质等级指标全部合格。市场流通粮食质量安全抽检覆盖全县7镇（街道），完成年度预期目标。对大营中心小学、永定中心小学、机关幼儿园食堂用大米共抽取3个样品进行实验检验。</w:t>
      </w:r>
    </w:p>
    <w:p w14:paraId="3F444062">
      <w:pPr>
        <w:keepNext w:val="0"/>
        <w:keepLines w:val="0"/>
        <w:pageBreakBefore w:val="0"/>
        <w:widowControl/>
        <w:shd w:val="clear" w:color="auto" w:fill="FFFFFF"/>
        <w:kinsoku/>
        <w:wordWrap/>
        <w:overflowPunct/>
        <w:topLinePunct w:val="0"/>
        <w:bidi w:val="0"/>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6.</w:t>
      </w:r>
      <w:r>
        <w:rPr>
          <w:rFonts w:hint="eastAsia" w:ascii="仿宋_GB2312" w:hAnsi="Times New Roman" w:eastAsia="仿宋_GB2312" w:cs="仿宋_GB2312"/>
          <w:kern w:val="2"/>
          <w:sz w:val="32"/>
          <w:szCs w:val="22"/>
          <w:lang w:val="en-US" w:eastAsia="zh-CN" w:bidi="ar-SA"/>
        </w:rPr>
        <w:t>提升窗口形象，优化行政服务质量</w:t>
      </w:r>
    </w:p>
    <w:p w14:paraId="4304A1F8">
      <w:pPr>
        <w:keepNext w:val="0"/>
        <w:keepLines w:val="0"/>
        <w:pageBreakBefore w:val="0"/>
        <w:widowControl/>
        <w:shd w:val="clear" w:color="auto" w:fill="FFFFFF"/>
        <w:kinsoku/>
        <w:wordWrap/>
        <w:overflowPunct/>
        <w:bidi w:val="0"/>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（1）优化审批流程，提高工作效率、建设服务型政府。共审批政府性投资项目43件，计划投资106.04亿元。</w:t>
      </w:r>
    </w:p>
    <w:p w14:paraId="1418AC66">
      <w:pPr>
        <w:keepNext w:val="0"/>
        <w:keepLines w:val="0"/>
        <w:pageBreakBefore w:val="0"/>
        <w:widowControl/>
        <w:shd w:val="clear" w:color="auto" w:fill="FFFFFF"/>
        <w:kinsoku/>
        <w:wordWrap/>
        <w:overflowPunct/>
        <w:bidi w:val="0"/>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（2）企业投资项目备案71件，计划投资782.74亿元，合计总投资888.78亿元。</w:t>
      </w:r>
    </w:p>
    <w:p w14:paraId="207452B0">
      <w:pPr>
        <w:keepNext w:val="0"/>
        <w:keepLines w:val="0"/>
        <w:pageBreakBefore w:val="0"/>
        <w:widowControl/>
        <w:shd w:val="clear" w:color="auto" w:fill="FFFFFF"/>
        <w:kinsoku/>
        <w:wordWrap/>
        <w:overflowPunct/>
        <w:bidi w:val="0"/>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（3）窗口办件均在承诺时限（3个工作日）内办结，办结率为100%，群众满意率为100%。</w:t>
      </w:r>
    </w:p>
    <w:p w14:paraId="3077D243">
      <w:pPr>
        <w:keepNext w:val="0"/>
        <w:keepLines w:val="0"/>
        <w:pageBreakBefore w:val="0"/>
        <w:kinsoku/>
        <w:wordWrap/>
        <w:overflowPunct/>
        <w:topLinePunct w:val="0"/>
        <w:bidi w:val="0"/>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7</w:t>
      </w:r>
      <w:r>
        <w:rPr>
          <w:rFonts w:hint="eastAsia" w:ascii="仿宋_GB2312" w:hAnsi="Times New Roman" w:eastAsia="仿宋_GB2312" w:cs="仿宋_GB2312"/>
          <w:kern w:val="2"/>
          <w:sz w:val="32"/>
          <w:szCs w:val="22"/>
          <w:lang w:val="en-US" w:eastAsia="zh-CN" w:bidi="ar-SA"/>
        </w:rPr>
        <w:t>.加强综合协调，确保各项工作顺利开展</w:t>
      </w:r>
    </w:p>
    <w:p w14:paraId="71E1EF92">
      <w:pPr>
        <w:keepNext w:val="0"/>
        <w:keepLines w:val="0"/>
        <w:pageBreakBefore w:val="0"/>
        <w:numPr>
          <w:ilvl w:val="0"/>
          <w:numId w:val="0"/>
        </w:numPr>
        <w:kinsoku/>
        <w:wordWrap/>
        <w:overflowPunct/>
        <w:topLinePunct w:val="0"/>
        <w:autoSpaceDE w:val="0"/>
        <w:autoSpaceDN w:val="0"/>
        <w:bidi w:val="0"/>
        <w:adjustRightInd w:val="0"/>
        <w:spacing w:line="560" w:lineRule="exact"/>
        <w:ind w:firstLine="640" w:firstLineChars="200"/>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1）稳步推进富民县“美丽县城”建设工作。编制了富民县“美丽县城”三年行动计划（2019-2021年）重点项目库，计划实施项目53个，计划总投资20.7亿元。2020年计划实施项目41个（含2019年结转项目10项），计划完成投资8.81亿元，1—10月完成投资7.37亿元，投资完成率83.7%。</w:t>
      </w:r>
    </w:p>
    <w:p w14:paraId="012B0FB2">
      <w:pPr>
        <w:keepNext w:val="0"/>
        <w:keepLines w:val="0"/>
        <w:pageBreakBefore w:val="0"/>
        <w:numPr>
          <w:ilvl w:val="0"/>
          <w:numId w:val="0"/>
        </w:numPr>
        <w:kinsoku/>
        <w:wordWrap/>
        <w:overflowPunct/>
        <w:topLinePunct w:val="0"/>
        <w:bidi w:val="0"/>
        <w:adjustRightInd w:val="0"/>
        <w:snapToGrid w:val="0"/>
        <w:spacing w:line="560" w:lineRule="exact"/>
        <w:ind w:firstLine="640" w:firstLineChars="200"/>
        <w:jc w:val="left"/>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2）认真开展推长工作。印发《富民县2019年长江经济带生态环境问题整改方案》（富政办通〔2020〕6号）、《富民县2019年长江经济带和金沙江流域生态环境突出问题整改销号实施方案》（富政办通〔2020〕25号），适时召开长江经济带和金沙江流域生态环境突出问题整改工作推进会，全面落实2019年长江经济带和金沙江流域生态环境突出问题中涉及我县的4个问题（其中，长江经济带生态环境突出问题2个，金沙江流域生态环境突出问题2个）的整改工作。接受了国家推长办、省推长办、省生态环境厅、市生态环境保护督察办公室到富民县督查调研工作，并按督查整改要求进行了整改。</w:t>
      </w:r>
    </w:p>
    <w:p w14:paraId="49C0E49A">
      <w:pPr>
        <w:keepNext w:val="0"/>
        <w:keepLines w:val="0"/>
        <w:pageBreakBefore w:val="0"/>
        <w:numPr>
          <w:ilvl w:val="0"/>
          <w:numId w:val="0"/>
        </w:numPr>
        <w:kinsoku/>
        <w:wordWrap/>
        <w:overflowPunct/>
        <w:topLinePunct w:val="0"/>
        <w:bidi w:val="0"/>
        <w:adjustRightInd w:val="0"/>
        <w:snapToGrid w:val="0"/>
        <w:spacing w:line="560" w:lineRule="exact"/>
        <w:ind w:firstLine="640" w:firstLineChars="200"/>
        <w:jc w:val="left"/>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3）切实做好“十四五”规划编制工作。一是认真做好规划编制工作。通过招投标确定了富民县“十四五”规划《纲要》的编制单位。现已编制完成了《富民县国民经济和社会发展“十四五”规划基本思路》（征求意见）、《富民县国民经济和社会发展第十四个五年规划的建议》（征求意见）。下一步将根据规划建议完善规划纲要。二是做好重点课题和专项规划推进工作。“十四五”规划编制，共有12个重点课题编制、27个专项规划编制、7个区域规划编制。12个重点课题已编制完成7项，推进滞后1项，4项正在推进中。27个专项规划已编制完成6项，完成初稿编制17项，正在编制初稿3项，开展前期工作1项。7个区域规划，1个镇编制完成讨论稿，4个镇编制完成初稿，其他2个镇（街道）正在推进当中。</w:t>
      </w:r>
    </w:p>
    <w:p w14:paraId="1A46FDA2">
      <w:pPr>
        <w:keepNext w:val="0"/>
        <w:keepLines w:val="0"/>
        <w:pageBreakBefore w:val="0"/>
        <w:numPr>
          <w:ilvl w:val="0"/>
          <w:numId w:val="0"/>
        </w:numPr>
        <w:kinsoku/>
        <w:wordWrap/>
        <w:overflowPunct/>
        <w:topLinePunct w:val="0"/>
        <w:bidi w:val="0"/>
        <w:adjustRightInd w:val="0"/>
        <w:snapToGrid w:val="0"/>
        <w:spacing w:line="560" w:lineRule="exact"/>
        <w:ind w:firstLine="640" w:firstLineChars="200"/>
        <w:jc w:val="left"/>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（4）继续做好地条钢整治监管工作。一是做好日常监管。根据《富民县严防“地条钢”死灰复燃工作实施方案》（富政办通〔2018〕41号），与各镇（街道办）、单位签订了《打击取缔 “地条钢”军令状》，按旬进行核查，并于每月3、13、23日将核查情况上报市清查办。二是加大宣传力度。在全县主要集镇、街道、使用“地条钢”企业张贴“地条钢”的界定与危害、中（工）频炉使用范围界定等宣传图片，坚决打击遏制“地条钢”生产死灰复燃。三是进一步完善“地条钢”举报机制。向社会公布富民县“地条钢”举报电话（68812537）和举报邮箱（</w:t>
      </w:r>
      <w:r>
        <w:rPr>
          <w:rFonts w:hint="eastAsia" w:ascii="仿宋_GB2312" w:hAnsi="Times New Roman" w:eastAsia="仿宋_GB2312" w:cs="仿宋_GB2312"/>
          <w:kern w:val="2"/>
          <w:sz w:val="32"/>
          <w:szCs w:val="22"/>
          <w:lang w:val="en-US" w:eastAsia="zh-CN" w:bidi="ar-SA"/>
        </w:rPr>
        <w:fldChar w:fldCharType="begin"/>
      </w:r>
      <w:r>
        <w:rPr>
          <w:rFonts w:hint="eastAsia" w:ascii="仿宋_GB2312" w:hAnsi="Times New Roman" w:eastAsia="仿宋_GB2312" w:cs="仿宋_GB2312"/>
          <w:kern w:val="2"/>
          <w:sz w:val="32"/>
          <w:szCs w:val="22"/>
          <w:lang w:val="en-US" w:eastAsia="zh-CN" w:bidi="ar-SA"/>
        </w:rPr>
        <w:instrText xml:space="preserve"> HYPERLINK "mailto:fmfgjghk@163.com" </w:instrText>
      </w:r>
      <w:r>
        <w:rPr>
          <w:rFonts w:hint="eastAsia" w:ascii="仿宋_GB2312" w:hAnsi="Times New Roman" w:eastAsia="仿宋_GB2312" w:cs="仿宋_GB2312"/>
          <w:kern w:val="2"/>
          <w:sz w:val="32"/>
          <w:szCs w:val="22"/>
          <w:lang w:val="en-US" w:eastAsia="zh-CN" w:bidi="ar-SA"/>
        </w:rPr>
        <w:fldChar w:fldCharType="separate"/>
      </w:r>
      <w:r>
        <w:rPr>
          <w:rFonts w:hint="eastAsia" w:ascii="仿宋_GB2312" w:hAnsi="Times New Roman" w:eastAsia="仿宋_GB2312" w:cs="仿宋_GB2312"/>
          <w:kern w:val="2"/>
          <w:sz w:val="32"/>
          <w:szCs w:val="22"/>
          <w:lang w:val="en-US" w:eastAsia="zh-CN" w:bidi="ar-SA"/>
        </w:rPr>
        <w:t>fmfgjghk@163.com</w:t>
      </w:r>
      <w:r>
        <w:rPr>
          <w:rFonts w:hint="eastAsia" w:ascii="仿宋_GB2312" w:hAnsi="Times New Roman" w:eastAsia="仿宋_GB2312" w:cs="仿宋_GB2312"/>
          <w:kern w:val="2"/>
          <w:sz w:val="32"/>
          <w:szCs w:val="22"/>
          <w:lang w:val="en-US" w:eastAsia="zh-CN" w:bidi="ar-SA"/>
        </w:rPr>
        <w:fldChar w:fldCharType="end"/>
      </w:r>
      <w:r>
        <w:rPr>
          <w:rFonts w:hint="eastAsia" w:ascii="仿宋_GB2312" w:hAnsi="Times New Roman" w:eastAsia="仿宋_GB2312" w:cs="仿宋_GB2312"/>
          <w:kern w:val="2"/>
          <w:sz w:val="32"/>
          <w:szCs w:val="22"/>
          <w:lang w:val="en-US" w:eastAsia="zh-CN" w:bidi="ar-SA"/>
        </w:rPr>
        <w:t>）。</w:t>
      </w:r>
    </w:p>
    <w:p w14:paraId="583BAAE1">
      <w:pPr>
        <w:keepNext w:val="0"/>
        <w:keepLines w:val="0"/>
        <w:pageBreakBefore w:val="0"/>
        <w:numPr>
          <w:ilvl w:val="0"/>
          <w:numId w:val="0"/>
        </w:numPr>
        <w:kinsoku/>
        <w:wordWrap/>
        <w:overflowPunct/>
        <w:topLinePunct w:val="0"/>
        <w:bidi w:val="0"/>
        <w:adjustRightInd w:val="0"/>
        <w:snapToGrid w:val="0"/>
        <w:spacing w:line="560" w:lineRule="exact"/>
        <w:ind w:firstLine="640" w:firstLineChars="200"/>
        <w:jc w:val="left"/>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5）加强社会信用体系建设。按月按时上报信用体系开展情况，及时更新报送社会信用红黑名单；做好联合惩戒案例的收集整理工作。累计上报红名单106例（2019年18例，2020年88例），黑名单326例；修复失信行为退出黑名单31例。</w:t>
      </w:r>
      <w:r>
        <w:rPr>
          <w:rFonts w:hint="eastAsia" w:ascii="仿宋_GB2312" w:hAnsi="Times New Roman" w:eastAsia="仿宋_GB2312" w:cs="仿宋_GB2312"/>
          <w:kern w:val="2"/>
          <w:sz w:val="32"/>
          <w:szCs w:val="22"/>
          <w:lang w:val="zh-CN" w:eastAsia="zh-CN" w:bidi="ar-SA"/>
        </w:rPr>
        <w:t>拟定</w:t>
      </w:r>
      <w:r>
        <w:rPr>
          <w:rFonts w:hint="eastAsia" w:ascii="仿宋_GB2312" w:hAnsi="Times New Roman" w:eastAsia="仿宋_GB2312" w:cs="仿宋_GB2312"/>
          <w:kern w:val="2"/>
          <w:sz w:val="32"/>
          <w:szCs w:val="22"/>
          <w:lang w:val="en-US" w:eastAsia="zh-CN" w:bidi="ar-SA"/>
        </w:rPr>
        <w:t>《富民县2020年社会信用体系建设工作要点》，编制完成了富民县公共信用信息目录清单。</w:t>
      </w:r>
    </w:p>
    <w:p w14:paraId="22428E01">
      <w:pPr>
        <w:keepNext w:val="0"/>
        <w:keepLines w:val="0"/>
        <w:pageBreakBefore w:val="0"/>
        <w:numPr>
          <w:ilvl w:val="0"/>
          <w:numId w:val="0"/>
        </w:numPr>
        <w:kinsoku/>
        <w:wordWrap/>
        <w:overflowPunct/>
        <w:topLinePunct w:val="0"/>
        <w:bidi w:val="0"/>
        <w:adjustRightInd w:val="0"/>
        <w:snapToGrid w:val="0"/>
        <w:spacing w:line="560" w:lineRule="exact"/>
        <w:ind w:firstLine="640" w:firstLineChars="200"/>
        <w:jc w:val="left"/>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6）认真落实深化改革工作。一是落实市委全面深化改革委员会2020年工作要点任务涉及县发局的共10项，1项改革事项正常推进（加强社会信用体系建设），3项工作正常报审（《富民县贯彻落实推动高质量发展的实施意见》《制定关于改革完善体制机制加强粮食储备安全管理的相关措施》《富民县关于建立健全城乡融合发展体制机制和政策措施的实施意见》），其余6项市级文件未出台；二是继续推进落实2019年市委重点改革任务涉及我局的共4项，已完成1项（关于创新和完善促进绿色发展价格机制的实施意见），剩余3项（制定关于构建市场导向的绿色技术创新体系的实施意见、出台完善促进消费体制机制的实施意见、出台关于加快放宽服务业准入的实施意见）待市级文件出台后按程序草拟报审。三是完成富民县2020年三季度深化供给侧结构性改革工作情况报告。</w:t>
      </w:r>
    </w:p>
    <w:p w14:paraId="27F942EC">
      <w:pPr>
        <w:keepNext w:val="0"/>
        <w:keepLines w:val="0"/>
        <w:pageBreakBefore w:val="0"/>
        <w:numPr>
          <w:ilvl w:val="0"/>
          <w:numId w:val="0"/>
        </w:numPr>
        <w:kinsoku/>
        <w:wordWrap/>
        <w:overflowPunct/>
        <w:topLinePunct w:val="0"/>
        <w:bidi w:val="0"/>
        <w:adjustRightInd w:val="0"/>
        <w:snapToGrid w:val="0"/>
        <w:spacing w:line="560" w:lineRule="exact"/>
        <w:ind w:firstLine="640" w:firstLineChars="200"/>
        <w:jc w:val="left"/>
        <w:textAlignment w:val="auto"/>
        <w:rPr>
          <w:rFonts w:hint="eastAsia" w:ascii="仿宋_GB2312" w:hAnsi="Times New Roman" w:eastAsia="仿宋_GB2312" w:cs="仿宋_GB2312"/>
          <w:kern w:val="2"/>
          <w:sz w:val="32"/>
          <w:szCs w:val="22"/>
          <w:lang w:val="en-US" w:eastAsia="zh-CN" w:bidi="ar-SA"/>
        </w:rPr>
      </w:pPr>
      <w:r>
        <w:rPr>
          <w:rFonts w:hint="eastAsia" w:ascii="仿宋_GB2312" w:hAnsi="Times New Roman" w:eastAsia="仿宋_GB2312" w:cs="仿宋_GB2312"/>
          <w:kern w:val="2"/>
          <w:sz w:val="32"/>
          <w:szCs w:val="22"/>
          <w:lang w:val="en-US" w:eastAsia="zh-CN" w:bidi="ar-SA"/>
        </w:rPr>
        <w:t>（7）高度重视安全生产工作。建立健全“</w:t>
      </w:r>
      <w:r>
        <w:rPr>
          <w:rFonts w:hint="eastAsia" w:ascii="仿宋_GB2312" w:cs="仿宋_GB2312"/>
          <w:kern w:val="2"/>
          <w:sz w:val="32"/>
          <w:szCs w:val="22"/>
          <w:lang w:val="en-US" w:eastAsia="zh-CN" w:bidi="ar-SA"/>
        </w:rPr>
        <w:t>党政同责、一岗双责、齐抓共管、失职追责</w:t>
      </w:r>
      <w:r>
        <w:rPr>
          <w:rFonts w:hint="eastAsia" w:ascii="仿宋_GB2312" w:hAnsi="Times New Roman" w:eastAsia="仿宋_GB2312" w:cs="仿宋_GB2312"/>
          <w:kern w:val="2"/>
          <w:sz w:val="32"/>
          <w:szCs w:val="22"/>
          <w:lang w:val="en-US" w:eastAsia="zh-CN" w:bidi="ar-SA"/>
        </w:rPr>
        <w:t>”安全生产责任体系，贯彻落实《安全生产法》。强化我县能源、粮食企业的安全、消防工作。通过对能源、粮食企业的督促检查，全面落安全防范措施，提高从业人员安全</w:t>
      </w:r>
      <w:bookmarkStart w:id="0" w:name="_GoBack"/>
      <w:bookmarkEnd w:id="0"/>
      <w:r>
        <w:rPr>
          <w:rFonts w:hint="eastAsia" w:ascii="仿宋_GB2312" w:hAnsi="Times New Roman" w:eastAsia="仿宋_GB2312" w:cs="仿宋_GB2312"/>
          <w:kern w:val="2"/>
          <w:sz w:val="32"/>
          <w:szCs w:val="22"/>
          <w:lang w:val="en-US" w:eastAsia="zh-CN" w:bidi="ar-SA"/>
        </w:rPr>
        <w:t>意识和操作技能，推进安全管理的程序化和现场安全防护的标准化，最大程度消除安全隐患和违章违规行为，进一步完善安全保证体系，落实安全管理各项规章制度和安全生产保障措施，彻底排查事故隐患，有效防范和坚决遏制安全事故的发生。</w:t>
      </w:r>
    </w:p>
    <w:p w14:paraId="01497641">
      <w:pPr>
        <w:keepNext w:val="0"/>
        <w:keepLines w:val="0"/>
        <w:pageBreakBefore w:val="0"/>
        <w:numPr>
          <w:ilvl w:val="0"/>
          <w:numId w:val="0"/>
        </w:numPr>
        <w:kinsoku/>
        <w:wordWrap/>
        <w:overflowPunct/>
        <w:topLinePunct w:val="0"/>
        <w:bidi w:val="0"/>
        <w:adjustRightInd w:val="0"/>
        <w:snapToGrid w:val="0"/>
        <w:spacing w:line="560" w:lineRule="exact"/>
        <w:ind w:firstLine="640" w:firstLineChars="200"/>
        <w:jc w:val="left"/>
        <w:textAlignment w:val="auto"/>
      </w:pPr>
      <w:r>
        <w:rPr>
          <w:rFonts w:hint="eastAsia" w:ascii="仿宋_GB2312" w:hAnsi="Times New Roman" w:eastAsia="仿宋_GB2312" w:cs="仿宋_GB2312"/>
          <w:kern w:val="2"/>
          <w:sz w:val="32"/>
          <w:szCs w:val="22"/>
          <w:lang w:val="en-US" w:eastAsia="zh-CN" w:bidi="ar-SA"/>
        </w:rPr>
        <w:t>（8）做好易地扶贫搬迁相关工作。一是根据市、县扶贫办要求，进一步梳理、核实、完善易地扶贫搬迁资金政策享受人员相关信息，信息核实相关情况及时报送扶贫办；二是牵头相关县级责任部门和镇街开展易地扶贫搬迁后续发展共性问题整改工作，形成易地扶贫搬迁后续发展共性问题整改报告及时上报；三是积极开展新冠肺炎疫情对易地扶贫搬迁、脱贫攻坚造成影响进行摸底排查分析，并及时将摸底排查情况及附表上报市级；四是根据《云南省易地扶贫搬迁攻坚战指挥部办公室关于对超计划建设安置房开展摸底排查。</w:t>
      </w:r>
    </w:p>
    <w:p w14:paraId="1A8F0F3E">
      <w:pPr>
        <w:topLinePunct/>
        <w:ind w:firstLine="800" w:firstLineChars="250"/>
        <w:rPr>
          <w:rFonts w:hint="eastAsia" w:ascii="仿宋_GB2312" w:hAnsi="仿宋"/>
          <w:szCs w:val="32"/>
        </w:rPr>
      </w:pPr>
      <w:r>
        <w:rPr>
          <w:rFonts w:hint="eastAsia" w:ascii="仿宋_GB2312" w:hAnsi="仿宋"/>
          <w:szCs w:val="32"/>
        </w:rPr>
        <w:t>（二）评价结果。</w:t>
      </w:r>
    </w:p>
    <w:p w14:paraId="4E716B3B">
      <w:pPr>
        <w:spacing w:line="560" w:lineRule="exact"/>
        <w:ind w:firstLine="640" w:firstLineChars="200"/>
      </w:pPr>
      <w:r>
        <w:rPr>
          <w:rFonts w:hint="eastAsia" w:cs="仿宋_GB2312"/>
        </w:rPr>
        <w:t>经过对业务资料、财务资料和统计数据的分析，对部门整体支出的“目标设定”的合理性、相关性、明确性，“预算配置”的合理性、科学性，“预算执行和管理”的合法合规性、完整性，“资产管理”的合法合规性、规范性，“履职</w:t>
      </w:r>
      <w:r>
        <w:rPr>
          <w:rFonts w:hint="eastAsia" w:ascii="仿宋_GB2312" w:hAnsi="Times New Roman" w:eastAsia="仿宋_GB2312" w:cs="仿宋_GB2312"/>
          <w:kern w:val="2"/>
          <w:sz w:val="32"/>
          <w:szCs w:val="22"/>
          <w:lang w:val="en-US" w:eastAsia="zh-CN" w:bidi="ar-SA"/>
        </w:rPr>
        <w:t>产出和效果”的真实性、相关性等方面进行全面详细分析计算，2020年度部门整体支出绩效自评综合得分</w:t>
      </w:r>
      <w:r>
        <w:rPr>
          <w:rFonts w:hint="eastAsia" w:ascii="仿宋_GB2312" w:cs="仿宋_GB2312"/>
          <w:kern w:val="2"/>
          <w:sz w:val="32"/>
          <w:szCs w:val="22"/>
          <w:lang w:val="en-US" w:eastAsia="zh-CN" w:bidi="ar-SA"/>
        </w:rPr>
        <w:t>97</w:t>
      </w:r>
      <w:r>
        <w:rPr>
          <w:rFonts w:hint="eastAsia" w:ascii="仿宋_GB2312" w:hAnsi="Times New Roman" w:eastAsia="仿宋_GB2312" w:cs="仿宋_GB2312"/>
          <w:kern w:val="2"/>
          <w:sz w:val="32"/>
          <w:szCs w:val="22"/>
          <w:lang w:val="en-US" w:eastAsia="zh-CN" w:bidi="ar-SA"/>
        </w:rPr>
        <w:t>分，评价</w:t>
      </w:r>
      <w:r>
        <w:rPr>
          <w:rFonts w:hint="eastAsia" w:cs="仿宋_GB2312"/>
        </w:rPr>
        <w:t>结果为“优”。</w:t>
      </w:r>
    </w:p>
    <w:p w14:paraId="6B2BBFBD">
      <w:pPr>
        <w:topLinePunct/>
        <w:ind w:firstLine="800" w:firstLineChars="250"/>
        <w:rPr>
          <w:rFonts w:hint="eastAsia" w:ascii="黑体" w:hAnsi="黑体" w:eastAsia="黑体"/>
          <w:szCs w:val="32"/>
        </w:rPr>
      </w:pPr>
      <w:r>
        <w:rPr>
          <w:rFonts w:hint="eastAsia" w:ascii="黑体" w:hAnsi="黑体" w:eastAsia="黑体"/>
          <w:szCs w:val="32"/>
        </w:rPr>
        <w:t>四、主要经验做法</w:t>
      </w:r>
    </w:p>
    <w:p w14:paraId="02C93368">
      <w:pPr>
        <w:pStyle w:val="12"/>
        <w:spacing w:line="560" w:lineRule="exact"/>
        <w:ind w:firstLine="640"/>
        <w:rPr>
          <w:rFonts w:ascii="仿宋_GB2312" w:hAnsi="宋体"/>
          <w:color w:val="000000"/>
          <w:kern w:val="0"/>
        </w:rPr>
      </w:pPr>
      <w:r>
        <w:rPr>
          <w:rFonts w:hint="eastAsia" w:ascii="仿宋_GB2312" w:hAnsi="宋体" w:cs="仿宋_GB2312"/>
          <w:color w:val="000000"/>
          <w:kern w:val="0"/>
        </w:rPr>
        <w:t>（一）领导高度重视，全程参与督促。县发改局主要领导亲自抓各科室项目支出管理，组织召开局班子会及科室长会议、专题工作会研究部署部门整体支出工作；分管领导作为项目督办人，全程参与督促检查项目准备、实施和检查进展情况。</w:t>
      </w:r>
    </w:p>
    <w:p w14:paraId="50282CCD">
      <w:pPr>
        <w:pStyle w:val="12"/>
        <w:spacing w:line="560" w:lineRule="exact"/>
        <w:ind w:firstLine="640"/>
        <w:rPr>
          <w:rFonts w:ascii="仿宋_GB2312" w:hAnsi="宋体"/>
          <w:color w:val="000000"/>
          <w:kern w:val="0"/>
        </w:rPr>
      </w:pPr>
      <w:r>
        <w:rPr>
          <w:rFonts w:hint="eastAsia" w:ascii="仿宋_GB2312" w:hAnsi="宋体" w:cs="仿宋_GB2312"/>
          <w:color w:val="000000"/>
          <w:kern w:val="0"/>
        </w:rPr>
        <w:t>（二）健全制度，规范管理。县发改局制定和实施了预算管理、资金管理、绩效考核等管理制度，为项目支出管理发挥预期绩效提供了制度保障。</w:t>
      </w:r>
    </w:p>
    <w:p w14:paraId="540C6C43">
      <w:pPr>
        <w:pStyle w:val="12"/>
        <w:spacing w:line="560" w:lineRule="exact"/>
        <w:ind w:firstLine="640"/>
      </w:pPr>
      <w:r>
        <w:rPr>
          <w:rFonts w:hint="eastAsia" w:cs="仿宋_GB2312"/>
          <w:kern w:val="0"/>
        </w:rPr>
        <w:t>（三）落实责任，做好督查。县发改局通过局班子会及科室长会议，采取听汇报、现场监督等多种形式，对项目实施进度进行了跟踪检查，落实方案编制、预算上报、实施进场、验收等控制点的完成时限，多措并举保障了项目顺利进行。</w:t>
      </w:r>
    </w:p>
    <w:p w14:paraId="1F3D47C0">
      <w:pPr>
        <w:numPr>
          <w:ilvl w:val="0"/>
          <w:numId w:val="5"/>
        </w:numPr>
        <w:topLinePunct/>
        <w:ind w:firstLine="800" w:firstLineChars="250"/>
        <w:rPr>
          <w:rFonts w:hint="eastAsia" w:ascii="黑体" w:hAnsi="黑体" w:eastAsia="黑体"/>
          <w:szCs w:val="32"/>
        </w:rPr>
      </w:pPr>
      <w:r>
        <w:rPr>
          <w:rFonts w:hint="eastAsia" w:ascii="黑体" w:hAnsi="黑体" w:eastAsia="黑体"/>
          <w:szCs w:val="32"/>
        </w:rPr>
        <w:t>存在的问题</w:t>
      </w:r>
    </w:p>
    <w:p w14:paraId="627F2E4A">
      <w:pPr>
        <w:pStyle w:val="12"/>
        <w:spacing w:line="560" w:lineRule="exact"/>
        <w:ind w:firstLine="640"/>
        <w:rPr>
          <w:rFonts w:hint="eastAsia"/>
        </w:rPr>
      </w:pPr>
      <w:r>
        <w:rPr>
          <w:rFonts w:hint="eastAsia" w:cs="仿宋_GB2312"/>
        </w:rPr>
        <w:t>一是资金使用效益有待进一步提高。二是</w:t>
      </w:r>
      <w:r>
        <w:rPr>
          <w:rFonts w:hint="eastAsia" w:hAnsi="微软雅黑" w:cs="仿宋_GB2312"/>
        </w:rPr>
        <w:t>存在预算绩效申报时，编制的绩效目标不具体，绩效目标未完全细化分解为具体工作任务，部分绩效指标不清晰、可衡量性差。三是</w:t>
      </w:r>
      <w:r>
        <w:rPr>
          <w:rFonts w:hint="eastAsia" w:cs="仿宋_GB2312"/>
        </w:rPr>
        <w:t>仍需进一步抓好项目支出进度管理工作，加快财政支出进度，发挥财政资金使用效益，使财政资金能够高效、高质地用于服务经济、服务社会。</w:t>
      </w:r>
    </w:p>
    <w:p w14:paraId="1C0F69B1">
      <w:pPr>
        <w:topLinePunct/>
        <w:ind w:firstLine="800" w:firstLineChars="250"/>
        <w:rPr>
          <w:rFonts w:hint="eastAsia" w:ascii="黑体" w:hAnsi="黑体" w:eastAsia="黑体"/>
          <w:szCs w:val="32"/>
        </w:rPr>
      </w:pPr>
      <w:r>
        <w:rPr>
          <w:rFonts w:hint="eastAsia" w:ascii="黑体" w:hAnsi="黑体" w:eastAsia="黑体"/>
          <w:szCs w:val="32"/>
        </w:rPr>
        <w:t>六、改进措施及建议</w:t>
      </w:r>
    </w:p>
    <w:p w14:paraId="2EE853B3">
      <w:pPr>
        <w:pStyle w:val="12"/>
        <w:spacing w:line="560" w:lineRule="exact"/>
        <w:ind w:firstLine="640"/>
      </w:pPr>
      <w:r>
        <w:rPr>
          <w:rFonts w:hint="eastAsia" w:ascii="Times New Roman" w:hAnsi="Times New Roman" w:eastAsia="仿宋_GB2312" w:cs="Times New Roman"/>
          <w:kern w:val="2"/>
          <w:sz w:val="32"/>
          <w:szCs w:val="22"/>
          <w:lang w:val="en-US" w:eastAsia="zh-CN" w:bidi="ar-SA"/>
        </w:rPr>
        <w:t>1</w:t>
      </w:r>
      <w:r>
        <w:rPr>
          <w:rFonts w:hint="eastAsia" w:cs="仿宋_GB2312"/>
        </w:rPr>
        <w:t>、针对本部门绩效自评中存在的问题，及时调整和优化本部门后续项目和以后年度预算支出的方向和结构，合理配置资源，加强财务管理。</w:t>
      </w:r>
    </w:p>
    <w:p w14:paraId="0A9220C3">
      <w:pPr>
        <w:pStyle w:val="12"/>
        <w:spacing w:line="560" w:lineRule="exact"/>
        <w:ind w:firstLine="640"/>
      </w:pPr>
      <w:r>
        <w:rPr>
          <w:rFonts w:hint="eastAsia" w:ascii="Times New Roman" w:hAnsi="Times New Roman" w:eastAsia="仿宋_GB2312" w:cs="Times New Roman"/>
          <w:kern w:val="2"/>
          <w:sz w:val="32"/>
          <w:szCs w:val="22"/>
          <w:lang w:val="en-US" w:eastAsia="zh-CN" w:bidi="ar-SA"/>
        </w:rPr>
        <w:t>2</w:t>
      </w:r>
      <w:r>
        <w:rPr>
          <w:rFonts w:hint="eastAsia" w:cs="仿宋_GB2312"/>
        </w:rPr>
        <w:t>、建立激励与约束机制，强化评价结果在项目申报和预算编制中的有效应用。</w:t>
      </w:r>
    </w:p>
    <w:p w14:paraId="5D4C4393">
      <w:pPr>
        <w:pStyle w:val="12"/>
        <w:spacing w:line="560" w:lineRule="exact"/>
        <w:ind w:firstLine="640"/>
        <w:rPr>
          <w:rFonts w:hint="eastAsia" w:cs="仿宋_GB2312"/>
        </w:rPr>
      </w:pPr>
      <w:r>
        <w:rPr>
          <w:rFonts w:hint="eastAsia" w:cs="仿宋_GB2312"/>
        </w:rPr>
        <w:t>针对存在问题，责成相关业务处室在今后的预算绩效申报时，在财务部门的配合下，将全年工作任务细化分解为具体的工作目标，并尽量采取定量的方式制定清晰、可衡量的绩效指标。</w:t>
      </w:r>
    </w:p>
    <w:p w14:paraId="18B3A5D1">
      <w:pPr>
        <w:pStyle w:val="12"/>
        <w:spacing w:line="560" w:lineRule="exact"/>
        <w:ind w:firstLine="640"/>
        <w:rPr>
          <w:rFonts w:hint="eastAsia" w:cs="仿宋_GB2312"/>
        </w:rPr>
      </w:pPr>
    </w:p>
    <w:p w14:paraId="1BB58A90">
      <w:pPr>
        <w:pStyle w:val="12"/>
        <w:spacing w:line="560" w:lineRule="exact"/>
        <w:ind w:firstLine="640"/>
        <w:rPr>
          <w:rFonts w:hint="eastAsia" w:cs="仿宋_GB2312"/>
        </w:rPr>
      </w:pPr>
    </w:p>
    <w:p w14:paraId="4232530A">
      <w:pPr>
        <w:pStyle w:val="12"/>
        <w:spacing w:line="560" w:lineRule="exact"/>
        <w:ind w:firstLine="640"/>
        <w:rPr>
          <w:rFonts w:hint="eastAsia" w:cs="仿宋_GB2312"/>
        </w:rPr>
      </w:pPr>
    </w:p>
    <w:p w14:paraId="74871F87">
      <w:pPr>
        <w:pStyle w:val="12"/>
        <w:spacing w:line="560" w:lineRule="exact"/>
        <w:ind w:firstLine="640"/>
        <w:rPr>
          <w:rFonts w:hint="eastAsia" w:cs="仿宋_GB2312"/>
        </w:rPr>
      </w:pPr>
      <w:r>
        <w:rPr>
          <w:rFonts w:hint="eastAsia" w:cs="仿宋_GB2312"/>
        </w:rPr>
        <w:t>附表：</w:t>
      </w:r>
      <w:r>
        <w:t>20</w:t>
      </w:r>
      <w:r>
        <w:rPr>
          <w:rFonts w:hint="eastAsia"/>
          <w:lang w:val="en-US" w:eastAsia="zh-CN"/>
        </w:rPr>
        <w:t>20</w:t>
      </w:r>
      <w:r>
        <w:rPr>
          <w:rFonts w:hint="eastAsia" w:cs="仿宋_GB2312"/>
        </w:rPr>
        <w:t>年部门整体支出绩效</w:t>
      </w:r>
      <w:r>
        <w:rPr>
          <w:rFonts w:hint="eastAsia" w:cs="仿宋_GB2312"/>
          <w:lang w:eastAsia="zh-CN"/>
        </w:rPr>
        <w:t>自评</w:t>
      </w:r>
      <w:r>
        <w:rPr>
          <w:rFonts w:hint="eastAsia" w:cs="仿宋_GB2312"/>
        </w:rPr>
        <w:t>指标评分表</w:t>
      </w:r>
    </w:p>
    <w:p w14:paraId="5D5AAE4B">
      <w:pPr>
        <w:pStyle w:val="12"/>
        <w:spacing w:line="560" w:lineRule="exact"/>
        <w:ind w:firstLine="640"/>
        <w:rPr>
          <w:rFonts w:hint="eastAsia" w:cs="仿宋_GB2312"/>
        </w:rPr>
      </w:pPr>
    </w:p>
    <w:p w14:paraId="1FB97A49">
      <w:pPr>
        <w:pStyle w:val="2"/>
        <w:ind w:left="0" w:leftChars="0" w:firstLine="0" w:firstLineChars="0"/>
      </w:pPr>
    </w:p>
    <w:p w14:paraId="24876D96">
      <w:pPr>
        <w:pStyle w:val="2"/>
        <w:ind w:left="0" w:leftChars="0" w:firstLine="0" w:firstLineChars="0"/>
      </w:pPr>
    </w:p>
    <w:p w14:paraId="72E37FCA">
      <w:pPr>
        <w:pStyle w:val="2"/>
        <w:jc w:val="right"/>
        <w:rPr>
          <w:rFonts w:hint="eastAsia"/>
          <w:lang w:eastAsia="zh-CN"/>
        </w:rPr>
      </w:pPr>
      <w:r>
        <w:rPr>
          <w:rFonts w:hint="eastAsia"/>
          <w:lang w:eastAsia="zh-CN"/>
        </w:rPr>
        <w:t>富民县发展和改革局</w:t>
      </w:r>
    </w:p>
    <w:p w14:paraId="67C6B974">
      <w:pPr>
        <w:pStyle w:val="2"/>
        <w:jc w:val="right"/>
      </w:pPr>
      <w:r>
        <w:rPr>
          <w:rFonts w:hint="eastAsia"/>
          <w:lang w:val="en-US" w:eastAsia="zh-CN"/>
        </w:rPr>
        <w:t>2021年3月31日</w:t>
      </w:r>
    </w:p>
    <w:p w14:paraId="0522D112">
      <w:pPr>
        <w:spacing w:line="600" w:lineRule="exact"/>
        <w:rPr>
          <w:rFonts w:ascii="仿宋_GB2312"/>
          <w:sz w:val="21"/>
          <w:szCs w:val="21"/>
        </w:rPr>
      </w:pPr>
    </w:p>
    <w:p w14:paraId="1B0453FD">
      <w:pPr>
        <w:pStyle w:val="2"/>
        <w:rPr>
          <w:rFonts w:ascii="仿宋_GB2312"/>
          <w:sz w:val="21"/>
          <w:szCs w:val="21"/>
        </w:rPr>
      </w:pPr>
    </w:p>
    <w:p w14:paraId="7950C3F9">
      <w:pPr>
        <w:pStyle w:val="2"/>
        <w:rPr>
          <w:rFonts w:ascii="仿宋_GB2312"/>
          <w:sz w:val="21"/>
          <w:szCs w:val="21"/>
        </w:rPr>
      </w:pPr>
    </w:p>
    <w:p w14:paraId="226E4CBE">
      <w:pPr>
        <w:pStyle w:val="2"/>
        <w:rPr>
          <w:rFonts w:ascii="仿宋_GB2312"/>
          <w:sz w:val="21"/>
          <w:szCs w:val="21"/>
        </w:rPr>
      </w:pPr>
    </w:p>
    <w:p w14:paraId="4481D685">
      <w:pPr>
        <w:pStyle w:val="2"/>
        <w:rPr>
          <w:rFonts w:ascii="仿宋_GB2312"/>
          <w:sz w:val="21"/>
          <w:szCs w:val="21"/>
        </w:rPr>
      </w:pPr>
    </w:p>
    <w:p w14:paraId="794080F6">
      <w:pPr>
        <w:pStyle w:val="2"/>
        <w:rPr>
          <w:rFonts w:ascii="仿宋_GB2312"/>
          <w:sz w:val="21"/>
          <w:szCs w:val="21"/>
        </w:rPr>
      </w:pPr>
    </w:p>
    <w:p w14:paraId="37C0EE81">
      <w:pPr>
        <w:pStyle w:val="2"/>
        <w:rPr>
          <w:rFonts w:ascii="仿宋_GB2312"/>
          <w:sz w:val="21"/>
          <w:szCs w:val="21"/>
        </w:rPr>
      </w:pPr>
    </w:p>
    <w:p w14:paraId="60ED51BB">
      <w:pPr>
        <w:spacing w:line="600" w:lineRule="exact"/>
        <w:rPr>
          <w:rFonts w:ascii="仿宋_GB2312"/>
          <w:sz w:val="21"/>
          <w:szCs w:val="21"/>
        </w:rPr>
      </w:pPr>
      <w:r>
        <w:rPr>
          <w:rFonts w:hint="eastAsia" w:ascii="仿宋_GB2312"/>
          <w:sz w:val="21"/>
          <w:szCs w:val="21"/>
        </w:rPr>
        <w:t>附表：</w:t>
      </w:r>
    </w:p>
    <w:tbl>
      <w:tblPr>
        <w:tblStyle w:val="7"/>
        <w:tblW w:w="9174" w:type="dxa"/>
        <w:jc w:val="center"/>
        <w:tblLayout w:type="fixed"/>
        <w:tblCellMar>
          <w:top w:w="0" w:type="dxa"/>
          <w:left w:w="28" w:type="dxa"/>
          <w:bottom w:w="0" w:type="dxa"/>
          <w:right w:w="28" w:type="dxa"/>
        </w:tblCellMar>
      </w:tblPr>
      <w:tblGrid>
        <w:gridCol w:w="479"/>
        <w:gridCol w:w="638"/>
        <w:gridCol w:w="1173"/>
        <w:gridCol w:w="569"/>
        <w:gridCol w:w="1842"/>
        <w:gridCol w:w="2977"/>
        <w:gridCol w:w="1496"/>
      </w:tblGrid>
      <w:tr w14:paraId="36069D20">
        <w:tblPrEx>
          <w:tblCellMar>
            <w:top w:w="0" w:type="dxa"/>
            <w:left w:w="28" w:type="dxa"/>
            <w:bottom w:w="0" w:type="dxa"/>
            <w:right w:w="28" w:type="dxa"/>
          </w:tblCellMar>
        </w:tblPrEx>
        <w:trPr>
          <w:tblHeader/>
          <w:jc w:val="center"/>
        </w:trPr>
        <w:tc>
          <w:tcPr>
            <w:tcW w:w="9174" w:type="dxa"/>
            <w:gridSpan w:val="7"/>
            <w:tcBorders>
              <w:bottom w:val="single" w:color="auto" w:sz="4" w:space="0"/>
            </w:tcBorders>
            <w:tcMar>
              <w:top w:w="10" w:type="dxa"/>
              <w:left w:w="10" w:type="dxa"/>
              <w:bottom w:w="0" w:type="dxa"/>
              <w:right w:w="10" w:type="dxa"/>
            </w:tcMar>
            <w:vAlign w:val="center"/>
          </w:tcPr>
          <w:p w14:paraId="0BE45B14">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20年部门整体支出绩效自评指标评分表</w:t>
            </w:r>
          </w:p>
          <w:p w14:paraId="45ECF8BA">
            <w:pPr>
              <w:spacing w:afterLines="50"/>
              <w:jc w:val="center"/>
              <w:rPr>
                <w:rFonts w:ascii="黑体" w:eastAsia="黑体"/>
                <w:b/>
                <w:bCs/>
                <w:sz w:val="18"/>
                <w:szCs w:val="18"/>
              </w:rPr>
            </w:pPr>
          </w:p>
        </w:tc>
      </w:tr>
      <w:tr w14:paraId="48DBEE93">
        <w:tblPrEx>
          <w:tblCellMar>
            <w:top w:w="0" w:type="dxa"/>
            <w:left w:w="28" w:type="dxa"/>
            <w:bottom w:w="0" w:type="dxa"/>
            <w:right w:w="28" w:type="dxa"/>
          </w:tblCellMar>
        </w:tblPrEx>
        <w:trPr>
          <w:trHeight w:val="703" w:hRule="atLeast"/>
          <w:tblHeader/>
          <w:jc w:val="center"/>
        </w:trPr>
        <w:tc>
          <w:tcPr>
            <w:tcW w:w="47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0949630E">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3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38A90BC6">
            <w:pPr>
              <w:jc w:val="center"/>
              <w:rPr>
                <w:bCs/>
                <w:sz w:val="21"/>
                <w:szCs w:val="21"/>
              </w:rPr>
            </w:pPr>
            <w:r>
              <w:rPr>
                <w:rFonts w:hint="eastAsia"/>
                <w:bCs/>
                <w:sz w:val="21"/>
                <w:szCs w:val="21"/>
              </w:rPr>
              <w:t>二级</w:t>
            </w:r>
          </w:p>
          <w:p w14:paraId="52B8DF20">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59955555">
            <w:pPr>
              <w:jc w:val="center"/>
              <w:rPr>
                <w:bCs/>
                <w:sz w:val="21"/>
                <w:szCs w:val="21"/>
              </w:rPr>
            </w:pPr>
            <w:r>
              <w:rPr>
                <w:rFonts w:hint="eastAsia"/>
                <w:bCs/>
                <w:sz w:val="21"/>
                <w:szCs w:val="21"/>
              </w:rPr>
              <w:t>三级</w:t>
            </w:r>
          </w:p>
          <w:p w14:paraId="22ECE3F0">
            <w:pPr>
              <w:jc w:val="center"/>
              <w:rPr>
                <w:bCs/>
                <w:sz w:val="21"/>
                <w:szCs w:val="21"/>
              </w:rPr>
            </w:pPr>
            <w:r>
              <w:rPr>
                <w:rFonts w:hint="eastAsia"/>
                <w:bCs/>
                <w:sz w:val="21"/>
                <w:szCs w:val="21"/>
              </w:rPr>
              <w:t>指标</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09F0DABB">
            <w:pPr>
              <w:jc w:val="center"/>
              <w:rPr>
                <w:bCs/>
                <w:sz w:val="21"/>
                <w:szCs w:val="21"/>
              </w:rPr>
            </w:pPr>
            <w:r>
              <w:rPr>
                <w:rFonts w:hint="eastAsia"/>
                <w:bCs/>
                <w:sz w:val="21"/>
                <w:szCs w:val="21"/>
              </w:rPr>
              <w:t>得分</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29E83A81">
            <w:pPr>
              <w:jc w:val="center"/>
              <w:rPr>
                <w:bCs/>
                <w:sz w:val="21"/>
                <w:szCs w:val="21"/>
              </w:rPr>
            </w:pPr>
            <w:r>
              <w:rPr>
                <w:rFonts w:hint="eastAsia"/>
                <w:bCs/>
                <w:sz w:val="21"/>
                <w:szCs w:val="21"/>
              </w:rPr>
              <w:t>指标解释</w:t>
            </w:r>
          </w:p>
        </w:tc>
        <w:tc>
          <w:tcPr>
            <w:tcW w:w="2977"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5A8F7D01">
            <w:pPr>
              <w:jc w:val="center"/>
              <w:rPr>
                <w:bCs/>
                <w:sz w:val="21"/>
                <w:szCs w:val="21"/>
              </w:rPr>
            </w:pPr>
            <w:r>
              <w:rPr>
                <w:rFonts w:hint="eastAsia"/>
                <w:bCs/>
                <w:sz w:val="21"/>
                <w:szCs w:val="21"/>
              </w:rPr>
              <w:t>指标评分细则</w:t>
            </w:r>
          </w:p>
        </w:tc>
        <w:tc>
          <w:tcPr>
            <w:tcW w:w="1496" w:type="dxa"/>
            <w:tcBorders>
              <w:top w:val="single" w:color="auto" w:sz="4" w:space="0"/>
              <w:left w:val="nil"/>
              <w:bottom w:val="single" w:color="auto" w:sz="4" w:space="0"/>
              <w:right w:val="single" w:color="auto" w:sz="4" w:space="0"/>
            </w:tcBorders>
            <w:vAlign w:val="center"/>
          </w:tcPr>
          <w:p w14:paraId="086BDA9A">
            <w:pPr>
              <w:jc w:val="center"/>
              <w:rPr>
                <w:bCs/>
                <w:sz w:val="21"/>
                <w:szCs w:val="21"/>
              </w:rPr>
            </w:pPr>
            <w:r>
              <w:rPr>
                <w:rFonts w:hint="eastAsia"/>
                <w:bCs/>
                <w:sz w:val="21"/>
                <w:szCs w:val="21"/>
              </w:rPr>
              <w:t>数据来源</w:t>
            </w:r>
          </w:p>
        </w:tc>
      </w:tr>
      <w:tr w14:paraId="62430C78">
        <w:tblPrEx>
          <w:tblCellMar>
            <w:top w:w="0" w:type="dxa"/>
            <w:left w:w="28" w:type="dxa"/>
            <w:bottom w:w="0" w:type="dxa"/>
            <w:right w:w="28" w:type="dxa"/>
          </w:tblCellMar>
        </w:tblPrEx>
        <w:trPr>
          <w:trHeight w:val="557" w:hRule="atLeast"/>
          <w:jc w:val="center"/>
        </w:trPr>
        <w:tc>
          <w:tcPr>
            <w:tcW w:w="479" w:type="dxa"/>
            <w:vMerge w:val="restart"/>
            <w:tcBorders>
              <w:top w:val="nil"/>
              <w:left w:val="single" w:color="auto" w:sz="4" w:space="0"/>
              <w:right w:val="single" w:color="auto" w:sz="4" w:space="0"/>
            </w:tcBorders>
            <w:tcMar>
              <w:top w:w="10" w:type="dxa"/>
              <w:left w:w="10" w:type="dxa"/>
              <w:bottom w:w="0" w:type="dxa"/>
              <w:right w:w="10" w:type="dxa"/>
            </w:tcMar>
            <w:textDirection w:val="tbRlV"/>
            <w:vAlign w:val="center"/>
          </w:tcPr>
          <w:p w14:paraId="786232D0">
            <w:pPr>
              <w:jc w:val="center"/>
              <w:rPr>
                <w:rFonts w:ascii="仿宋_GB2312"/>
                <w:sz w:val="18"/>
                <w:szCs w:val="18"/>
              </w:rPr>
            </w:pPr>
            <w:r>
              <w:rPr>
                <w:rFonts w:hint="eastAsia" w:ascii="仿宋_GB2312"/>
                <w:sz w:val="18"/>
                <w:szCs w:val="18"/>
              </w:rPr>
              <w:t>一、部门决策（35分）</w:t>
            </w:r>
          </w:p>
        </w:tc>
        <w:tc>
          <w:tcPr>
            <w:tcW w:w="638" w:type="dxa"/>
            <w:vMerge w:val="restart"/>
            <w:tcBorders>
              <w:top w:val="nil"/>
              <w:left w:val="single" w:color="auto" w:sz="4" w:space="0"/>
              <w:right w:val="single" w:color="auto" w:sz="4" w:space="0"/>
            </w:tcBorders>
            <w:tcMar>
              <w:top w:w="10" w:type="dxa"/>
              <w:left w:w="10" w:type="dxa"/>
              <w:bottom w:w="0" w:type="dxa"/>
              <w:right w:w="10" w:type="dxa"/>
            </w:tcMar>
            <w:vAlign w:val="center"/>
          </w:tcPr>
          <w:p w14:paraId="0F267735">
            <w:pPr>
              <w:jc w:val="left"/>
              <w:rPr>
                <w:rFonts w:ascii="仿宋_GB2312"/>
                <w:sz w:val="15"/>
                <w:szCs w:val="15"/>
              </w:rPr>
            </w:pPr>
            <w:r>
              <w:rPr>
                <w:rFonts w:hint="eastAsia" w:ascii="仿宋_GB2312"/>
                <w:sz w:val="15"/>
                <w:szCs w:val="15"/>
              </w:rPr>
              <w:t>1.部门目标（20分）</w:t>
            </w: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14:paraId="2EC4BFBB">
            <w:pPr>
              <w:rPr>
                <w:rFonts w:ascii="仿宋_GB2312"/>
                <w:sz w:val="15"/>
                <w:szCs w:val="15"/>
              </w:rPr>
            </w:pPr>
            <w:r>
              <w:rPr>
                <w:rFonts w:hint="eastAsia" w:ascii="仿宋_GB2312"/>
                <w:sz w:val="15"/>
                <w:szCs w:val="15"/>
              </w:rPr>
              <w:t>1.年度工作目标的明确性与合理性（6分）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6D9BC54B">
            <w:pPr>
              <w:tabs>
                <w:tab w:val="left" w:pos="2604"/>
              </w:tabs>
              <w:jc w:val="center"/>
              <w:rPr>
                <w:rFonts w:hint="eastAsia" w:ascii="仿宋_GB2312" w:eastAsia="仿宋_GB2312"/>
                <w:sz w:val="15"/>
                <w:szCs w:val="15"/>
                <w:lang w:val="en-US" w:eastAsia="zh-CN"/>
              </w:rPr>
            </w:pPr>
            <w:r>
              <w:rPr>
                <w:rFonts w:hint="eastAsia" w:ascii="仿宋_GB2312"/>
                <w:sz w:val="15"/>
                <w:szCs w:val="15"/>
                <w:lang w:val="en-US" w:eastAsia="zh-CN"/>
              </w:rPr>
              <w:t>6</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14:paraId="0E12E1F3">
            <w:pPr>
              <w:rPr>
                <w:rFonts w:ascii="仿宋_GB2312"/>
                <w:sz w:val="15"/>
                <w:szCs w:val="15"/>
              </w:rPr>
            </w:pPr>
            <w:r>
              <w:rPr>
                <w:rFonts w:hint="eastAsia" w:ascii="仿宋_GB2312"/>
                <w:sz w:val="15"/>
                <w:szCs w:val="15"/>
              </w:rPr>
              <w:t>部门年度工作目标的设定是否明确合理</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14:paraId="56CF6760">
            <w:pPr>
              <w:snapToGrid w:val="0"/>
              <w:rPr>
                <w:rFonts w:ascii="仿宋_GB2312"/>
                <w:sz w:val="15"/>
                <w:szCs w:val="15"/>
              </w:rPr>
            </w:pPr>
            <w:r>
              <w:rPr>
                <w:rFonts w:hint="eastAsia" w:ascii="仿宋_GB2312"/>
                <w:sz w:val="15"/>
                <w:szCs w:val="15"/>
              </w:rPr>
              <w:t>①部门年度工作目标是否明确设定，得3分；②年度工作目标与部门中长期规划目标一致，得3分。</w:t>
            </w:r>
          </w:p>
        </w:tc>
        <w:tc>
          <w:tcPr>
            <w:tcW w:w="1496" w:type="dxa"/>
            <w:tcBorders>
              <w:top w:val="nil"/>
              <w:left w:val="nil"/>
              <w:bottom w:val="single" w:color="auto" w:sz="4" w:space="0"/>
              <w:right w:val="single" w:color="auto" w:sz="4" w:space="0"/>
            </w:tcBorders>
            <w:vAlign w:val="center"/>
          </w:tcPr>
          <w:p w14:paraId="513102D4">
            <w:pPr>
              <w:rPr>
                <w:rFonts w:ascii="仿宋_GB2312"/>
                <w:sz w:val="15"/>
                <w:szCs w:val="15"/>
              </w:rPr>
            </w:pPr>
            <w:r>
              <w:rPr>
                <w:rFonts w:hint="eastAsia" w:ascii="仿宋_GB2312"/>
                <w:sz w:val="15"/>
                <w:szCs w:val="15"/>
              </w:rPr>
              <w:t>年度工作目标与部门中长期规划文件</w:t>
            </w:r>
          </w:p>
        </w:tc>
      </w:tr>
      <w:tr w14:paraId="0822461B">
        <w:tblPrEx>
          <w:tblCellMar>
            <w:top w:w="0" w:type="dxa"/>
            <w:left w:w="28" w:type="dxa"/>
            <w:bottom w:w="0" w:type="dxa"/>
            <w:right w:w="28" w:type="dxa"/>
          </w:tblCellMar>
        </w:tblPrEx>
        <w:trPr>
          <w:trHeight w:val="792" w:hRule="atLeast"/>
          <w:jc w:val="center"/>
        </w:trPr>
        <w:tc>
          <w:tcPr>
            <w:tcW w:w="479" w:type="dxa"/>
            <w:vMerge w:val="continue"/>
            <w:tcBorders>
              <w:left w:val="single" w:color="auto" w:sz="4" w:space="0"/>
              <w:right w:val="single" w:color="auto" w:sz="4" w:space="0"/>
            </w:tcBorders>
            <w:vAlign w:val="center"/>
          </w:tcPr>
          <w:p w14:paraId="6120451D">
            <w:pPr>
              <w:rPr>
                <w:sz w:val="18"/>
                <w:szCs w:val="18"/>
              </w:rPr>
            </w:pPr>
          </w:p>
        </w:tc>
        <w:tc>
          <w:tcPr>
            <w:tcW w:w="638" w:type="dxa"/>
            <w:vMerge w:val="continue"/>
            <w:tcBorders>
              <w:left w:val="single" w:color="auto" w:sz="4" w:space="0"/>
              <w:right w:val="single" w:color="auto" w:sz="4" w:space="0"/>
            </w:tcBorders>
            <w:vAlign w:val="center"/>
          </w:tcPr>
          <w:p w14:paraId="4C7F6F0B">
            <w:pPr>
              <w:rPr>
                <w:sz w:val="15"/>
                <w:szCs w:val="15"/>
              </w:rPr>
            </w:pP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14:paraId="278CB0EB">
            <w:pPr>
              <w:rPr>
                <w:rFonts w:ascii="仿宋_GB2312"/>
                <w:sz w:val="15"/>
                <w:szCs w:val="15"/>
              </w:rPr>
            </w:pPr>
            <w:r>
              <w:rPr>
                <w:rFonts w:hint="eastAsia" w:ascii="仿宋_GB2312"/>
                <w:sz w:val="15"/>
                <w:szCs w:val="15"/>
              </w:rPr>
              <w:t>2.绩效目标合理性（6分）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723AB0F8">
            <w:pPr>
              <w:tabs>
                <w:tab w:val="left" w:pos="2604"/>
              </w:tabs>
              <w:jc w:val="center"/>
              <w:rPr>
                <w:rFonts w:hint="eastAsia" w:ascii="仿宋_GB2312" w:eastAsia="仿宋_GB2312"/>
                <w:sz w:val="15"/>
                <w:szCs w:val="15"/>
                <w:lang w:val="en-US" w:eastAsia="zh-CN"/>
              </w:rPr>
            </w:pPr>
            <w:r>
              <w:rPr>
                <w:rFonts w:hint="eastAsia" w:ascii="仿宋_GB2312"/>
                <w:sz w:val="15"/>
                <w:szCs w:val="15"/>
                <w:lang w:val="en-US" w:eastAsia="zh-CN"/>
              </w:rPr>
              <w:t>5</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14:paraId="17734539">
            <w:pPr>
              <w:tabs>
                <w:tab w:val="left" w:pos="2604"/>
              </w:tabs>
              <w:rPr>
                <w:rFonts w:ascii="仿宋_GB2312"/>
                <w:sz w:val="15"/>
                <w:szCs w:val="15"/>
              </w:rPr>
            </w:pPr>
            <w:r>
              <w:rPr>
                <w:rFonts w:hint="eastAsia" w:ascii="仿宋_GB2312"/>
                <w:sz w:val="15"/>
                <w:szCs w:val="15"/>
              </w:rPr>
              <w:t>用以反映和考核部门整体绩效目标与部门职能、年度工作目标的一致性。</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14:paraId="24434904">
            <w:pPr>
              <w:rPr>
                <w:rFonts w:ascii="仿宋_GB2312"/>
                <w:sz w:val="15"/>
                <w:szCs w:val="15"/>
              </w:rPr>
            </w:pPr>
            <w:r>
              <w:rPr>
                <w:rFonts w:hint="eastAsia" w:ascii="仿宋_GB2312"/>
                <w:sz w:val="15"/>
                <w:szCs w:val="15"/>
              </w:rPr>
              <w:t>①符合部门制定的中长期实施规划计2分；②符合部门“三定”方案确定的职责计2分；③与部门年度工作目标、任务相一致计2分。</w:t>
            </w:r>
          </w:p>
        </w:tc>
        <w:tc>
          <w:tcPr>
            <w:tcW w:w="1496" w:type="dxa"/>
            <w:tcBorders>
              <w:top w:val="nil"/>
              <w:left w:val="nil"/>
              <w:bottom w:val="single" w:color="auto" w:sz="4" w:space="0"/>
              <w:right w:val="single" w:color="auto" w:sz="4" w:space="0"/>
            </w:tcBorders>
            <w:vAlign w:val="center"/>
          </w:tcPr>
          <w:p w14:paraId="75DB72E3">
            <w:pPr>
              <w:rPr>
                <w:rFonts w:ascii="仿宋_GB2312"/>
                <w:sz w:val="15"/>
                <w:szCs w:val="15"/>
              </w:rPr>
            </w:pPr>
            <w:r>
              <w:rPr>
                <w:rFonts w:hint="eastAsia" w:ascii="仿宋_GB2312"/>
                <w:sz w:val="15"/>
                <w:szCs w:val="15"/>
              </w:rPr>
              <w:t>部门中长期规划、部门“三定”方案、年度重点工作任务与工作计划</w:t>
            </w:r>
          </w:p>
        </w:tc>
      </w:tr>
      <w:tr w14:paraId="083A15B5">
        <w:tblPrEx>
          <w:tblCellMar>
            <w:top w:w="0" w:type="dxa"/>
            <w:left w:w="28" w:type="dxa"/>
            <w:bottom w:w="0" w:type="dxa"/>
            <w:right w:w="28" w:type="dxa"/>
          </w:tblCellMar>
        </w:tblPrEx>
        <w:trPr>
          <w:trHeight w:val="1706" w:hRule="atLeast"/>
          <w:jc w:val="center"/>
        </w:trPr>
        <w:tc>
          <w:tcPr>
            <w:tcW w:w="479" w:type="dxa"/>
            <w:vMerge w:val="continue"/>
            <w:tcBorders>
              <w:left w:val="single" w:color="auto" w:sz="4" w:space="0"/>
              <w:right w:val="single" w:color="auto" w:sz="4" w:space="0"/>
            </w:tcBorders>
            <w:vAlign w:val="center"/>
          </w:tcPr>
          <w:p w14:paraId="5334B3EC">
            <w:pPr>
              <w:rPr>
                <w:sz w:val="18"/>
                <w:szCs w:val="18"/>
              </w:rPr>
            </w:pPr>
          </w:p>
        </w:tc>
        <w:tc>
          <w:tcPr>
            <w:tcW w:w="638" w:type="dxa"/>
            <w:vMerge w:val="continue"/>
            <w:tcBorders>
              <w:left w:val="single" w:color="auto" w:sz="4" w:space="0"/>
              <w:bottom w:val="single" w:color="auto" w:sz="4" w:space="0"/>
              <w:right w:val="single" w:color="auto" w:sz="4" w:space="0"/>
            </w:tcBorders>
            <w:tcMar>
              <w:top w:w="10" w:type="dxa"/>
              <w:left w:w="10" w:type="dxa"/>
              <w:bottom w:w="0" w:type="dxa"/>
              <w:right w:w="10" w:type="dxa"/>
            </w:tcMar>
            <w:vAlign w:val="center"/>
          </w:tcPr>
          <w:p w14:paraId="16D0B09F">
            <w:pPr>
              <w:jc w:val="center"/>
              <w:rPr>
                <w:sz w:val="15"/>
                <w:szCs w:val="15"/>
              </w:rPr>
            </w:pP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14:paraId="22002CA4">
            <w:pPr>
              <w:rPr>
                <w:rFonts w:ascii="仿宋_GB2312"/>
                <w:sz w:val="15"/>
                <w:szCs w:val="15"/>
              </w:rPr>
            </w:pPr>
            <w:r>
              <w:rPr>
                <w:rFonts w:hint="eastAsia" w:ascii="仿宋_GB2312"/>
                <w:sz w:val="15"/>
                <w:szCs w:val="15"/>
              </w:rPr>
              <w:t>3.绩效指标明确性（8分）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63FCFE0E">
            <w:pPr>
              <w:tabs>
                <w:tab w:val="left" w:pos="2604"/>
              </w:tabs>
              <w:jc w:val="center"/>
              <w:rPr>
                <w:rFonts w:hint="eastAsia" w:ascii="仿宋_GB2312" w:eastAsia="仿宋_GB2312"/>
                <w:sz w:val="15"/>
                <w:szCs w:val="15"/>
                <w:lang w:val="en-US" w:eastAsia="zh-CN"/>
              </w:rPr>
            </w:pPr>
            <w:r>
              <w:rPr>
                <w:rFonts w:hint="eastAsia" w:ascii="仿宋_GB2312"/>
                <w:sz w:val="15"/>
                <w:szCs w:val="15"/>
                <w:lang w:val="en-US" w:eastAsia="zh-CN"/>
              </w:rPr>
              <w:t>7</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14:paraId="62D572F1">
            <w:pPr>
              <w:tabs>
                <w:tab w:val="left" w:pos="2604"/>
              </w:tabs>
              <w:rPr>
                <w:rFonts w:ascii="仿宋_GB2312"/>
                <w:sz w:val="15"/>
                <w:szCs w:val="15"/>
              </w:rPr>
            </w:pPr>
            <w:r>
              <w:rPr>
                <w:rFonts w:hint="eastAsia" w:ascii="仿宋_GB2312"/>
                <w:sz w:val="15"/>
                <w:szCs w:val="15"/>
              </w:rPr>
              <w:t>整体绩效目标所设定的绩效指标是否依据部门工作目标和工作任务进行细化、量化，绩效指标是否可衡量。</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14:paraId="0CB51DFA">
            <w:pPr>
              <w:rPr>
                <w:rFonts w:ascii="仿宋_GB2312"/>
                <w:sz w:val="15"/>
                <w:szCs w:val="15"/>
              </w:rPr>
            </w:pPr>
            <w:r>
              <w:rPr>
                <w:rFonts w:hint="eastAsia" w:ascii="仿宋_GB2312"/>
                <w:sz w:val="15"/>
                <w:szCs w:val="15"/>
              </w:rPr>
              <w:t>①将部门整体的绩效目标细化分解为具体的工作任务计2分；②通过清晰、可衡量的指标值予以体现计2分。③与部门年度的任务数或计划数相对应计2分；④与本年度部门预算资金相匹配计2分。</w:t>
            </w:r>
          </w:p>
        </w:tc>
        <w:tc>
          <w:tcPr>
            <w:tcW w:w="1496" w:type="dxa"/>
            <w:tcBorders>
              <w:top w:val="nil"/>
              <w:left w:val="nil"/>
              <w:bottom w:val="single" w:color="auto" w:sz="4" w:space="0"/>
              <w:right w:val="single" w:color="auto" w:sz="4" w:space="0"/>
            </w:tcBorders>
            <w:vAlign w:val="center"/>
          </w:tcPr>
          <w:p w14:paraId="0B1BA871">
            <w:pPr>
              <w:rPr>
                <w:rFonts w:ascii="仿宋_GB2312"/>
                <w:sz w:val="15"/>
                <w:szCs w:val="15"/>
              </w:rPr>
            </w:pPr>
            <w:r>
              <w:rPr>
                <w:rFonts w:hint="eastAsia" w:ascii="仿宋_GB2312"/>
                <w:sz w:val="15"/>
                <w:szCs w:val="15"/>
              </w:rPr>
              <w:t>部门年度重点工作任务与工作计划。</w:t>
            </w:r>
          </w:p>
        </w:tc>
      </w:tr>
      <w:tr w14:paraId="1359FFFC">
        <w:tblPrEx>
          <w:tblCellMar>
            <w:top w:w="0" w:type="dxa"/>
            <w:left w:w="28" w:type="dxa"/>
            <w:bottom w:w="0" w:type="dxa"/>
            <w:right w:w="28" w:type="dxa"/>
          </w:tblCellMar>
        </w:tblPrEx>
        <w:trPr>
          <w:trHeight w:val="690" w:hRule="atLeast"/>
          <w:jc w:val="center"/>
        </w:trPr>
        <w:tc>
          <w:tcPr>
            <w:tcW w:w="479" w:type="dxa"/>
            <w:vMerge w:val="continue"/>
            <w:tcBorders>
              <w:left w:val="single" w:color="auto" w:sz="4" w:space="0"/>
              <w:right w:val="single" w:color="auto" w:sz="4" w:space="0"/>
            </w:tcBorders>
            <w:vAlign w:val="center"/>
          </w:tcPr>
          <w:p w14:paraId="2BEB8C83">
            <w:pPr>
              <w:rPr>
                <w:sz w:val="18"/>
                <w:szCs w:val="18"/>
              </w:rPr>
            </w:pPr>
          </w:p>
        </w:tc>
        <w:tc>
          <w:tcPr>
            <w:tcW w:w="638" w:type="dxa"/>
            <w:vMerge w:val="restart"/>
            <w:tcBorders>
              <w:top w:val="single" w:color="auto" w:sz="4" w:space="0"/>
              <w:left w:val="single" w:color="auto" w:sz="4" w:space="0"/>
              <w:right w:val="single" w:color="auto" w:sz="4" w:space="0"/>
            </w:tcBorders>
            <w:vAlign w:val="center"/>
          </w:tcPr>
          <w:p w14:paraId="38522577">
            <w:pPr>
              <w:jc w:val="left"/>
              <w:rPr>
                <w:rFonts w:ascii="仿宋_GB2312"/>
                <w:sz w:val="15"/>
                <w:szCs w:val="15"/>
              </w:rPr>
            </w:pPr>
            <w:r>
              <w:rPr>
                <w:rFonts w:hint="eastAsia" w:ascii="仿宋_GB2312"/>
                <w:sz w:val="15"/>
                <w:szCs w:val="15"/>
              </w:rPr>
              <w:t>2.部门职能（15分）</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4A28B218">
            <w:pPr>
              <w:jc w:val="left"/>
              <w:rPr>
                <w:rFonts w:ascii="仿宋_GB2312"/>
                <w:sz w:val="15"/>
                <w:szCs w:val="15"/>
              </w:rPr>
            </w:pPr>
            <w:r>
              <w:rPr>
                <w:rFonts w:hint="eastAsia" w:ascii="仿宋_GB2312"/>
                <w:sz w:val="15"/>
                <w:szCs w:val="15"/>
              </w:rPr>
              <w:t>1.部门职能的明确性与科学性（5分）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35A42717">
            <w:pPr>
              <w:tabs>
                <w:tab w:val="left" w:pos="2604"/>
              </w:tabs>
              <w:jc w:val="center"/>
              <w:rPr>
                <w:rFonts w:hint="eastAsia" w:ascii="仿宋_GB2312" w:eastAsia="仿宋_GB2312"/>
                <w:sz w:val="15"/>
                <w:szCs w:val="15"/>
                <w:lang w:val="en-US" w:eastAsia="zh-CN"/>
              </w:rPr>
            </w:pPr>
            <w:r>
              <w:rPr>
                <w:rFonts w:hint="eastAsia" w:ascii="仿宋_GB2312"/>
                <w:sz w:val="15"/>
                <w:szCs w:val="15"/>
                <w:lang w:val="en-US" w:eastAsia="zh-CN"/>
              </w:rPr>
              <w:t>5</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14:paraId="4018C9BF">
            <w:pPr>
              <w:tabs>
                <w:tab w:val="left" w:pos="2604"/>
              </w:tabs>
              <w:jc w:val="left"/>
              <w:rPr>
                <w:rFonts w:ascii="仿宋_GB2312"/>
                <w:sz w:val="15"/>
                <w:szCs w:val="15"/>
              </w:rPr>
            </w:pPr>
            <w:r>
              <w:rPr>
                <w:rFonts w:hint="eastAsia" w:ascii="仿宋_GB2312"/>
                <w:sz w:val="15"/>
                <w:szCs w:val="15"/>
              </w:rPr>
              <w:t>考察部门职能界定是否明确、科学，是否有相关文件。</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14:paraId="3024A505">
            <w:pPr>
              <w:jc w:val="left"/>
              <w:rPr>
                <w:rFonts w:ascii="仿宋_GB2312"/>
                <w:sz w:val="15"/>
                <w:szCs w:val="15"/>
              </w:rPr>
            </w:pPr>
            <w:r>
              <w:rPr>
                <w:rFonts w:hint="eastAsia" w:ascii="仿宋_GB2312"/>
                <w:sz w:val="15"/>
                <w:szCs w:val="15"/>
              </w:rPr>
              <w:t>①职能明确、设定依据充分，得5分；②有“三定”文件，但职能描述不明确，得1分;③没有职能设定的文件依据且职能不清，得1分</w:t>
            </w:r>
          </w:p>
        </w:tc>
        <w:tc>
          <w:tcPr>
            <w:tcW w:w="1496" w:type="dxa"/>
            <w:tcBorders>
              <w:top w:val="nil"/>
              <w:left w:val="nil"/>
              <w:bottom w:val="single" w:color="auto" w:sz="4" w:space="0"/>
              <w:right w:val="single" w:color="auto" w:sz="4" w:space="0"/>
            </w:tcBorders>
            <w:vAlign w:val="center"/>
          </w:tcPr>
          <w:p w14:paraId="0FDABD73">
            <w:pPr>
              <w:jc w:val="left"/>
              <w:rPr>
                <w:rFonts w:ascii="仿宋_GB2312"/>
                <w:sz w:val="15"/>
                <w:szCs w:val="15"/>
              </w:rPr>
            </w:pPr>
            <w:r>
              <w:rPr>
                <w:rFonts w:hint="eastAsia" w:ascii="仿宋_GB2312"/>
                <w:sz w:val="15"/>
                <w:szCs w:val="15"/>
              </w:rPr>
              <w:t>部门职能描述、“三定”文件</w:t>
            </w:r>
          </w:p>
        </w:tc>
      </w:tr>
      <w:tr w14:paraId="6DF7CF36">
        <w:tblPrEx>
          <w:tblCellMar>
            <w:top w:w="0" w:type="dxa"/>
            <w:left w:w="28" w:type="dxa"/>
            <w:bottom w:w="0" w:type="dxa"/>
            <w:right w:w="28" w:type="dxa"/>
          </w:tblCellMar>
        </w:tblPrEx>
        <w:trPr>
          <w:trHeight w:val="686" w:hRule="atLeast"/>
          <w:jc w:val="center"/>
        </w:trPr>
        <w:tc>
          <w:tcPr>
            <w:tcW w:w="479" w:type="dxa"/>
            <w:vMerge w:val="continue"/>
            <w:tcBorders>
              <w:left w:val="single" w:color="auto" w:sz="4" w:space="0"/>
              <w:right w:val="single" w:color="auto" w:sz="4" w:space="0"/>
            </w:tcBorders>
            <w:vAlign w:val="center"/>
          </w:tcPr>
          <w:p w14:paraId="4ADD5CDF">
            <w:pPr>
              <w:rPr>
                <w:sz w:val="18"/>
                <w:szCs w:val="18"/>
              </w:rPr>
            </w:pPr>
          </w:p>
        </w:tc>
        <w:tc>
          <w:tcPr>
            <w:tcW w:w="638" w:type="dxa"/>
            <w:vMerge w:val="continue"/>
            <w:tcBorders>
              <w:left w:val="single" w:color="auto" w:sz="4" w:space="0"/>
              <w:right w:val="single" w:color="auto" w:sz="4" w:space="0"/>
            </w:tcBorders>
            <w:vAlign w:val="center"/>
          </w:tcPr>
          <w:p w14:paraId="0959ED4F">
            <w:pPr>
              <w:rPr>
                <w:sz w:val="18"/>
                <w:szCs w:val="18"/>
              </w:rPr>
            </w:pP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14:paraId="54185A50">
            <w:pPr>
              <w:rPr>
                <w:rFonts w:ascii="仿宋_GB2312"/>
                <w:sz w:val="15"/>
                <w:szCs w:val="15"/>
              </w:rPr>
            </w:pPr>
            <w:r>
              <w:rPr>
                <w:rFonts w:hint="eastAsia" w:ascii="仿宋_GB2312"/>
                <w:sz w:val="15"/>
                <w:szCs w:val="15"/>
              </w:rPr>
              <w:t>2.年度具体工作与部门职能的匹配性（5分）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72E130A1">
            <w:pPr>
              <w:tabs>
                <w:tab w:val="left" w:pos="2604"/>
              </w:tabs>
              <w:jc w:val="center"/>
              <w:rPr>
                <w:rFonts w:hint="eastAsia" w:ascii="仿宋_GB2312" w:eastAsia="仿宋_GB2312"/>
                <w:sz w:val="15"/>
                <w:szCs w:val="15"/>
                <w:lang w:val="en-US" w:eastAsia="zh-CN"/>
              </w:rPr>
            </w:pPr>
            <w:r>
              <w:rPr>
                <w:rFonts w:hint="eastAsia" w:ascii="仿宋_GB2312"/>
                <w:sz w:val="15"/>
                <w:szCs w:val="15"/>
                <w:lang w:val="en-US" w:eastAsia="zh-CN"/>
              </w:rPr>
              <w:t>5</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14:paraId="1D799530">
            <w:pPr>
              <w:tabs>
                <w:tab w:val="left" w:pos="2604"/>
              </w:tabs>
              <w:rPr>
                <w:rFonts w:ascii="仿宋_GB2312"/>
                <w:sz w:val="15"/>
                <w:szCs w:val="15"/>
              </w:rPr>
            </w:pPr>
            <w:r>
              <w:rPr>
                <w:rFonts w:hint="eastAsia" w:ascii="仿宋_GB2312"/>
                <w:sz w:val="15"/>
                <w:szCs w:val="15"/>
              </w:rPr>
              <w:t>部门年度各类具体工作是否与部门职能相匹配。</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14:paraId="0CE5B468">
            <w:pPr>
              <w:rPr>
                <w:rFonts w:ascii="仿宋_GB2312"/>
                <w:sz w:val="15"/>
                <w:szCs w:val="15"/>
              </w:rPr>
            </w:pPr>
            <w:r>
              <w:rPr>
                <w:rFonts w:hint="eastAsia" w:ascii="仿宋_GB2312"/>
                <w:sz w:val="15"/>
                <w:szCs w:val="15"/>
              </w:rPr>
              <w:t>将部门年度具体工作与部门职能对应匹配，视匹配情况酌情得0-5分。</w:t>
            </w:r>
          </w:p>
        </w:tc>
        <w:tc>
          <w:tcPr>
            <w:tcW w:w="1496" w:type="dxa"/>
            <w:tcBorders>
              <w:top w:val="nil"/>
              <w:left w:val="nil"/>
              <w:bottom w:val="single" w:color="auto" w:sz="4" w:space="0"/>
              <w:right w:val="single" w:color="auto" w:sz="4" w:space="0"/>
            </w:tcBorders>
            <w:vAlign w:val="center"/>
          </w:tcPr>
          <w:p w14:paraId="00075357">
            <w:pPr>
              <w:rPr>
                <w:rFonts w:ascii="仿宋_GB2312"/>
                <w:sz w:val="15"/>
                <w:szCs w:val="15"/>
              </w:rPr>
            </w:pPr>
            <w:r>
              <w:rPr>
                <w:rFonts w:hint="eastAsia" w:ascii="仿宋_GB2312"/>
                <w:sz w:val="15"/>
                <w:szCs w:val="15"/>
              </w:rPr>
              <w:t>部门年度各项具体工作，部门职能</w:t>
            </w:r>
          </w:p>
        </w:tc>
      </w:tr>
      <w:tr w14:paraId="33A70D2E">
        <w:tblPrEx>
          <w:tblCellMar>
            <w:top w:w="0" w:type="dxa"/>
            <w:left w:w="28" w:type="dxa"/>
            <w:bottom w:w="0" w:type="dxa"/>
            <w:right w:w="28" w:type="dxa"/>
          </w:tblCellMar>
        </w:tblPrEx>
        <w:trPr>
          <w:trHeight w:val="554" w:hRule="atLeast"/>
          <w:jc w:val="center"/>
        </w:trPr>
        <w:tc>
          <w:tcPr>
            <w:tcW w:w="479" w:type="dxa"/>
            <w:vMerge w:val="continue"/>
            <w:tcBorders>
              <w:left w:val="single" w:color="auto" w:sz="4" w:space="0"/>
              <w:bottom w:val="single" w:color="auto" w:sz="4" w:space="0"/>
              <w:right w:val="single" w:color="auto" w:sz="4" w:space="0"/>
            </w:tcBorders>
            <w:tcMar>
              <w:top w:w="10" w:type="dxa"/>
              <w:left w:w="10" w:type="dxa"/>
              <w:bottom w:w="0" w:type="dxa"/>
              <w:right w:w="10" w:type="dxa"/>
            </w:tcMar>
            <w:textDirection w:val="tbRlV"/>
            <w:vAlign w:val="center"/>
          </w:tcPr>
          <w:p w14:paraId="4B1334EE">
            <w:pPr>
              <w:ind w:left="113"/>
              <w:jc w:val="center"/>
              <w:rPr>
                <w:sz w:val="18"/>
                <w:szCs w:val="18"/>
              </w:rPr>
            </w:pPr>
          </w:p>
        </w:tc>
        <w:tc>
          <w:tcPr>
            <w:tcW w:w="638" w:type="dxa"/>
            <w:vMerge w:val="continue"/>
            <w:tcBorders>
              <w:left w:val="single" w:color="auto" w:sz="4" w:space="0"/>
              <w:bottom w:val="single" w:color="auto" w:sz="4" w:space="0"/>
              <w:right w:val="single" w:color="auto" w:sz="4" w:space="0"/>
            </w:tcBorders>
            <w:tcMar>
              <w:top w:w="10" w:type="dxa"/>
              <w:left w:w="10" w:type="dxa"/>
              <w:bottom w:w="0" w:type="dxa"/>
              <w:right w:w="10" w:type="dxa"/>
            </w:tcMar>
            <w:vAlign w:val="center"/>
          </w:tcPr>
          <w:p w14:paraId="70A7D106">
            <w:pPr>
              <w:rPr>
                <w:sz w:val="18"/>
                <w:szCs w:val="18"/>
              </w:rPr>
            </w:pP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14:paraId="7F973657">
            <w:pPr>
              <w:jc w:val="left"/>
              <w:rPr>
                <w:rFonts w:ascii="仿宋_GB2312"/>
                <w:sz w:val="15"/>
                <w:szCs w:val="15"/>
              </w:rPr>
            </w:pPr>
            <w:r>
              <w:rPr>
                <w:rFonts w:hint="eastAsia" w:ascii="仿宋_GB2312"/>
                <w:sz w:val="15"/>
                <w:szCs w:val="15"/>
              </w:rPr>
              <w:t>3.部门内设科室及下属单位职责的明确性（5分）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44790562">
            <w:pPr>
              <w:tabs>
                <w:tab w:val="left" w:pos="2604"/>
              </w:tabs>
              <w:jc w:val="center"/>
              <w:rPr>
                <w:rFonts w:hint="eastAsia" w:ascii="仿宋_GB2312" w:eastAsia="仿宋_GB2312"/>
                <w:sz w:val="15"/>
                <w:szCs w:val="15"/>
                <w:lang w:val="en-US" w:eastAsia="zh-CN"/>
              </w:rPr>
            </w:pPr>
            <w:r>
              <w:rPr>
                <w:rFonts w:hint="eastAsia" w:ascii="仿宋_GB2312"/>
                <w:sz w:val="15"/>
                <w:szCs w:val="15"/>
                <w:lang w:val="en-US" w:eastAsia="zh-CN"/>
              </w:rPr>
              <w:t>5</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14:paraId="3DE22B7E">
            <w:pPr>
              <w:tabs>
                <w:tab w:val="left" w:pos="2604"/>
              </w:tabs>
              <w:jc w:val="left"/>
              <w:rPr>
                <w:rFonts w:ascii="仿宋_GB2312"/>
                <w:sz w:val="15"/>
                <w:szCs w:val="15"/>
              </w:rPr>
            </w:pPr>
            <w:r>
              <w:rPr>
                <w:rFonts w:hint="eastAsia" w:ascii="仿宋_GB2312"/>
                <w:sz w:val="15"/>
                <w:szCs w:val="15"/>
              </w:rPr>
              <w:t>部门内设科室及下属单位具体职责是否明确</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14:paraId="4548EA2F">
            <w:pPr>
              <w:jc w:val="left"/>
              <w:rPr>
                <w:rFonts w:ascii="仿宋_GB2312"/>
                <w:sz w:val="15"/>
                <w:szCs w:val="15"/>
              </w:rPr>
            </w:pPr>
            <w:r>
              <w:rPr>
                <w:rFonts w:hint="eastAsia" w:ascii="仿宋_GB2312"/>
                <w:sz w:val="15"/>
                <w:szCs w:val="15"/>
              </w:rPr>
              <w:t>①有职责文件制度规定部门各科室及下属单位具体职责，得3分；②具体职责明确，得2分</w:t>
            </w:r>
          </w:p>
        </w:tc>
        <w:tc>
          <w:tcPr>
            <w:tcW w:w="1496" w:type="dxa"/>
            <w:tcBorders>
              <w:top w:val="nil"/>
              <w:left w:val="nil"/>
              <w:bottom w:val="single" w:color="auto" w:sz="4" w:space="0"/>
              <w:right w:val="single" w:color="auto" w:sz="4" w:space="0"/>
            </w:tcBorders>
            <w:vAlign w:val="center"/>
          </w:tcPr>
          <w:p w14:paraId="3BCB2184">
            <w:pPr>
              <w:jc w:val="left"/>
              <w:rPr>
                <w:rFonts w:ascii="仿宋_GB2312"/>
                <w:sz w:val="15"/>
                <w:szCs w:val="15"/>
              </w:rPr>
            </w:pPr>
            <w:r>
              <w:rPr>
                <w:rFonts w:hint="eastAsia" w:ascii="仿宋_GB2312"/>
                <w:sz w:val="15"/>
                <w:szCs w:val="15"/>
              </w:rPr>
              <w:t>内设科室及下属单位职责文件</w:t>
            </w:r>
          </w:p>
        </w:tc>
      </w:tr>
      <w:tr w14:paraId="3038DDE2">
        <w:tblPrEx>
          <w:tblCellMar>
            <w:top w:w="0" w:type="dxa"/>
            <w:left w:w="28" w:type="dxa"/>
            <w:bottom w:w="0" w:type="dxa"/>
            <w:right w:w="28" w:type="dxa"/>
          </w:tblCellMar>
        </w:tblPrEx>
        <w:trPr>
          <w:trHeight w:val="804" w:hRule="atLeast"/>
          <w:jc w:val="center"/>
        </w:trPr>
        <w:tc>
          <w:tcPr>
            <w:tcW w:w="479" w:type="dxa"/>
            <w:vMerge w:val="restart"/>
            <w:tcBorders>
              <w:top w:val="single" w:color="auto" w:sz="4" w:space="0"/>
              <w:left w:val="single" w:color="auto" w:sz="4" w:space="0"/>
              <w:right w:val="single" w:color="auto" w:sz="4" w:space="0"/>
            </w:tcBorders>
            <w:textDirection w:val="tbRlV"/>
            <w:vAlign w:val="center"/>
          </w:tcPr>
          <w:p w14:paraId="21F23D3F">
            <w:pPr>
              <w:ind w:left="113" w:right="113"/>
              <w:jc w:val="center"/>
              <w:rPr>
                <w:sz w:val="18"/>
                <w:szCs w:val="18"/>
              </w:rPr>
            </w:pPr>
            <w:r>
              <w:rPr>
                <w:rFonts w:hint="eastAsia"/>
                <w:sz w:val="18"/>
                <w:szCs w:val="18"/>
              </w:rPr>
              <w:t>二、部门管理（20分）</w:t>
            </w:r>
          </w:p>
        </w:tc>
        <w:tc>
          <w:tcPr>
            <w:tcW w:w="638" w:type="dxa"/>
            <w:vMerge w:val="restart"/>
            <w:tcBorders>
              <w:left w:val="single" w:color="auto" w:sz="4" w:space="0"/>
              <w:right w:val="single" w:color="auto" w:sz="4" w:space="0"/>
            </w:tcBorders>
            <w:vAlign w:val="center"/>
          </w:tcPr>
          <w:p w14:paraId="1C4D1EE4">
            <w:pPr>
              <w:jc w:val="center"/>
              <w:rPr>
                <w:rFonts w:ascii="仿宋_GB2312"/>
                <w:sz w:val="15"/>
                <w:szCs w:val="15"/>
              </w:rPr>
            </w:pPr>
            <w:r>
              <w:rPr>
                <w:rFonts w:hint="eastAsia" w:ascii="仿宋_GB2312"/>
                <w:sz w:val="15"/>
                <w:szCs w:val="15"/>
              </w:rPr>
              <w:t>1.预算管理（5分）</w:t>
            </w:r>
          </w:p>
        </w:tc>
        <w:tc>
          <w:tcPr>
            <w:tcW w:w="1173" w:type="dxa"/>
            <w:tcBorders>
              <w:top w:val="nil"/>
              <w:left w:val="nil"/>
              <w:bottom w:val="single" w:color="auto" w:sz="4" w:space="0"/>
              <w:right w:val="single" w:color="auto" w:sz="4" w:space="0"/>
            </w:tcBorders>
            <w:tcMar>
              <w:top w:w="10" w:type="dxa"/>
              <w:left w:w="10" w:type="dxa"/>
              <w:bottom w:w="0" w:type="dxa"/>
              <w:right w:w="10" w:type="dxa"/>
            </w:tcMar>
            <w:vAlign w:val="center"/>
          </w:tcPr>
          <w:p w14:paraId="5C7695FA">
            <w:pPr>
              <w:jc w:val="center"/>
              <w:rPr>
                <w:rFonts w:ascii="仿宋_GB2312"/>
                <w:sz w:val="15"/>
                <w:szCs w:val="15"/>
              </w:rPr>
            </w:pPr>
            <w:r>
              <w:rPr>
                <w:rFonts w:hint="eastAsia" w:ascii="仿宋_GB2312"/>
                <w:sz w:val="15"/>
                <w:szCs w:val="15"/>
              </w:rPr>
              <w:t>1.基本支出预算执行率（2分）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6182A339">
            <w:pPr>
              <w:tabs>
                <w:tab w:val="left" w:pos="2604"/>
              </w:tabs>
              <w:jc w:val="center"/>
              <w:rPr>
                <w:rFonts w:hint="eastAsia" w:ascii="仿宋_GB2312" w:eastAsia="仿宋_GB2312"/>
                <w:sz w:val="15"/>
                <w:szCs w:val="15"/>
                <w:lang w:val="en-US" w:eastAsia="zh-CN"/>
              </w:rPr>
            </w:pPr>
            <w:r>
              <w:rPr>
                <w:rFonts w:hint="eastAsia" w:ascii="仿宋_GB2312"/>
                <w:sz w:val="15"/>
                <w:szCs w:val="15"/>
                <w:lang w:val="en-US" w:eastAsia="zh-CN"/>
              </w:rPr>
              <w:t>2</w:t>
            </w:r>
          </w:p>
        </w:tc>
        <w:tc>
          <w:tcPr>
            <w:tcW w:w="1842" w:type="dxa"/>
            <w:tcBorders>
              <w:top w:val="nil"/>
              <w:left w:val="single" w:color="auto" w:sz="4" w:space="0"/>
              <w:bottom w:val="single" w:color="auto" w:sz="4" w:space="0"/>
              <w:right w:val="single" w:color="auto" w:sz="4" w:space="0"/>
            </w:tcBorders>
            <w:tcMar>
              <w:top w:w="10" w:type="dxa"/>
              <w:left w:w="10" w:type="dxa"/>
              <w:bottom w:w="0" w:type="dxa"/>
              <w:right w:w="10" w:type="dxa"/>
            </w:tcMar>
            <w:vAlign w:val="center"/>
          </w:tcPr>
          <w:p w14:paraId="5CCCD04A">
            <w:pPr>
              <w:tabs>
                <w:tab w:val="left" w:pos="2604"/>
              </w:tabs>
              <w:rPr>
                <w:rFonts w:ascii="仿宋_GB2312"/>
                <w:sz w:val="15"/>
                <w:szCs w:val="15"/>
              </w:rPr>
            </w:pPr>
            <w:r>
              <w:rPr>
                <w:rFonts w:hint="eastAsia" w:ascii="仿宋_GB2312"/>
                <w:sz w:val="15"/>
                <w:szCs w:val="15"/>
              </w:rPr>
              <w:t>部门基本支出本年度决算数与预算数的比率，用以反映和考核部门（单位）基本支出预算执行程度。</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14:paraId="0CAD2B4C">
            <w:pPr>
              <w:rPr>
                <w:rFonts w:ascii="仿宋_GB2312"/>
                <w:sz w:val="15"/>
                <w:szCs w:val="15"/>
              </w:rPr>
            </w:pPr>
            <w:r>
              <w:rPr>
                <w:rFonts w:hint="eastAsia" w:ascii="仿宋_GB2312"/>
                <w:sz w:val="15"/>
                <w:szCs w:val="15"/>
              </w:rPr>
              <w:t>预算执行率=部门基本支出决算/部门基本支出预算×100%。预算执行率≥95%得满分，未达到的按权重进行扣分。</w:t>
            </w:r>
          </w:p>
        </w:tc>
        <w:tc>
          <w:tcPr>
            <w:tcW w:w="1496" w:type="dxa"/>
            <w:tcBorders>
              <w:top w:val="nil"/>
              <w:left w:val="nil"/>
              <w:bottom w:val="single" w:color="auto" w:sz="4" w:space="0"/>
              <w:right w:val="single" w:color="auto" w:sz="4" w:space="0"/>
            </w:tcBorders>
            <w:vAlign w:val="center"/>
          </w:tcPr>
          <w:p w14:paraId="21DB5B0F">
            <w:pPr>
              <w:rPr>
                <w:rFonts w:ascii="仿宋_GB2312"/>
                <w:sz w:val="15"/>
                <w:szCs w:val="15"/>
              </w:rPr>
            </w:pPr>
            <w:r>
              <w:rPr>
                <w:rFonts w:hint="eastAsia" w:ascii="仿宋_GB2312"/>
                <w:sz w:val="15"/>
                <w:szCs w:val="15"/>
              </w:rPr>
              <w:t>基本支出预算批复，预算调整批复、预算编制等其他资料</w:t>
            </w:r>
          </w:p>
        </w:tc>
      </w:tr>
      <w:tr w14:paraId="6D8E0004">
        <w:tblPrEx>
          <w:tblCellMar>
            <w:top w:w="0" w:type="dxa"/>
            <w:left w:w="28" w:type="dxa"/>
            <w:bottom w:w="0" w:type="dxa"/>
            <w:right w:w="28" w:type="dxa"/>
          </w:tblCellMar>
        </w:tblPrEx>
        <w:trPr>
          <w:trHeight w:val="816" w:hRule="atLeast"/>
          <w:jc w:val="center"/>
        </w:trPr>
        <w:tc>
          <w:tcPr>
            <w:tcW w:w="479" w:type="dxa"/>
            <w:vMerge w:val="continue"/>
            <w:tcBorders>
              <w:left w:val="single" w:color="auto" w:sz="4" w:space="0"/>
              <w:right w:val="single" w:color="auto" w:sz="4" w:space="0"/>
            </w:tcBorders>
            <w:vAlign w:val="center"/>
          </w:tcPr>
          <w:p w14:paraId="5537ABE2">
            <w:pPr>
              <w:jc w:val="center"/>
              <w:rPr>
                <w:sz w:val="18"/>
                <w:szCs w:val="18"/>
              </w:rPr>
            </w:pPr>
          </w:p>
        </w:tc>
        <w:tc>
          <w:tcPr>
            <w:tcW w:w="638" w:type="dxa"/>
            <w:vMerge w:val="continue"/>
            <w:tcBorders>
              <w:left w:val="single" w:color="auto" w:sz="4" w:space="0"/>
              <w:right w:val="single" w:color="auto" w:sz="4" w:space="0"/>
            </w:tcBorders>
            <w:vAlign w:val="center"/>
          </w:tcPr>
          <w:p w14:paraId="7EE63706">
            <w:pPr>
              <w:jc w:val="center"/>
              <w:rPr>
                <w:color w:val="0070C0"/>
                <w:sz w:val="18"/>
                <w:szCs w:val="18"/>
              </w:rPr>
            </w:pPr>
          </w:p>
        </w:tc>
        <w:tc>
          <w:tcPr>
            <w:tcW w:w="1173" w:type="dxa"/>
            <w:tcBorders>
              <w:left w:val="nil"/>
              <w:bottom w:val="single" w:color="auto" w:sz="4" w:space="0"/>
              <w:right w:val="single" w:color="auto" w:sz="4" w:space="0"/>
            </w:tcBorders>
            <w:tcMar>
              <w:top w:w="10" w:type="dxa"/>
              <w:left w:w="10" w:type="dxa"/>
              <w:bottom w:w="0" w:type="dxa"/>
              <w:right w:w="10" w:type="dxa"/>
            </w:tcMar>
            <w:vAlign w:val="center"/>
          </w:tcPr>
          <w:p w14:paraId="5761DEC7">
            <w:pPr>
              <w:jc w:val="center"/>
              <w:rPr>
                <w:rFonts w:ascii="仿宋_GB2312"/>
                <w:sz w:val="15"/>
                <w:szCs w:val="15"/>
              </w:rPr>
            </w:pPr>
            <w:r>
              <w:rPr>
                <w:rFonts w:hint="eastAsia" w:ascii="仿宋_GB2312"/>
                <w:sz w:val="15"/>
                <w:szCs w:val="15"/>
              </w:rPr>
              <w:t>2.项目支出预算执行率（2分）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63A0C276">
            <w:pPr>
              <w:tabs>
                <w:tab w:val="left" w:pos="2604"/>
              </w:tabs>
              <w:jc w:val="center"/>
              <w:rPr>
                <w:rFonts w:hint="eastAsia" w:ascii="仿宋_GB2312" w:eastAsia="仿宋_GB2312"/>
                <w:sz w:val="15"/>
                <w:szCs w:val="15"/>
                <w:lang w:val="en-US" w:eastAsia="zh-CN"/>
              </w:rPr>
            </w:pPr>
            <w:r>
              <w:rPr>
                <w:rFonts w:hint="eastAsia" w:ascii="仿宋_GB2312"/>
                <w:sz w:val="15"/>
                <w:szCs w:val="15"/>
                <w:lang w:val="en-US" w:eastAsia="zh-CN"/>
              </w:rPr>
              <w:t>2</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6B90F74A">
            <w:pPr>
              <w:tabs>
                <w:tab w:val="left" w:pos="2604"/>
              </w:tabs>
              <w:rPr>
                <w:rFonts w:ascii="仿宋_GB2312"/>
                <w:sz w:val="15"/>
                <w:szCs w:val="15"/>
              </w:rPr>
            </w:pPr>
            <w:r>
              <w:rPr>
                <w:rFonts w:hint="eastAsia" w:ascii="仿宋_GB2312"/>
                <w:sz w:val="15"/>
                <w:szCs w:val="15"/>
              </w:rPr>
              <w:t>部门项目支出本年度决算数与预算数的比率，用以反映和考核部门项目支出预算执行程度。</w:t>
            </w:r>
          </w:p>
        </w:tc>
        <w:tc>
          <w:tcPr>
            <w:tcW w:w="2977" w:type="dxa"/>
            <w:tcBorders>
              <w:top w:val="nil"/>
              <w:left w:val="nil"/>
              <w:bottom w:val="single" w:color="auto" w:sz="4" w:space="0"/>
              <w:right w:val="single" w:color="auto" w:sz="4" w:space="0"/>
            </w:tcBorders>
            <w:tcMar>
              <w:top w:w="10" w:type="dxa"/>
              <w:left w:w="10" w:type="dxa"/>
              <w:bottom w:w="0" w:type="dxa"/>
              <w:right w:w="10" w:type="dxa"/>
            </w:tcMar>
            <w:vAlign w:val="center"/>
          </w:tcPr>
          <w:p w14:paraId="7D35CA44">
            <w:pPr>
              <w:rPr>
                <w:rFonts w:ascii="仿宋_GB2312"/>
                <w:sz w:val="15"/>
                <w:szCs w:val="15"/>
              </w:rPr>
            </w:pPr>
            <w:r>
              <w:rPr>
                <w:rFonts w:hint="eastAsia" w:ascii="仿宋_GB2312"/>
                <w:sz w:val="15"/>
                <w:szCs w:val="15"/>
              </w:rPr>
              <w:t>预算执行率=部门项目支出决算/部门项目支出预算×100%。预算完成率≥95%得满分，未到按权重进行扣分。</w:t>
            </w:r>
          </w:p>
        </w:tc>
        <w:tc>
          <w:tcPr>
            <w:tcW w:w="1496" w:type="dxa"/>
            <w:tcBorders>
              <w:top w:val="nil"/>
              <w:left w:val="nil"/>
              <w:bottom w:val="single" w:color="auto" w:sz="4" w:space="0"/>
              <w:right w:val="single" w:color="auto" w:sz="4" w:space="0"/>
            </w:tcBorders>
            <w:vAlign w:val="center"/>
          </w:tcPr>
          <w:p w14:paraId="7D365245">
            <w:pPr>
              <w:rPr>
                <w:rFonts w:ascii="仿宋_GB2312"/>
                <w:sz w:val="15"/>
                <w:szCs w:val="15"/>
              </w:rPr>
            </w:pPr>
            <w:r>
              <w:rPr>
                <w:rFonts w:hint="eastAsia" w:ascii="仿宋_GB2312"/>
                <w:sz w:val="15"/>
                <w:szCs w:val="15"/>
              </w:rPr>
              <w:t>项目支出预算批复，预算调整批复、预算编制等其他资料</w:t>
            </w:r>
          </w:p>
        </w:tc>
      </w:tr>
      <w:tr w14:paraId="32E1C9CE">
        <w:tblPrEx>
          <w:tblCellMar>
            <w:top w:w="0" w:type="dxa"/>
            <w:left w:w="28" w:type="dxa"/>
            <w:bottom w:w="0" w:type="dxa"/>
            <w:right w:w="28" w:type="dxa"/>
          </w:tblCellMar>
        </w:tblPrEx>
        <w:trPr>
          <w:trHeight w:val="1075" w:hRule="atLeast"/>
          <w:jc w:val="center"/>
        </w:trPr>
        <w:tc>
          <w:tcPr>
            <w:tcW w:w="479" w:type="dxa"/>
            <w:vMerge w:val="continue"/>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textDirection w:val="tbRlV"/>
            <w:vAlign w:val="center"/>
          </w:tcPr>
          <w:p w14:paraId="4E5E306E">
            <w:pPr>
              <w:jc w:val="center"/>
              <w:rPr>
                <w:sz w:val="18"/>
                <w:szCs w:val="18"/>
              </w:rPr>
            </w:pPr>
          </w:p>
        </w:tc>
        <w:tc>
          <w:tcPr>
            <w:tcW w:w="638" w:type="dxa"/>
            <w:vMerge w:val="continue"/>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625782E8">
            <w:pPr>
              <w:jc w:val="center"/>
              <w:rPr>
                <w:color w:val="0070C0"/>
                <w:sz w:val="18"/>
                <w:szCs w:val="18"/>
              </w:rPr>
            </w:pP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00459847">
            <w:pPr>
              <w:jc w:val="center"/>
              <w:rPr>
                <w:rFonts w:ascii="仿宋_GB2312"/>
                <w:sz w:val="15"/>
                <w:szCs w:val="15"/>
              </w:rPr>
            </w:pPr>
            <w:r>
              <w:rPr>
                <w:rFonts w:hint="eastAsia" w:ascii="仿宋_GB2312"/>
                <w:sz w:val="15"/>
                <w:szCs w:val="15"/>
              </w:rPr>
              <w:t>3.“三公经费”控制率（1分）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0A78B954">
            <w:pPr>
              <w:tabs>
                <w:tab w:val="left" w:pos="2604"/>
              </w:tabs>
              <w:jc w:val="center"/>
              <w:rPr>
                <w:rFonts w:hint="eastAsia" w:ascii="仿宋_GB2312" w:eastAsia="仿宋_GB2312"/>
                <w:sz w:val="15"/>
                <w:szCs w:val="15"/>
                <w:lang w:val="en-US" w:eastAsia="zh-CN"/>
              </w:rPr>
            </w:pPr>
            <w:r>
              <w:rPr>
                <w:rFonts w:hint="eastAsia" w:ascii="仿宋_GB2312"/>
                <w:sz w:val="15"/>
                <w:szCs w:val="15"/>
                <w:lang w:val="en-US" w:eastAsia="zh-CN"/>
              </w:rPr>
              <w:t>1</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3A822BFF">
            <w:pPr>
              <w:tabs>
                <w:tab w:val="left" w:pos="2604"/>
              </w:tabs>
              <w:rPr>
                <w:rFonts w:ascii="仿宋_GB2312"/>
                <w:sz w:val="15"/>
                <w:szCs w:val="15"/>
              </w:rPr>
            </w:pPr>
            <w:r>
              <w:rPr>
                <w:rFonts w:hint="eastAsia" w:ascii="仿宋_GB2312"/>
                <w:sz w:val="15"/>
                <w:szCs w:val="15"/>
              </w:rPr>
              <w:t>部门本年度“三公”经费预算数与上年度“三公”经费预算数的变动比率，用以反映和考核部门（单位）对控制行政成本的努力程度。</w:t>
            </w:r>
          </w:p>
        </w:tc>
        <w:tc>
          <w:tcPr>
            <w:tcW w:w="2977"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30D8CBCA">
            <w:pPr>
              <w:rPr>
                <w:rFonts w:ascii="仿宋_GB2312"/>
                <w:sz w:val="15"/>
                <w:szCs w:val="15"/>
              </w:rPr>
            </w:pPr>
            <w:r>
              <w:rPr>
                <w:rFonts w:hint="eastAsia" w:ascii="仿宋_GB2312"/>
                <w:sz w:val="15"/>
                <w:szCs w:val="15"/>
              </w:rPr>
              <w:t>“三公”经费控制率=（本年度“三公”经费总额/上年度“三公”经费总额）×100%。“三公”经费：年度预算安排的因公出国（境）费、公务用车购置及运行费和公务接待费。三公经费控制率≤100%得满分，≥120%得0分，区间内按权重进行扣分。</w:t>
            </w:r>
          </w:p>
        </w:tc>
        <w:tc>
          <w:tcPr>
            <w:tcW w:w="1496" w:type="dxa"/>
            <w:tcBorders>
              <w:top w:val="single" w:color="auto" w:sz="4" w:space="0"/>
              <w:left w:val="nil"/>
              <w:bottom w:val="single" w:color="auto" w:sz="4" w:space="0"/>
              <w:right w:val="single" w:color="auto" w:sz="4" w:space="0"/>
            </w:tcBorders>
            <w:vAlign w:val="center"/>
          </w:tcPr>
          <w:p w14:paraId="1D912ECA">
            <w:pPr>
              <w:rPr>
                <w:rFonts w:ascii="仿宋_GB2312"/>
                <w:sz w:val="15"/>
                <w:szCs w:val="15"/>
              </w:rPr>
            </w:pPr>
            <w:r>
              <w:rPr>
                <w:rFonts w:hint="eastAsia" w:ascii="仿宋_GB2312"/>
                <w:sz w:val="15"/>
                <w:szCs w:val="15"/>
              </w:rPr>
              <w:t>三公经费使用情况</w:t>
            </w:r>
          </w:p>
        </w:tc>
      </w:tr>
      <w:tr w14:paraId="213CF8A7">
        <w:tblPrEx>
          <w:tblCellMar>
            <w:top w:w="0" w:type="dxa"/>
            <w:left w:w="28" w:type="dxa"/>
            <w:bottom w:w="0" w:type="dxa"/>
            <w:right w:w="28" w:type="dxa"/>
          </w:tblCellMar>
        </w:tblPrEx>
        <w:trPr>
          <w:trHeight w:val="2105" w:hRule="atLeast"/>
          <w:jc w:val="center"/>
        </w:trPr>
        <w:tc>
          <w:tcPr>
            <w:tcW w:w="479" w:type="dxa"/>
            <w:vMerge w:val="restart"/>
            <w:tcBorders>
              <w:top w:val="single" w:color="auto" w:sz="4" w:space="0"/>
              <w:left w:val="single" w:color="auto" w:sz="4" w:space="0"/>
              <w:right w:val="single" w:color="auto" w:sz="4" w:space="0"/>
            </w:tcBorders>
            <w:textDirection w:val="tbRlV"/>
            <w:vAlign w:val="center"/>
          </w:tcPr>
          <w:p w14:paraId="39013F29">
            <w:pPr>
              <w:ind w:left="113" w:right="113"/>
              <w:jc w:val="center"/>
              <w:rPr>
                <w:sz w:val="18"/>
                <w:szCs w:val="18"/>
              </w:rPr>
            </w:pPr>
            <w:r>
              <w:rPr>
                <w:rFonts w:hint="eastAsia"/>
                <w:sz w:val="18"/>
                <w:szCs w:val="18"/>
              </w:rPr>
              <w:t>二、部门管理（20分）</w:t>
            </w:r>
          </w:p>
        </w:tc>
        <w:tc>
          <w:tcPr>
            <w:tcW w:w="638" w:type="dxa"/>
            <w:vMerge w:val="restart"/>
            <w:tcBorders>
              <w:left w:val="single" w:color="auto" w:sz="4" w:space="0"/>
              <w:right w:val="single" w:color="auto" w:sz="4" w:space="0"/>
            </w:tcBorders>
            <w:vAlign w:val="center"/>
          </w:tcPr>
          <w:p w14:paraId="4AB0FB04">
            <w:pPr>
              <w:jc w:val="center"/>
              <w:rPr>
                <w:rFonts w:ascii="仿宋_GB2312"/>
                <w:sz w:val="15"/>
                <w:szCs w:val="15"/>
              </w:rPr>
            </w:pPr>
            <w:r>
              <w:rPr>
                <w:rFonts w:hint="eastAsia" w:ascii="仿宋_GB2312"/>
                <w:sz w:val="15"/>
                <w:szCs w:val="15"/>
              </w:rPr>
              <w:t>2.财务管理（5分）</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127F9CB7">
            <w:pPr>
              <w:jc w:val="left"/>
              <w:rPr>
                <w:rFonts w:ascii="仿宋_GB2312"/>
                <w:sz w:val="15"/>
                <w:szCs w:val="15"/>
              </w:rPr>
            </w:pPr>
            <w:r>
              <w:rPr>
                <w:rFonts w:hint="eastAsia" w:ascii="仿宋_GB2312"/>
                <w:sz w:val="15"/>
                <w:szCs w:val="15"/>
              </w:rPr>
              <w:t>1.财务管理制度健全性及执行情况（2分）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788EAD28">
            <w:pPr>
              <w:tabs>
                <w:tab w:val="left" w:pos="2604"/>
              </w:tabs>
              <w:jc w:val="center"/>
              <w:rPr>
                <w:rFonts w:hint="eastAsia" w:ascii="仿宋_GB2312" w:eastAsia="仿宋_GB2312"/>
                <w:sz w:val="15"/>
                <w:szCs w:val="15"/>
                <w:lang w:val="en-US" w:eastAsia="zh-CN"/>
              </w:rPr>
            </w:pPr>
            <w:r>
              <w:rPr>
                <w:rFonts w:hint="eastAsia" w:ascii="仿宋_GB2312"/>
                <w:sz w:val="15"/>
                <w:szCs w:val="15"/>
                <w:lang w:val="en-US" w:eastAsia="zh-CN"/>
              </w:rPr>
              <w:t>2</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67A0EFD3">
            <w:pPr>
              <w:tabs>
                <w:tab w:val="left" w:pos="2604"/>
              </w:tabs>
              <w:rPr>
                <w:rFonts w:ascii="仿宋_GB2312"/>
                <w:sz w:val="15"/>
                <w:szCs w:val="15"/>
              </w:rPr>
            </w:pPr>
            <w:r>
              <w:rPr>
                <w:rFonts w:hint="eastAsia" w:ascii="仿宋_GB2312"/>
                <w:sz w:val="15"/>
                <w:szCs w:val="15"/>
              </w:rPr>
              <w:t>部门为加强预算管理、规范财务行为而制定的财务管理制度是否健全完整。用以反映和考核部门预算管理制度对完成主要职责或促进事业发展的保障情况。</w:t>
            </w:r>
          </w:p>
        </w:tc>
        <w:tc>
          <w:tcPr>
            <w:tcW w:w="2977"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76749C50">
            <w:pPr>
              <w:rPr>
                <w:rFonts w:ascii="仿宋_GB2312"/>
                <w:sz w:val="15"/>
                <w:szCs w:val="15"/>
              </w:rPr>
            </w:pPr>
            <w:r>
              <w:rPr>
                <w:rFonts w:hint="eastAsia" w:ascii="仿宋_GB2312"/>
                <w:sz w:val="15"/>
                <w:szCs w:val="15"/>
              </w:rPr>
              <w:t>①是否已制定预算资金管理办法、内部财务管理制度、会计核算制度等管理制度；②相关管理制度是否合法、合规、完整；③相关管理制度是否得到有效执行。</w:t>
            </w:r>
          </w:p>
        </w:tc>
        <w:tc>
          <w:tcPr>
            <w:tcW w:w="1496" w:type="dxa"/>
            <w:tcBorders>
              <w:top w:val="single" w:color="auto" w:sz="4" w:space="0"/>
              <w:left w:val="nil"/>
              <w:bottom w:val="single" w:color="auto" w:sz="4" w:space="0"/>
              <w:right w:val="single" w:color="auto" w:sz="4" w:space="0"/>
            </w:tcBorders>
            <w:vAlign w:val="center"/>
          </w:tcPr>
          <w:p w14:paraId="46B5C8B0">
            <w:pPr>
              <w:rPr>
                <w:rFonts w:ascii="仿宋_GB2312"/>
                <w:sz w:val="15"/>
                <w:szCs w:val="15"/>
              </w:rPr>
            </w:pPr>
            <w:r>
              <w:rPr>
                <w:rFonts w:hint="eastAsia" w:ascii="仿宋_GB2312"/>
                <w:sz w:val="15"/>
                <w:szCs w:val="15"/>
              </w:rPr>
              <w:t>财务管理相关制度及执行情况调研。</w:t>
            </w:r>
          </w:p>
        </w:tc>
      </w:tr>
      <w:tr w14:paraId="263CF56D">
        <w:tblPrEx>
          <w:tblCellMar>
            <w:top w:w="0" w:type="dxa"/>
            <w:left w:w="28" w:type="dxa"/>
            <w:bottom w:w="0" w:type="dxa"/>
            <w:right w:w="28" w:type="dxa"/>
          </w:tblCellMar>
        </w:tblPrEx>
        <w:trPr>
          <w:trHeight w:val="2545" w:hRule="atLeast"/>
          <w:jc w:val="center"/>
        </w:trPr>
        <w:tc>
          <w:tcPr>
            <w:tcW w:w="479" w:type="dxa"/>
            <w:vMerge w:val="continue"/>
            <w:tcBorders>
              <w:left w:val="single" w:color="auto" w:sz="4" w:space="0"/>
              <w:right w:val="single" w:color="auto" w:sz="4" w:space="0"/>
            </w:tcBorders>
            <w:vAlign w:val="center"/>
          </w:tcPr>
          <w:p w14:paraId="29F132EF">
            <w:pPr>
              <w:ind w:left="113" w:right="113"/>
              <w:jc w:val="center"/>
              <w:rPr>
                <w:sz w:val="18"/>
                <w:szCs w:val="18"/>
              </w:rPr>
            </w:pPr>
          </w:p>
        </w:tc>
        <w:tc>
          <w:tcPr>
            <w:tcW w:w="638" w:type="dxa"/>
            <w:vMerge w:val="continue"/>
            <w:tcBorders>
              <w:left w:val="single" w:color="auto" w:sz="4" w:space="0"/>
              <w:bottom w:val="single" w:color="auto" w:sz="4" w:space="0"/>
              <w:right w:val="single" w:color="auto" w:sz="4" w:space="0"/>
            </w:tcBorders>
            <w:vAlign w:val="center"/>
          </w:tcPr>
          <w:p w14:paraId="639DE24E">
            <w:pPr>
              <w:rPr>
                <w:sz w:val="18"/>
                <w:szCs w:val="18"/>
              </w:rPr>
            </w:pP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7B7168D5">
            <w:pPr>
              <w:jc w:val="left"/>
              <w:rPr>
                <w:rFonts w:ascii="仿宋_GB2312"/>
                <w:sz w:val="15"/>
                <w:szCs w:val="15"/>
              </w:rPr>
            </w:pPr>
            <w:r>
              <w:rPr>
                <w:rFonts w:hint="eastAsia" w:ascii="仿宋_GB2312"/>
                <w:sz w:val="15"/>
                <w:szCs w:val="15"/>
              </w:rPr>
              <w:t>2.资金使用合规性（3分）</w:t>
            </w:r>
          </w:p>
        </w:tc>
        <w:tc>
          <w:tcPr>
            <w:tcW w:w="569"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1E9BBF3D">
            <w:pPr>
              <w:tabs>
                <w:tab w:val="left" w:pos="2604"/>
              </w:tabs>
              <w:jc w:val="center"/>
              <w:rPr>
                <w:rFonts w:hint="eastAsia" w:eastAsia="仿宋_GB2312"/>
                <w:sz w:val="18"/>
                <w:szCs w:val="18"/>
                <w:lang w:val="en-US" w:eastAsia="zh-CN"/>
              </w:rPr>
            </w:pPr>
            <w:r>
              <w:rPr>
                <w:rFonts w:hint="eastAsia"/>
                <w:sz w:val="18"/>
                <w:szCs w:val="18"/>
                <w:lang w:val="en-US" w:eastAsia="zh-CN"/>
              </w:rPr>
              <w:t>3</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260A5DA0">
            <w:pPr>
              <w:tabs>
                <w:tab w:val="left" w:pos="2604"/>
              </w:tabs>
              <w:rPr>
                <w:sz w:val="15"/>
                <w:szCs w:val="15"/>
              </w:rPr>
            </w:pPr>
            <w:r>
              <w:rPr>
                <w:rFonts w:hint="eastAsia"/>
                <w:sz w:val="15"/>
                <w:szCs w:val="15"/>
              </w:rPr>
              <w:t>部门使用预算资金是否符合相关财务管理制度的规定，用以反映和考核部门预算资金的规范运行情况。</w:t>
            </w:r>
          </w:p>
        </w:tc>
        <w:tc>
          <w:tcPr>
            <w:tcW w:w="2977"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14:paraId="7E7E97A2">
            <w:pPr>
              <w:rPr>
                <w:rFonts w:ascii="仿宋_GB2312"/>
                <w:sz w:val="15"/>
                <w:szCs w:val="15"/>
              </w:rPr>
            </w:pPr>
            <w:r>
              <w:rPr>
                <w:rFonts w:hint="eastAsia" w:ascii="仿宋_GB2312"/>
                <w:sz w:val="15"/>
                <w:szCs w:val="15"/>
              </w:rPr>
              <w:t>①符合国家财经法规和财务管理制度规定以及有关专项资金管理办法的规定,0.5分；②资金的拨付有完整的审批程序和手续，0.5分；③项目的重大开支经过专题论证，1分；④符合部门预算批复的用途，1分；⑤是否存在截留、挤占、挪用、虚列支出等情况，一旦存在该指标不得分。</w:t>
            </w:r>
          </w:p>
        </w:tc>
        <w:tc>
          <w:tcPr>
            <w:tcW w:w="1496" w:type="dxa"/>
            <w:tcBorders>
              <w:top w:val="single" w:color="auto" w:sz="4" w:space="0"/>
              <w:left w:val="nil"/>
              <w:bottom w:val="single" w:color="auto" w:sz="4" w:space="0"/>
              <w:right w:val="single" w:color="auto" w:sz="4" w:space="0"/>
            </w:tcBorders>
            <w:vAlign w:val="center"/>
          </w:tcPr>
          <w:p w14:paraId="5708A38D">
            <w:pPr>
              <w:rPr>
                <w:rFonts w:ascii="仿宋_GB2312"/>
                <w:sz w:val="15"/>
                <w:szCs w:val="15"/>
              </w:rPr>
            </w:pPr>
            <w:r>
              <w:rPr>
                <w:rFonts w:hint="eastAsia" w:ascii="仿宋_GB2312"/>
                <w:sz w:val="15"/>
                <w:szCs w:val="15"/>
              </w:rPr>
              <w:t>资金支出相关凭证、流程梳理等</w:t>
            </w:r>
          </w:p>
        </w:tc>
      </w:tr>
      <w:tr w14:paraId="1A27C32F">
        <w:tblPrEx>
          <w:tblCellMar>
            <w:top w:w="0" w:type="dxa"/>
            <w:left w:w="28" w:type="dxa"/>
            <w:bottom w:w="0" w:type="dxa"/>
            <w:right w:w="28" w:type="dxa"/>
          </w:tblCellMar>
        </w:tblPrEx>
        <w:trPr>
          <w:trHeight w:val="2244" w:hRule="atLeast"/>
          <w:jc w:val="center"/>
        </w:trPr>
        <w:tc>
          <w:tcPr>
            <w:tcW w:w="479" w:type="dxa"/>
            <w:vMerge w:val="continue"/>
            <w:tcBorders>
              <w:left w:val="single" w:color="auto" w:sz="4" w:space="0"/>
              <w:right w:val="single" w:color="auto" w:sz="4" w:space="0"/>
            </w:tcBorders>
            <w:textDirection w:val="tbRlV"/>
            <w:vAlign w:val="center"/>
          </w:tcPr>
          <w:p w14:paraId="380332E7">
            <w:pPr>
              <w:ind w:left="113" w:right="113"/>
              <w:jc w:val="center"/>
              <w:rPr>
                <w:sz w:val="18"/>
                <w:szCs w:val="18"/>
              </w:rPr>
            </w:pPr>
          </w:p>
        </w:tc>
        <w:tc>
          <w:tcPr>
            <w:tcW w:w="638" w:type="dxa"/>
            <w:vMerge w:val="restart"/>
            <w:tcBorders>
              <w:top w:val="single" w:color="auto" w:sz="4" w:space="0"/>
              <w:left w:val="single" w:color="auto" w:sz="4" w:space="0"/>
              <w:right w:val="single" w:color="auto" w:sz="4" w:space="0"/>
            </w:tcBorders>
            <w:vAlign w:val="center"/>
          </w:tcPr>
          <w:p w14:paraId="55128E01">
            <w:pPr>
              <w:jc w:val="left"/>
              <w:rPr>
                <w:rFonts w:ascii="仿宋_GB2312"/>
                <w:sz w:val="15"/>
                <w:szCs w:val="15"/>
              </w:rPr>
            </w:pPr>
            <w:r>
              <w:rPr>
                <w:rFonts w:hint="eastAsia" w:ascii="仿宋_GB2312"/>
                <w:sz w:val="15"/>
                <w:szCs w:val="15"/>
              </w:rPr>
              <w:t>3.资产管理（5分）</w:t>
            </w:r>
          </w:p>
        </w:tc>
        <w:tc>
          <w:tcPr>
            <w:tcW w:w="1173"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7AA9B8B3">
            <w:pPr>
              <w:jc w:val="left"/>
              <w:rPr>
                <w:rFonts w:ascii="仿宋_GB2312"/>
                <w:sz w:val="15"/>
                <w:szCs w:val="15"/>
              </w:rPr>
            </w:pPr>
            <w:r>
              <w:rPr>
                <w:rFonts w:hint="eastAsia" w:ascii="仿宋_GB2312"/>
                <w:sz w:val="15"/>
                <w:szCs w:val="15"/>
              </w:rPr>
              <w:t>1.资产管理制度健全性及执行情况（3分）</w:t>
            </w:r>
          </w:p>
        </w:tc>
        <w:tc>
          <w:tcPr>
            <w:tcW w:w="56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0638E8C4">
            <w:pPr>
              <w:jc w:val="center"/>
              <w:rPr>
                <w:rFonts w:hint="eastAsia" w:ascii="仿宋_GB2312" w:eastAsia="仿宋_GB2312"/>
                <w:sz w:val="15"/>
                <w:szCs w:val="15"/>
                <w:lang w:val="en-US" w:eastAsia="zh-CN"/>
              </w:rPr>
            </w:pPr>
            <w:r>
              <w:rPr>
                <w:rFonts w:hint="eastAsia"/>
                <w:sz w:val="18"/>
                <w:szCs w:val="18"/>
                <w:lang w:val="en-US" w:eastAsia="zh-CN"/>
              </w:rPr>
              <w:t>3</w:t>
            </w:r>
          </w:p>
        </w:tc>
        <w:tc>
          <w:tcPr>
            <w:tcW w:w="1842" w:type="dxa"/>
            <w:tcBorders>
              <w:top w:val="single" w:color="auto" w:sz="4" w:space="0"/>
              <w:left w:val="single" w:color="auto" w:sz="4" w:space="0"/>
              <w:right w:val="single" w:color="auto" w:sz="4" w:space="0"/>
            </w:tcBorders>
            <w:vAlign w:val="center"/>
          </w:tcPr>
          <w:p w14:paraId="60FD8FCA">
            <w:pPr>
              <w:jc w:val="left"/>
              <w:rPr>
                <w:rFonts w:ascii="仿宋_GB2312"/>
                <w:sz w:val="15"/>
                <w:szCs w:val="15"/>
              </w:rPr>
            </w:pPr>
            <w:r>
              <w:rPr>
                <w:rFonts w:hint="eastAsia" w:ascii="仿宋_GB2312"/>
                <w:sz w:val="15"/>
                <w:szCs w:val="15"/>
              </w:rPr>
              <w:t>部门为加强资产管理、规范资产使用而制定的资产管理制度是否健全完整，用以反映和考核部门资产管理制度对完成主要职责或促进事业发展的保障情况。</w:t>
            </w:r>
          </w:p>
        </w:tc>
        <w:tc>
          <w:tcPr>
            <w:tcW w:w="2977" w:type="dxa"/>
            <w:tcBorders>
              <w:top w:val="single" w:color="auto" w:sz="4" w:space="0"/>
              <w:left w:val="single" w:color="auto" w:sz="4" w:space="0"/>
              <w:right w:val="single" w:color="auto" w:sz="4" w:space="0"/>
            </w:tcBorders>
            <w:vAlign w:val="center"/>
          </w:tcPr>
          <w:p w14:paraId="3269CB2D">
            <w:pPr>
              <w:jc w:val="left"/>
              <w:rPr>
                <w:rFonts w:ascii="仿宋_GB2312"/>
                <w:sz w:val="15"/>
                <w:szCs w:val="15"/>
              </w:rPr>
            </w:pPr>
            <w:r>
              <w:rPr>
                <w:rFonts w:hint="eastAsia" w:ascii="仿宋_GB2312"/>
                <w:sz w:val="15"/>
                <w:szCs w:val="15"/>
              </w:rPr>
              <w:t>①是否已制定或具有固定资产管理办法、资产使用办法等管理制度，得1分；②相关管理制度是否合法、合规、完整，得1分；③相关管理制度是否得到有效执行，得1分。</w:t>
            </w:r>
          </w:p>
        </w:tc>
        <w:tc>
          <w:tcPr>
            <w:tcW w:w="1496" w:type="dxa"/>
            <w:tcBorders>
              <w:top w:val="single" w:color="auto" w:sz="4" w:space="0"/>
              <w:left w:val="single" w:color="auto" w:sz="4" w:space="0"/>
              <w:right w:val="single" w:color="auto" w:sz="4" w:space="0"/>
            </w:tcBorders>
            <w:vAlign w:val="center"/>
          </w:tcPr>
          <w:p w14:paraId="417919ED">
            <w:pPr>
              <w:jc w:val="left"/>
              <w:rPr>
                <w:rFonts w:ascii="仿宋_GB2312"/>
                <w:sz w:val="15"/>
                <w:szCs w:val="15"/>
              </w:rPr>
            </w:pPr>
            <w:r>
              <w:rPr>
                <w:rFonts w:hint="eastAsia" w:ascii="仿宋_GB2312"/>
                <w:sz w:val="15"/>
                <w:szCs w:val="15"/>
              </w:rPr>
              <w:t>资产管理相关办法</w:t>
            </w:r>
          </w:p>
        </w:tc>
      </w:tr>
      <w:tr w14:paraId="46CA3E45">
        <w:tblPrEx>
          <w:tblCellMar>
            <w:top w:w="0" w:type="dxa"/>
            <w:left w:w="28" w:type="dxa"/>
            <w:bottom w:w="0" w:type="dxa"/>
            <w:right w:w="28" w:type="dxa"/>
          </w:tblCellMar>
        </w:tblPrEx>
        <w:trPr>
          <w:trHeight w:val="1536" w:hRule="atLeast"/>
          <w:jc w:val="center"/>
        </w:trPr>
        <w:tc>
          <w:tcPr>
            <w:tcW w:w="479" w:type="dxa"/>
            <w:vMerge w:val="continue"/>
            <w:tcBorders>
              <w:left w:val="single" w:color="auto" w:sz="4" w:space="0"/>
              <w:right w:val="single" w:color="auto" w:sz="4" w:space="0"/>
            </w:tcBorders>
            <w:vAlign w:val="center"/>
          </w:tcPr>
          <w:p w14:paraId="6384F337">
            <w:pPr>
              <w:jc w:val="center"/>
              <w:rPr>
                <w:sz w:val="18"/>
                <w:szCs w:val="18"/>
              </w:rPr>
            </w:pPr>
          </w:p>
        </w:tc>
        <w:tc>
          <w:tcPr>
            <w:tcW w:w="638" w:type="dxa"/>
            <w:vMerge w:val="continue"/>
            <w:tcBorders>
              <w:left w:val="single" w:color="auto" w:sz="4" w:space="0"/>
              <w:bottom w:val="single" w:color="auto" w:sz="4" w:space="0"/>
              <w:right w:val="single" w:color="auto" w:sz="4" w:space="0"/>
            </w:tcBorders>
            <w:vAlign w:val="center"/>
          </w:tcPr>
          <w:p w14:paraId="6A23BC84">
            <w:pPr>
              <w:jc w:val="center"/>
              <w:rPr>
                <w:sz w:val="18"/>
                <w:szCs w:val="18"/>
              </w:rPr>
            </w:pPr>
          </w:p>
        </w:tc>
        <w:tc>
          <w:tcPr>
            <w:tcW w:w="1173"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5A1E93F8">
            <w:pPr>
              <w:jc w:val="left"/>
              <w:rPr>
                <w:rFonts w:ascii="仿宋_GB2312"/>
                <w:sz w:val="15"/>
                <w:szCs w:val="15"/>
              </w:rPr>
            </w:pPr>
            <w:r>
              <w:rPr>
                <w:rFonts w:hint="eastAsia" w:ascii="仿宋_GB2312"/>
                <w:sz w:val="15"/>
                <w:szCs w:val="15"/>
              </w:rPr>
              <w:t>2.固定资产在用率（2分）</w:t>
            </w:r>
          </w:p>
        </w:tc>
        <w:tc>
          <w:tcPr>
            <w:tcW w:w="56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41E93AA9">
            <w:pPr>
              <w:tabs>
                <w:tab w:val="left" w:pos="2604"/>
              </w:tabs>
              <w:jc w:val="center"/>
              <w:rPr>
                <w:rFonts w:hint="eastAsia" w:eastAsia="仿宋_GB2312"/>
                <w:sz w:val="18"/>
                <w:szCs w:val="18"/>
                <w:lang w:val="en-US" w:eastAsia="zh-CN"/>
              </w:rPr>
            </w:pPr>
            <w:r>
              <w:rPr>
                <w:rFonts w:hint="eastAsia"/>
                <w:sz w:val="18"/>
                <w:szCs w:val="18"/>
                <w:lang w:val="en-US" w:eastAsia="zh-CN"/>
              </w:rPr>
              <w:t>2</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64E775CC">
            <w:pPr>
              <w:tabs>
                <w:tab w:val="left" w:pos="2604"/>
              </w:tabs>
              <w:jc w:val="left"/>
              <w:rPr>
                <w:sz w:val="15"/>
                <w:szCs w:val="15"/>
              </w:rPr>
            </w:pPr>
            <w:r>
              <w:rPr>
                <w:rFonts w:hint="eastAsia"/>
                <w:sz w:val="15"/>
                <w:szCs w:val="15"/>
              </w:rPr>
              <w:t>部门实际在用固定资产总额与所有固定资产总额的比率，用以反映和考核部门固定资产使用效率及程度。</w:t>
            </w:r>
          </w:p>
        </w:tc>
        <w:tc>
          <w:tcPr>
            <w:tcW w:w="2977"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170B660C">
            <w:pPr>
              <w:jc w:val="left"/>
              <w:rPr>
                <w:rFonts w:ascii="仿宋_GB2312"/>
                <w:sz w:val="15"/>
                <w:szCs w:val="15"/>
              </w:rPr>
            </w:pPr>
            <w:r>
              <w:rPr>
                <w:rFonts w:hint="eastAsia" w:ascii="仿宋_GB2312"/>
                <w:sz w:val="15"/>
                <w:szCs w:val="15"/>
              </w:rPr>
              <w:t>固定资产在用率=（实际在用固定资产总额/所有固定资产总额）×100%。固定资产在用率达到95%以上得满分.每降低1%扣0.5分，扣完为止。</w:t>
            </w:r>
          </w:p>
        </w:tc>
        <w:tc>
          <w:tcPr>
            <w:tcW w:w="1496" w:type="dxa"/>
            <w:tcBorders>
              <w:top w:val="single" w:color="auto" w:sz="4" w:space="0"/>
              <w:left w:val="single" w:color="auto" w:sz="4" w:space="0"/>
              <w:bottom w:val="single" w:color="auto" w:sz="4" w:space="0"/>
              <w:right w:val="single" w:color="auto" w:sz="4" w:space="0"/>
            </w:tcBorders>
            <w:vAlign w:val="center"/>
          </w:tcPr>
          <w:p w14:paraId="57E94CBB">
            <w:pPr>
              <w:jc w:val="left"/>
              <w:rPr>
                <w:rFonts w:ascii="仿宋_GB2312"/>
                <w:sz w:val="15"/>
                <w:szCs w:val="15"/>
              </w:rPr>
            </w:pPr>
            <w:r>
              <w:rPr>
                <w:rFonts w:hint="eastAsia" w:ascii="仿宋_GB2312"/>
                <w:sz w:val="15"/>
                <w:szCs w:val="15"/>
              </w:rPr>
              <w:t>固定资产卡片、固定资产使用信息等</w:t>
            </w:r>
          </w:p>
        </w:tc>
      </w:tr>
      <w:tr w14:paraId="2BCF8997">
        <w:tblPrEx>
          <w:tblCellMar>
            <w:top w:w="0" w:type="dxa"/>
            <w:left w:w="28" w:type="dxa"/>
            <w:bottom w:w="0" w:type="dxa"/>
            <w:right w:w="28" w:type="dxa"/>
          </w:tblCellMar>
        </w:tblPrEx>
        <w:trPr>
          <w:trHeight w:val="2081" w:hRule="atLeast"/>
          <w:jc w:val="center"/>
        </w:trPr>
        <w:tc>
          <w:tcPr>
            <w:tcW w:w="479" w:type="dxa"/>
            <w:vMerge w:val="continue"/>
            <w:tcBorders>
              <w:left w:val="single" w:color="auto" w:sz="4" w:space="0"/>
              <w:right w:val="single" w:color="auto" w:sz="4" w:space="0"/>
            </w:tcBorders>
            <w:vAlign w:val="center"/>
          </w:tcPr>
          <w:p w14:paraId="5A5C0C7B">
            <w:pPr>
              <w:jc w:val="center"/>
              <w:rPr>
                <w:sz w:val="18"/>
                <w:szCs w:val="18"/>
              </w:rPr>
            </w:pPr>
          </w:p>
        </w:tc>
        <w:tc>
          <w:tcPr>
            <w:tcW w:w="638" w:type="dxa"/>
            <w:vMerge w:val="restart"/>
            <w:tcBorders>
              <w:left w:val="single" w:color="auto" w:sz="4" w:space="0"/>
              <w:right w:val="single" w:color="auto" w:sz="4" w:space="0"/>
            </w:tcBorders>
            <w:vAlign w:val="center"/>
          </w:tcPr>
          <w:p w14:paraId="2763DAC8">
            <w:pPr>
              <w:jc w:val="center"/>
              <w:rPr>
                <w:sz w:val="18"/>
                <w:szCs w:val="18"/>
              </w:rPr>
            </w:pPr>
            <w:r>
              <w:rPr>
                <w:rFonts w:hint="eastAsia"/>
                <w:sz w:val="18"/>
                <w:szCs w:val="18"/>
              </w:rPr>
              <w:t>4.业务管理（5分）</w:t>
            </w:r>
          </w:p>
        </w:tc>
        <w:tc>
          <w:tcPr>
            <w:tcW w:w="1173"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71D6149D">
            <w:pPr>
              <w:jc w:val="left"/>
              <w:rPr>
                <w:rFonts w:ascii="仿宋_GB2312"/>
                <w:sz w:val="15"/>
                <w:szCs w:val="15"/>
              </w:rPr>
            </w:pPr>
            <w:r>
              <w:rPr>
                <w:rFonts w:hint="eastAsia" w:ascii="仿宋_GB2312"/>
                <w:sz w:val="15"/>
                <w:szCs w:val="15"/>
              </w:rPr>
              <w:t>1.业务管理制度健全性及执行情况（3分）</w:t>
            </w:r>
          </w:p>
        </w:tc>
        <w:tc>
          <w:tcPr>
            <w:tcW w:w="56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6ECE4247">
            <w:pPr>
              <w:tabs>
                <w:tab w:val="left" w:pos="2604"/>
              </w:tabs>
              <w:jc w:val="center"/>
              <w:rPr>
                <w:rFonts w:hint="eastAsia" w:eastAsia="仿宋_GB2312"/>
                <w:sz w:val="18"/>
                <w:szCs w:val="18"/>
                <w:lang w:val="en-US" w:eastAsia="zh-CN"/>
              </w:rPr>
            </w:pPr>
            <w:r>
              <w:rPr>
                <w:rFonts w:hint="eastAsia"/>
                <w:sz w:val="18"/>
                <w:szCs w:val="18"/>
                <w:lang w:val="en-US" w:eastAsia="zh-CN"/>
              </w:rPr>
              <w:t>3</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7C2A0691">
            <w:pPr>
              <w:tabs>
                <w:tab w:val="left" w:pos="2604"/>
              </w:tabs>
              <w:jc w:val="left"/>
              <w:rPr>
                <w:sz w:val="15"/>
                <w:szCs w:val="15"/>
              </w:rPr>
            </w:pPr>
            <w:r>
              <w:rPr>
                <w:rFonts w:hint="eastAsia"/>
                <w:sz w:val="15"/>
                <w:szCs w:val="15"/>
              </w:rPr>
              <w:t>部门为加强业务管理、规范业务执行而制定的管理制度是否健全完整，用以反映和考核部门业务管理制度对完成主要职责或促进事业发展的保障情况。</w:t>
            </w:r>
          </w:p>
        </w:tc>
        <w:tc>
          <w:tcPr>
            <w:tcW w:w="2977"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64F1BA63">
            <w:pPr>
              <w:jc w:val="left"/>
              <w:rPr>
                <w:rFonts w:ascii="仿宋_GB2312"/>
                <w:sz w:val="15"/>
                <w:szCs w:val="15"/>
              </w:rPr>
            </w:pPr>
            <w:r>
              <w:rPr>
                <w:rFonts w:hint="eastAsia" w:ascii="仿宋_GB2312"/>
                <w:sz w:val="15"/>
                <w:szCs w:val="15"/>
              </w:rPr>
              <w:t>①已制定或具有业务管理、项目管理等管理制度，得1分；②相关管理制度合法、合规、完整，得1分；③相关管理制度得到有效执行，得1分。</w:t>
            </w:r>
          </w:p>
        </w:tc>
        <w:tc>
          <w:tcPr>
            <w:tcW w:w="1496" w:type="dxa"/>
            <w:tcBorders>
              <w:top w:val="single" w:color="auto" w:sz="4" w:space="0"/>
              <w:left w:val="single" w:color="auto" w:sz="4" w:space="0"/>
              <w:bottom w:val="single" w:color="auto" w:sz="4" w:space="0"/>
              <w:right w:val="single" w:color="auto" w:sz="4" w:space="0"/>
            </w:tcBorders>
            <w:vAlign w:val="center"/>
          </w:tcPr>
          <w:p w14:paraId="4951F34C">
            <w:pPr>
              <w:jc w:val="left"/>
              <w:rPr>
                <w:rFonts w:ascii="仿宋_GB2312"/>
                <w:sz w:val="15"/>
                <w:szCs w:val="15"/>
              </w:rPr>
            </w:pPr>
            <w:r>
              <w:rPr>
                <w:rFonts w:hint="eastAsia" w:ascii="仿宋_GB2312"/>
                <w:sz w:val="15"/>
                <w:szCs w:val="15"/>
              </w:rPr>
              <w:t>业务管理相关办法及执行情况资料</w:t>
            </w:r>
          </w:p>
        </w:tc>
      </w:tr>
      <w:tr w14:paraId="2A8C497D">
        <w:tblPrEx>
          <w:tblCellMar>
            <w:top w:w="0" w:type="dxa"/>
            <w:left w:w="28" w:type="dxa"/>
            <w:bottom w:w="0" w:type="dxa"/>
            <w:right w:w="28" w:type="dxa"/>
          </w:tblCellMar>
        </w:tblPrEx>
        <w:trPr>
          <w:trHeight w:val="1188" w:hRule="atLeast"/>
          <w:jc w:val="center"/>
        </w:trPr>
        <w:tc>
          <w:tcPr>
            <w:tcW w:w="479" w:type="dxa"/>
            <w:vMerge w:val="continue"/>
            <w:tcBorders>
              <w:left w:val="single" w:color="auto" w:sz="4" w:space="0"/>
              <w:bottom w:val="single" w:color="auto" w:sz="4" w:space="0"/>
              <w:right w:val="single" w:color="auto" w:sz="4" w:space="0"/>
            </w:tcBorders>
            <w:vAlign w:val="center"/>
          </w:tcPr>
          <w:p w14:paraId="2E354850">
            <w:pPr>
              <w:jc w:val="center"/>
              <w:rPr>
                <w:sz w:val="18"/>
                <w:szCs w:val="18"/>
              </w:rPr>
            </w:pPr>
          </w:p>
        </w:tc>
        <w:tc>
          <w:tcPr>
            <w:tcW w:w="638" w:type="dxa"/>
            <w:vMerge w:val="continue"/>
            <w:tcBorders>
              <w:left w:val="single" w:color="auto" w:sz="4" w:space="0"/>
              <w:bottom w:val="single" w:color="auto" w:sz="4" w:space="0"/>
              <w:right w:val="single" w:color="auto" w:sz="4" w:space="0"/>
            </w:tcBorders>
            <w:vAlign w:val="center"/>
          </w:tcPr>
          <w:p w14:paraId="54FFCD34">
            <w:pPr>
              <w:jc w:val="center"/>
              <w:rPr>
                <w:sz w:val="18"/>
                <w:szCs w:val="18"/>
              </w:rPr>
            </w:pPr>
          </w:p>
        </w:tc>
        <w:tc>
          <w:tcPr>
            <w:tcW w:w="1173"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737217A1">
            <w:pPr>
              <w:jc w:val="left"/>
              <w:rPr>
                <w:rFonts w:ascii="仿宋_GB2312"/>
                <w:sz w:val="15"/>
                <w:szCs w:val="15"/>
              </w:rPr>
            </w:pPr>
            <w:r>
              <w:rPr>
                <w:rFonts w:hint="eastAsia" w:ascii="仿宋_GB2312"/>
                <w:sz w:val="15"/>
                <w:szCs w:val="15"/>
              </w:rPr>
              <w:t>2.政府采购规范性（2分）</w:t>
            </w:r>
          </w:p>
        </w:tc>
        <w:tc>
          <w:tcPr>
            <w:tcW w:w="569"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638B1638">
            <w:pPr>
              <w:tabs>
                <w:tab w:val="left" w:pos="2604"/>
              </w:tabs>
              <w:jc w:val="center"/>
              <w:rPr>
                <w:rFonts w:hint="eastAsia" w:eastAsia="仿宋_GB2312"/>
                <w:sz w:val="18"/>
                <w:szCs w:val="18"/>
                <w:lang w:val="en-US" w:eastAsia="zh-CN"/>
              </w:rPr>
            </w:pPr>
            <w:r>
              <w:rPr>
                <w:rFonts w:hint="eastAsia"/>
                <w:sz w:val="18"/>
                <w:szCs w:val="18"/>
                <w:lang w:val="en-US" w:eastAsia="zh-CN"/>
              </w:rPr>
              <w:t>2</w:t>
            </w:r>
          </w:p>
        </w:tc>
        <w:tc>
          <w:tcPr>
            <w:tcW w:w="184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14:paraId="24B9CCB1">
            <w:pPr>
              <w:jc w:val="left"/>
              <w:rPr>
                <w:rFonts w:ascii="仿宋_GB2312"/>
                <w:sz w:val="15"/>
                <w:szCs w:val="15"/>
              </w:rPr>
            </w:pPr>
            <w:r>
              <w:rPr>
                <w:rFonts w:hint="eastAsia" w:ascii="仿宋_GB2312"/>
                <w:sz w:val="15"/>
                <w:szCs w:val="15"/>
              </w:rPr>
              <w:t>考察政府采购项目的采购程序、采购方式的规范性</w:t>
            </w:r>
          </w:p>
        </w:tc>
        <w:tc>
          <w:tcPr>
            <w:tcW w:w="2977" w:type="dxa"/>
            <w:tcBorders>
              <w:top w:val="single" w:color="auto" w:sz="4" w:space="0"/>
              <w:left w:val="single" w:color="auto" w:sz="4" w:space="0"/>
              <w:bottom w:val="single" w:color="auto" w:sz="4" w:space="0"/>
              <w:right w:val="single" w:color="auto" w:sz="4" w:space="0"/>
            </w:tcBorders>
            <w:vAlign w:val="center"/>
          </w:tcPr>
          <w:p w14:paraId="278BDA3F">
            <w:pPr>
              <w:jc w:val="left"/>
              <w:rPr>
                <w:rFonts w:ascii="仿宋_GB2312"/>
                <w:sz w:val="15"/>
                <w:szCs w:val="15"/>
              </w:rPr>
            </w:pPr>
            <w:r>
              <w:rPr>
                <w:rFonts w:hint="eastAsia" w:ascii="仿宋_GB2312"/>
                <w:sz w:val="15"/>
                <w:szCs w:val="15"/>
              </w:rPr>
              <w:t>①政府采购方式、程序都规范，得满分；②采购方式、程序中每有一点不规范，扣0.5分，扣完为止。</w:t>
            </w:r>
          </w:p>
        </w:tc>
        <w:tc>
          <w:tcPr>
            <w:tcW w:w="1496" w:type="dxa"/>
            <w:tcBorders>
              <w:top w:val="single" w:color="auto" w:sz="4" w:space="0"/>
              <w:left w:val="single" w:color="auto" w:sz="4" w:space="0"/>
              <w:bottom w:val="single" w:color="auto" w:sz="4" w:space="0"/>
              <w:right w:val="single" w:color="auto" w:sz="4" w:space="0"/>
            </w:tcBorders>
            <w:vAlign w:val="center"/>
          </w:tcPr>
          <w:p w14:paraId="3659F8A4">
            <w:pPr>
              <w:jc w:val="left"/>
              <w:rPr>
                <w:rFonts w:ascii="仿宋_GB2312"/>
                <w:sz w:val="15"/>
                <w:szCs w:val="15"/>
              </w:rPr>
            </w:pPr>
            <w:r>
              <w:rPr>
                <w:rFonts w:hint="eastAsia" w:ascii="仿宋_GB2312"/>
                <w:sz w:val="15"/>
                <w:szCs w:val="15"/>
              </w:rPr>
              <w:t>政府采购相关资料</w:t>
            </w:r>
          </w:p>
        </w:tc>
      </w:tr>
      <w:tr w14:paraId="60A6C1AC">
        <w:tblPrEx>
          <w:tblCellMar>
            <w:top w:w="0" w:type="dxa"/>
            <w:left w:w="28" w:type="dxa"/>
            <w:bottom w:w="0" w:type="dxa"/>
            <w:right w:w="28" w:type="dxa"/>
          </w:tblCellMar>
        </w:tblPrEx>
        <w:trPr>
          <w:trHeight w:val="1822" w:hRule="atLeast"/>
          <w:jc w:val="center"/>
        </w:trPr>
        <w:tc>
          <w:tcPr>
            <w:tcW w:w="479" w:type="dxa"/>
            <w:vMerge w:val="restart"/>
            <w:tcBorders>
              <w:top w:val="single" w:color="auto" w:sz="4" w:space="0"/>
              <w:left w:val="single" w:color="auto" w:sz="4" w:space="0"/>
              <w:right w:val="single" w:color="auto" w:sz="4" w:space="0"/>
            </w:tcBorders>
            <w:textDirection w:val="tbRlV"/>
            <w:vAlign w:val="center"/>
          </w:tcPr>
          <w:p w14:paraId="21089BF3">
            <w:pPr>
              <w:ind w:left="113"/>
              <w:jc w:val="center"/>
              <w:rPr>
                <w:sz w:val="18"/>
                <w:szCs w:val="18"/>
              </w:rPr>
            </w:pPr>
            <w:r>
              <w:rPr>
                <w:rFonts w:hint="eastAsia" w:ascii="仿宋_GB2312"/>
                <w:sz w:val="15"/>
                <w:szCs w:val="15"/>
              </w:rPr>
              <w:t>三、部门绩效（45</w:t>
            </w:r>
            <w:r>
              <w:rPr>
                <w:rFonts w:hint="eastAsia"/>
                <w:sz w:val="18"/>
                <w:szCs w:val="18"/>
              </w:rPr>
              <w:t>分）</w:t>
            </w:r>
          </w:p>
        </w:tc>
        <w:tc>
          <w:tcPr>
            <w:tcW w:w="638" w:type="dxa"/>
            <w:vMerge w:val="restart"/>
            <w:tcBorders>
              <w:top w:val="single" w:color="auto" w:sz="4" w:space="0"/>
              <w:left w:val="single" w:color="auto" w:sz="4" w:space="0"/>
              <w:right w:val="single" w:color="auto" w:sz="4" w:space="0"/>
            </w:tcBorders>
            <w:vAlign w:val="center"/>
          </w:tcPr>
          <w:p w14:paraId="6E28E44A">
            <w:pPr>
              <w:jc w:val="center"/>
              <w:rPr>
                <w:rFonts w:ascii="仿宋_GB2312"/>
                <w:sz w:val="15"/>
                <w:szCs w:val="15"/>
              </w:rPr>
            </w:pPr>
            <w:r>
              <w:rPr>
                <w:rFonts w:hint="eastAsia" w:ascii="仿宋_GB2312"/>
                <w:sz w:val="15"/>
                <w:szCs w:val="15"/>
              </w:rPr>
              <w:t>1.部门产出（25）</w:t>
            </w: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14:paraId="5C4CAEF8">
            <w:pPr>
              <w:jc w:val="center"/>
              <w:rPr>
                <w:rFonts w:ascii="仿宋_GB2312"/>
                <w:sz w:val="15"/>
                <w:szCs w:val="15"/>
              </w:rPr>
            </w:pPr>
            <w:r>
              <w:rPr>
                <w:rFonts w:hint="eastAsia" w:ascii="仿宋_GB2312"/>
                <w:sz w:val="15"/>
                <w:szCs w:val="15"/>
              </w:rPr>
              <w:t>1.</w:t>
            </w:r>
            <w:r>
              <w:rPr>
                <w:rFonts w:hint="eastAsia" w:ascii="仿宋_GB2312"/>
                <w:sz w:val="15"/>
                <w:szCs w:val="15"/>
                <w:lang w:eastAsia="zh-CN"/>
              </w:rPr>
              <w:t>实</w:t>
            </w:r>
            <w:r>
              <w:rPr>
                <w:rFonts w:hint="eastAsia" w:ascii="仿宋_GB2312"/>
                <w:sz w:val="15"/>
                <w:szCs w:val="15"/>
              </w:rPr>
              <w:t>际完成率    （6分）</w:t>
            </w:r>
          </w:p>
        </w:tc>
        <w:tc>
          <w:tcPr>
            <w:tcW w:w="569" w:type="dxa"/>
            <w:tcBorders>
              <w:top w:val="single" w:color="auto" w:sz="4" w:space="0"/>
              <w:left w:val="single" w:color="auto" w:sz="4" w:space="0"/>
              <w:bottom w:val="single" w:color="auto" w:sz="4" w:space="0"/>
            </w:tcBorders>
            <w:vAlign w:val="center"/>
          </w:tcPr>
          <w:p w14:paraId="20A662B3">
            <w:pPr>
              <w:jc w:val="center"/>
              <w:rPr>
                <w:rFonts w:hint="eastAsia" w:ascii="仿宋_GB2312" w:eastAsia="仿宋_GB2312"/>
                <w:sz w:val="15"/>
                <w:szCs w:val="15"/>
                <w:lang w:val="en-US" w:eastAsia="zh-CN"/>
              </w:rPr>
            </w:pPr>
            <w:r>
              <w:rPr>
                <w:rFonts w:hint="eastAsia" w:ascii="仿宋_GB2312"/>
                <w:sz w:val="15"/>
                <w:szCs w:val="15"/>
                <w:lang w:val="en-US" w:eastAsia="zh-CN"/>
              </w:rPr>
              <w:t>6</w:t>
            </w:r>
          </w:p>
        </w:tc>
        <w:tc>
          <w:tcPr>
            <w:tcW w:w="1842" w:type="dxa"/>
            <w:tcBorders>
              <w:top w:val="single" w:color="auto" w:sz="4" w:space="0"/>
              <w:left w:val="single" w:color="auto" w:sz="4" w:space="0"/>
              <w:bottom w:val="single" w:color="auto" w:sz="4" w:space="0"/>
              <w:right w:val="single" w:color="auto" w:sz="4" w:space="0"/>
            </w:tcBorders>
            <w:vAlign w:val="center"/>
          </w:tcPr>
          <w:p w14:paraId="30C0A51D">
            <w:pPr>
              <w:tabs>
                <w:tab w:val="left" w:pos="2604"/>
              </w:tabs>
              <w:rPr>
                <w:rFonts w:ascii="仿宋_GB2312"/>
                <w:sz w:val="15"/>
                <w:szCs w:val="15"/>
              </w:rPr>
            </w:pPr>
            <w:r>
              <w:rPr>
                <w:rFonts w:hint="eastAsia" w:ascii="仿宋_GB2312"/>
                <w:sz w:val="15"/>
                <w:szCs w:val="15"/>
              </w:rPr>
              <w:t>部门履行职责而实际完成工作数与计划工作数的比率，用以反映和考核部门履职工作任务目标的实现程度。</w:t>
            </w:r>
          </w:p>
        </w:tc>
        <w:tc>
          <w:tcPr>
            <w:tcW w:w="2977" w:type="dxa"/>
            <w:tcBorders>
              <w:top w:val="single" w:color="auto" w:sz="4" w:space="0"/>
              <w:left w:val="single" w:color="auto" w:sz="4" w:space="0"/>
              <w:bottom w:val="single" w:color="auto" w:sz="4" w:space="0"/>
              <w:right w:val="single" w:color="auto" w:sz="4" w:space="0"/>
            </w:tcBorders>
            <w:vAlign w:val="center"/>
          </w:tcPr>
          <w:p w14:paraId="570E6F36">
            <w:pPr>
              <w:rPr>
                <w:rFonts w:ascii="仿宋_GB2312"/>
                <w:sz w:val="15"/>
                <w:szCs w:val="15"/>
              </w:rPr>
            </w:pPr>
            <w:r>
              <w:rPr>
                <w:rFonts w:hint="eastAsia" w:ascii="仿宋_GB2312"/>
                <w:sz w:val="15"/>
                <w:szCs w:val="15"/>
              </w:rPr>
              <w:t>实际完成率得分=实际完成工作数/计划工作数*6分。</w:t>
            </w:r>
          </w:p>
        </w:tc>
        <w:tc>
          <w:tcPr>
            <w:tcW w:w="1496" w:type="dxa"/>
            <w:tcBorders>
              <w:top w:val="single" w:color="auto" w:sz="4" w:space="0"/>
              <w:left w:val="single" w:color="auto" w:sz="4" w:space="0"/>
              <w:bottom w:val="single" w:color="auto" w:sz="4" w:space="0"/>
              <w:right w:val="single" w:color="auto" w:sz="4" w:space="0"/>
            </w:tcBorders>
            <w:vAlign w:val="center"/>
          </w:tcPr>
          <w:p w14:paraId="7DDB6F73">
            <w:pPr>
              <w:jc w:val="left"/>
              <w:rPr>
                <w:rFonts w:ascii="仿宋_GB2312"/>
                <w:sz w:val="15"/>
                <w:szCs w:val="15"/>
              </w:rPr>
            </w:pPr>
            <w:r>
              <w:rPr>
                <w:rFonts w:hint="eastAsia" w:ascii="仿宋_GB2312"/>
                <w:sz w:val="15"/>
                <w:szCs w:val="15"/>
              </w:rPr>
              <w:t>工作计划和工作总结等相关资料</w:t>
            </w:r>
          </w:p>
        </w:tc>
      </w:tr>
      <w:tr w14:paraId="59CD4021">
        <w:tblPrEx>
          <w:tblCellMar>
            <w:top w:w="0" w:type="dxa"/>
            <w:left w:w="28" w:type="dxa"/>
            <w:bottom w:w="0" w:type="dxa"/>
            <w:right w:w="28" w:type="dxa"/>
          </w:tblCellMar>
        </w:tblPrEx>
        <w:trPr>
          <w:trHeight w:val="1835" w:hRule="atLeast"/>
          <w:jc w:val="center"/>
        </w:trPr>
        <w:tc>
          <w:tcPr>
            <w:tcW w:w="479" w:type="dxa"/>
            <w:vMerge w:val="continue"/>
            <w:tcBorders>
              <w:left w:val="single" w:color="auto" w:sz="4" w:space="0"/>
              <w:right w:val="single" w:color="auto" w:sz="4" w:space="0"/>
            </w:tcBorders>
            <w:vAlign w:val="center"/>
          </w:tcPr>
          <w:p w14:paraId="1F50BFF3">
            <w:pPr>
              <w:ind w:left="113"/>
              <w:jc w:val="center"/>
              <w:rPr>
                <w:sz w:val="18"/>
                <w:szCs w:val="18"/>
              </w:rPr>
            </w:pPr>
          </w:p>
        </w:tc>
        <w:tc>
          <w:tcPr>
            <w:tcW w:w="638" w:type="dxa"/>
            <w:vMerge w:val="continue"/>
            <w:tcBorders>
              <w:left w:val="single" w:color="auto" w:sz="4" w:space="0"/>
              <w:right w:val="single" w:color="auto" w:sz="4" w:space="0"/>
            </w:tcBorders>
            <w:vAlign w:val="center"/>
          </w:tcPr>
          <w:p w14:paraId="15529CDC">
            <w:pPr>
              <w:jc w:val="center"/>
              <w:rPr>
                <w:rFonts w:ascii="仿宋_GB2312"/>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14:paraId="4D2E8755">
            <w:pPr>
              <w:jc w:val="center"/>
              <w:rPr>
                <w:rFonts w:ascii="仿宋_GB2312"/>
                <w:sz w:val="15"/>
                <w:szCs w:val="15"/>
              </w:rPr>
            </w:pPr>
            <w:r>
              <w:rPr>
                <w:rFonts w:hint="eastAsia" w:ascii="仿宋_GB2312"/>
                <w:sz w:val="15"/>
                <w:szCs w:val="15"/>
              </w:rPr>
              <w:t>2.完成及时率  （5分）</w:t>
            </w:r>
          </w:p>
        </w:tc>
        <w:tc>
          <w:tcPr>
            <w:tcW w:w="569" w:type="dxa"/>
            <w:tcBorders>
              <w:top w:val="single" w:color="auto" w:sz="4" w:space="0"/>
              <w:left w:val="single" w:color="auto" w:sz="4" w:space="0"/>
              <w:bottom w:val="single" w:color="auto" w:sz="4" w:space="0"/>
            </w:tcBorders>
            <w:vAlign w:val="center"/>
          </w:tcPr>
          <w:p w14:paraId="079DA68C">
            <w:pPr>
              <w:jc w:val="center"/>
              <w:rPr>
                <w:rFonts w:hint="eastAsia" w:ascii="仿宋_GB2312" w:eastAsia="仿宋_GB2312"/>
                <w:sz w:val="15"/>
                <w:szCs w:val="15"/>
                <w:lang w:val="en-US" w:eastAsia="zh-CN"/>
              </w:rPr>
            </w:pPr>
            <w:r>
              <w:rPr>
                <w:rFonts w:hint="eastAsia" w:ascii="仿宋_GB2312"/>
                <w:sz w:val="15"/>
                <w:szCs w:val="15"/>
                <w:lang w:val="en-US" w:eastAsia="zh-CN"/>
              </w:rPr>
              <w:t>5</w:t>
            </w:r>
          </w:p>
        </w:tc>
        <w:tc>
          <w:tcPr>
            <w:tcW w:w="1842" w:type="dxa"/>
            <w:tcBorders>
              <w:left w:val="single" w:color="auto" w:sz="4" w:space="0"/>
              <w:bottom w:val="single" w:color="auto" w:sz="4" w:space="0"/>
              <w:right w:val="single" w:color="auto" w:sz="4" w:space="0"/>
            </w:tcBorders>
            <w:vAlign w:val="center"/>
          </w:tcPr>
          <w:p w14:paraId="7763254E">
            <w:pPr>
              <w:tabs>
                <w:tab w:val="left" w:pos="2604"/>
              </w:tabs>
              <w:rPr>
                <w:rFonts w:ascii="仿宋_GB2312"/>
                <w:sz w:val="15"/>
                <w:szCs w:val="15"/>
              </w:rPr>
            </w:pPr>
            <w:r>
              <w:rPr>
                <w:rFonts w:hint="eastAsia" w:ascii="仿宋_GB2312"/>
                <w:sz w:val="15"/>
                <w:szCs w:val="15"/>
              </w:rPr>
              <w:t>部门在规定时限内及时完成的实际工作数与计划工作数的比率,用以反映和考核部门履职时效目标的实现程度。</w:t>
            </w:r>
          </w:p>
        </w:tc>
        <w:tc>
          <w:tcPr>
            <w:tcW w:w="2977" w:type="dxa"/>
            <w:tcBorders>
              <w:top w:val="single" w:color="auto" w:sz="4" w:space="0"/>
              <w:left w:val="single" w:color="auto" w:sz="4" w:space="0"/>
              <w:bottom w:val="single" w:color="auto" w:sz="4" w:space="0"/>
              <w:right w:val="single" w:color="auto" w:sz="4" w:space="0"/>
            </w:tcBorders>
            <w:vAlign w:val="center"/>
          </w:tcPr>
          <w:p w14:paraId="01592E5C">
            <w:pPr>
              <w:rPr>
                <w:rFonts w:ascii="仿宋_GB2312"/>
                <w:sz w:val="15"/>
                <w:szCs w:val="15"/>
              </w:rPr>
            </w:pPr>
            <w:r>
              <w:rPr>
                <w:rFonts w:hint="eastAsia" w:ascii="仿宋_GB2312"/>
                <w:sz w:val="15"/>
                <w:szCs w:val="15"/>
              </w:rPr>
              <w:t>完成及时率=（及时完成实际工作数/计划工作数）×100%。1-4季度各得1分。</w:t>
            </w:r>
          </w:p>
        </w:tc>
        <w:tc>
          <w:tcPr>
            <w:tcW w:w="1496" w:type="dxa"/>
            <w:tcBorders>
              <w:top w:val="single" w:color="auto" w:sz="4" w:space="0"/>
              <w:left w:val="single" w:color="auto" w:sz="4" w:space="0"/>
              <w:bottom w:val="single" w:color="auto" w:sz="4" w:space="0"/>
              <w:right w:val="single" w:color="auto" w:sz="4" w:space="0"/>
            </w:tcBorders>
            <w:vAlign w:val="center"/>
          </w:tcPr>
          <w:p w14:paraId="24EA835E">
            <w:pPr>
              <w:jc w:val="left"/>
              <w:rPr>
                <w:rFonts w:ascii="仿宋_GB2312"/>
                <w:sz w:val="15"/>
                <w:szCs w:val="15"/>
              </w:rPr>
            </w:pPr>
            <w:r>
              <w:rPr>
                <w:rFonts w:hint="eastAsia" w:ascii="仿宋_GB2312"/>
                <w:sz w:val="15"/>
                <w:szCs w:val="15"/>
              </w:rPr>
              <w:t>工作计划和工作总结等相关资料</w:t>
            </w:r>
          </w:p>
        </w:tc>
      </w:tr>
      <w:tr w14:paraId="5E5F415B">
        <w:tblPrEx>
          <w:tblCellMar>
            <w:top w:w="0" w:type="dxa"/>
            <w:left w:w="28" w:type="dxa"/>
            <w:bottom w:w="0" w:type="dxa"/>
            <w:right w:w="28" w:type="dxa"/>
          </w:tblCellMar>
        </w:tblPrEx>
        <w:trPr>
          <w:trHeight w:val="1670" w:hRule="atLeast"/>
          <w:jc w:val="center"/>
        </w:trPr>
        <w:tc>
          <w:tcPr>
            <w:tcW w:w="479" w:type="dxa"/>
            <w:vMerge w:val="continue"/>
            <w:tcBorders>
              <w:left w:val="single" w:color="auto" w:sz="4" w:space="0"/>
              <w:right w:val="single" w:color="auto" w:sz="4" w:space="0"/>
            </w:tcBorders>
            <w:vAlign w:val="center"/>
          </w:tcPr>
          <w:p w14:paraId="3FD02D6B">
            <w:pPr>
              <w:jc w:val="center"/>
              <w:rPr>
                <w:sz w:val="18"/>
                <w:szCs w:val="18"/>
              </w:rPr>
            </w:pPr>
          </w:p>
        </w:tc>
        <w:tc>
          <w:tcPr>
            <w:tcW w:w="638" w:type="dxa"/>
            <w:vMerge w:val="continue"/>
            <w:tcBorders>
              <w:left w:val="single" w:color="auto" w:sz="4" w:space="0"/>
              <w:right w:val="single" w:color="auto" w:sz="4" w:space="0"/>
            </w:tcBorders>
            <w:vAlign w:val="center"/>
          </w:tcPr>
          <w:p w14:paraId="46761BED">
            <w:pPr>
              <w:jc w:val="center"/>
              <w:rPr>
                <w:rFonts w:ascii="仿宋_GB2312"/>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14:paraId="4FED3ED0">
            <w:pPr>
              <w:jc w:val="center"/>
              <w:rPr>
                <w:rFonts w:ascii="仿宋_GB2312"/>
                <w:sz w:val="15"/>
                <w:szCs w:val="15"/>
              </w:rPr>
            </w:pPr>
            <w:r>
              <w:rPr>
                <w:rFonts w:hint="eastAsia" w:ascii="仿宋_GB2312"/>
                <w:sz w:val="15"/>
                <w:szCs w:val="15"/>
              </w:rPr>
              <w:t>3.质量达标率   （7分）</w:t>
            </w:r>
          </w:p>
        </w:tc>
        <w:tc>
          <w:tcPr>
            <w:tcW w:w="569" w:type="dxa"/>
            <w:tcBorders>
              <w:top w:val="single" w:color="auto" w:sz="4" w:space="0"/>
              <w:left w:val="single" w:color="auto" w:sz="4" w:space="0"/>
              <w:bottom w:val="single" w:color="auto" w:sz="4" w:space="0"/>
            </w:tcBorders>
            <w:vAlign w:val="center"/>
          </w:tcPr>
          <w:p w14:paraId="3C849D72">
            <w:pPr>
              <w:jc w:val="center"/>
              <w:rPr>
                <w:rFonts w:hint="eastAsia" w:ascii="仿宋_GB2312" w:eastAsia="仿宋_GB2312"/>
                <w:color w:val="0070C0"/>
                <w:sz w:val="15"/>
                <w:szCs w:val="15"/>
                <w:lang w:val="en-US" w:eastAsia="zh-CN"/>
              </w:rPr>
            </w:pPr>
            <w:r>
              <w:rPr>
                <w:rFonts w:hint="eastAsia" w:ascii="仿宋_GB2312"/>
                <w:color w:val="0070C0"/>
                <w:sz w:val="15"/>
                <w:szCs w:val="15"/>
                <w:lang w:val="en-US" w:eastAsia="zh-CN"/>
              </w:rPr>
              <w:t>7</w:t>
            </w:r>
          </w:p>
        </w:tc>
        <w:tc>
          <w:tcPr>
            <w:tcW w:w="1842" w:type="dxa"/>
            <w:tcBorders>
              <w:left w:val="single" w:color="auto" w:sz="4" w:space="0"/>
              <w:bottom w:val="single" w:color="auto" w:sz="4" w:space="0"/>
              <w:right w:val="single" w:color="auto" w:sz="4" w:space="0"/>
            </w:tcBorders>
            <w:vAlign w:val="center"/>
          </w:tcPr>
          <w:p w14:paraId="79CE3D3C">
            <w:pPr>
              <w:tabs>
                <w:tab w:val="left" w:pos="2604"/>
              </w:tabs>
              <w:rPr>
                <w:rFonts w:ascii="仿宋_GB2312"/>
                <w:sz w:val="15"/>
                <w:szCs w:val="15"/>
              </w:rPr>
            </w:pPr>
            <w:r>
              <w:rPr>
                <w:rFonts w:hint="eastAsia" w:ascii="仿宋_GB2312"/>
                <w:sz w:val="15"/>
                <w:szCs w:val="15"/>
              </w:rPr>
              <w:t>达到质量标准（绩效标准值）的实际工作数与计划工作数的比率,用以反映和考核部门履职质量目标的实现程度。</w:t>
            </w:r>
          </w:p>
        </w:tc>
        <w:tc>
          <w:tcPr>
            <w:tcW w:w="2977" w:type="dxa"/>
            <w:tcBorders>
              <w:top w:val="single" w:color="auto" w:sz="4" w:space="0"/>
              <w:left w:val="single" w:color="auto" w:sz="4" w:space="0"/>
              <w:bottom w:val="single" w:color="auto" w:sz="4" w:space="0"/>
              <w:right w:val="single" w:color="auto" w:sz="4" w:space="0"/>
            </w:tcBorders>
            <w:vAlign w:val="center"/>
          </w:tcPr>
          <w:p w14:paraId="7370F9F0">
            <w:pPr>
              <w:rPr>
                <w:rFonts w:ascii="仿宋_GB2312"/>
                <w:sz w:val="15"/>
                <w:szCs w:val="15"/>
              </w:rPr>
            </w:pPr>
            <w:r>
              <w:rPr>
                <w:rFonts w:hint="eastAsia" w:ascii="仿宋_GB2312"/>
                <w:sz w:val="15"/>
                <w:szCs w:val="15"/>
              </w:rPr>
              <w:t>质量达标率=（质量达标实际工作数/计划工作数）×100%。实际得分=达标率*5分。</w:t>
            </w:r>
          </w:p>
        </w:tc>
        <w:tc>
          <w:tcPr>
            <w:tcW w:w="1496" w:type="dxa"/>
            <w:tcBorders>
              <w:top w:val="single" w:color="auto" w:sz="4" w:space="0"/>
              <w:left w:val="single" w:color="auto" w:sz="4" w:space="0"/>
              <w:bottom w:val="single" w:color="auto" w:sz="4" w:space="0"/>
              <w:right w:val="single" w:color="auto" w:sz="4" w:space="0"/>
            </w:tcBorders>
            <w:vAlign w:val="center"/>
          </w:tcPr>
          <w:p w14:paraId="5EED3FD2">
            <w:pPr>
              <w:jc w:val="left"/>
              <w:rPr>
                <w:rFonts w:ascii="仿宋_GB2312"/>
                <w:sz w:val="15"/>
                <w:szCs w:val="15"/>
              </w:rPr>
            </w:pPr>
            <w:r>
              <w:rPr>
                <w:rFonts w:hint="eastAsia" w:ascii="仿宋_GB2312"/>
                <w:sz w:val="15"/>
                <w:szCs w:val="15"/>
              </w:rPr>
              <w:t>工作计划和工作总结等相关资料</w:t>
            </w:r>
          </w:p>
        </w:tc>
      </w:tr>
      <w:tr w14:paraId="7CD0D6EA">
        <w:tblPrEx>
          <w:tblCellMar>
            <w:top w:w="0" w:type="dxa"/>
            <w:left w:w="28" w:type="dxa"/>
            <w:bottom w:w="0" w:type="dxa"/>
            <w:right w:w="28" w:type="dxa"/>
          </w:tblCellMar>
        </w:tblPrEx>
        <w:trPr>
          <w:trHeight w:val="1397" w:hRule="atLeast"/>
          <w:jc w:val="center"/>
        </w:trPr>
        <w:tc>
          <w:tcPr>
            <w:tcW w:w="479" w:type="dxa"/>
            <w:vMerge w:val="continue"/>
            <w:tcBorders>
              <w:left w:val="single" w:color="auto" w:sz="4" w:space="0"/>
              <w:right w:val="single" w:color="auto" w:sz="4" w:space="0"/>
            </w:tcBorders>
            <w:vAlign w:val="center"/>
          </w:tcPr>
          <w:p w14:paraId="7524A68C">
            <w:pPr>
              <w:jc w:val="center"/>
              <w:rPr>
                <w:sz w:val="18"/>
                <w:szCs w:val="18"/>
              </w:rPr>
            </w:pPr>
          </w:p>
        </w:tc>
        <w:tc>
          <w:tcPr>
            <w:tcW w:w="638" w:type="dxa"/>
            <w:vMerge w:val="continue"/>
            <w:tcBorders>
              <w:left w:val="single" w:color="auto" w:sz="4" w:space="0"/>
              <w:bottom w:val="single" w:color="auto" w:sz="4" w:space="0"/>
              <w:right w:val="single" w:color="auto" w:sz="4" w:space="0"/>
            </w:tcBorders>
            <w:vAlign w:val="center"/>
          </w:tcPr>
          <w:p w14:paraId="28F392FC">
            <w:pPr>
              <w:jc w:val="center"/>
              <w:rPr>
                <w:rFonts w:ascii="仿宋_GB2312"/>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14:paraId="66C5B4EA">
            <w:pPr>
              <w:jc w:val="center"/>
              <w:rPr>
                <w:rFonts w:ascii="仿宋_GB2312"/>
                <w:sz w:val="15"/>
                <w:szCs w:val="15"/>
              </w:rPr>
            </w:pPr>
            <w:r>
              <w:rPr>
                <w:rFonts w:hint="eastAsia" w:ascii="仿宋_GB2312"/>
                <w:sz w:val="15"/>
                <w:szCs w:val="15"/>
              </w:rPr>
              <w:t>4.重点工作办结率（7分）</w:t>
            </w:r>
          </w:p>
        </w:tc>
        <w:tc>
          <w:tcPr>
            <w:tcW w:w="569" w:type="dxa"/>
            <w:tcBorders>
              <w:top w:val="single" w:color="auto" w:sz="4" w:space="0"/>
              <w:left w:val="single" w:color="auto" w:sz="4" w:space="0"/>
              <w:bottom w:val="single" w:color="auto" w:sz="4" w:space="0"/>
            </w:tcBorders>
            <w:vAlign w:val="center"/>
          </w:tcPr>
          <w:p w14:paraId="56D37D08">
            <w:pPr>
              <w:jc w:val="center"/>
              <w:rPr>
                <w:rFonts w:hint="eastAsia" w:ascii="仿宋_GB2312" w:eastAsia="仿宋_GB2312"/>
                <w:color w:val="0070C0"/>
                <w:sz w:val="15"/>
                <w:szCs w:val="15"/>
                <w:lang w:val="en-US" w:eastAsia="zh-CN"/>
              </w:rPr>
            </w:pPr>
            <w:r>
              <w:rPr>
                <w:rFonts w:hint="eastAsia" w:ascii="仿宋_GB2312"/>
                <w:color w:val="0070C0"/>
                <w:sz w:val="15"/>
                <w:szCs w:val="15"/>
                <w:lang w:val="en-US" w:eastAsia="zh-CN"/>
              </w:rPr>
              <w:t>7</w:t>
            </w:r>
          </w:p>
        </w:tc>
        <w:tc>
          <w:tcPr>
            <w:tcW w:w="1842" w:type="dxa"/>
            <w:tcBorders>
              <w:left w:val="single" w:color="auto" w:sz="4" w:space="0"/>
              <w:bottom w:val="single" w:color="auto" w:sz="4" w:space="0"/>
              <w:right w:val="single" w:color="auto" w:sz="4" w:space="0"/>
            </w:tcBorders>
            <w:vAlign w:val="center"/>
          </w:tcPr>
          <w:p w14:paraId="2892B87F">
            <w:pPr>
              <w:tabs>
                <w:tab w:val="left" w:pos="2604"/>
              </w:tabs>
              <w:rPr>
                <w:rFonts w:ascii="仿宋_GB2312"/>
                <w:sz w:val="15"/>
                <w:szCs w:val="15"/>
              </w:rPr>
            </w:pPr>
            <w:r>
              <w:rPr>
                <w:rFonts w:hint="eastAsia" w:ascii="仿宋_GB2312"/>
                <w:sz w:val="15"/>
                <w:szCs w:val="15"/>
              </w:rPr>
              <w:t>部门年度重点工作实际完成数与交办或下达数的比率，用以反映部门对重点工作的办理落实程度。</w:t>
            </w:r>
          </w:p>
        </w:tc>
        <w:tc>
          <w:tcPr>
            <w:tcW w:w="2977" w:type="dxa"/>
            <w:tcBorders>
              <w:top w:val="single" w:color="auto" w:sz="4" w:space="0"/>
              <w:left w:val="single" w:color="auto" w:sz="4" w:space="0"/>
              <w:bottom w:val="single" w:color="auto" w:sz="4" w:space="0"/>
              <w:right w:val="single" w:color="auto" w:sz="4" w:space="0"/>
            </w:tcBorders>
            <w:vAlign w:val="center"/>
          </w:tcPr>
          <w:p w14:paraId="6688D4D7">
            <w:pPr>
              <w:rPr>
                <w:rFonts w:ascii="仿宋_GB2312"/>
                <w:sz w:val="15"/>
                <w:szCs w:val="15"/>
              </w:rPr>
            </w:pPr>
            <w:r>
              <w:rPr>
                <w:rFonts w:hint="eastAsia" w:ascii="仿宋_GB2312"/>
                <w:sz w:val="15"/>
                <w:szCs w:val="15"/>
              </w:rPr>
              <w:t>重点工作办结率=（重点工作实际完成数/交办或下达数）×100%。实际得分=办结率*5分。</w:t>
            </w:r>
          </w:p>
        </w:tc>
        <w:tc>
          <w:tcPr>
            <w:tcW w:w="1496" w:type="dxa"/>
            <w:tcBorders>
              <w:top w:val="single" w:color="auto" w:sz="4" w:space="0"/>
              <w:left w:val="single" w:color="auto" w:sz="4" w:space="0"/>
              <w:bottom w:val="single" w:color="auto" w:sz="4" w:space="0"/>
              <w:right w:val="single" w:color="auto" w:sz="4" w:space="0"/>
            </w:tcBorders>
            <w:vAlign w:val="center"/>
          </w:tcPr>
          <w:p w14:paraId="6FBA65BA">
            <w:pPr>
              <w:jc w:val="left"/>
              <w:rPr>
                <w:rFonts w:ascii="仿宋_GB2312"/>
                <w:sz w:val="15"/>
                <w:szCs w:val="15"/>
              </w:rPr>
            </w:pPr>
            <w:r>
              <w:rPr>
                <w:rFonts w:hint="eastAsia" w:ascii="仿宋_GB2312"/>
                <w:sz w:val="15"/>
                <w:szCs w:val="15"/>
              </w:rPr>
              <w:t>工作计划和工作总结等相关资料</w:t>
            </w:r>
          </w:p>
        </w:tc>
      </w:tr>
      <w:tr w14:paraId="2F260B5D">
        <w:tblPrEx>
          <w:tblCellMar>
            <w:top w:w="0" w:type="dxa"/>
            <w:left w:w="28" w:type="dxa"/>
            <w:bottom w:w="0" w:type="dxa"/>
            <w:right w:w="28" w:type="dxa"/>
          </w:tblCellMar>
        </w:tblPrEx>
        <w:trPr>
          <w:trHeight w:val="822" w:hRule="atLeast"/>
          <w:jc w:val="center"/>
        </w:trPr>
        <w:tc>
          <w:tcPr>
            <w:tcW w:w="479" w:type="dxa"/>
            <w:vMerge w:val="continue"/>
            <w:tcBorders>
              <w:left w:val="single" w:color="auto" w:sz="4" w:space="0"/>
              <w:right w:val="single" w:color="auto" w:sz="4" w:space="0"/>
            </w:tcBorders>
            <w:vAlign w:val="center"/>
          </w:tcPr>
          <w:p w14:paraId="49EA0051">
            <w:pPr>
              <w:jc w:val="center"/>
              <w:rPr>
                <w:sz w:val="18"/>
                <w:szCs w:val="18"/>
              </w:rPr>
            </w:pPr>
          </w:p>
        </w:tc>
        <w:tc>
          <w:tcPr>
            <w:tcW w:w="638" w:type="dxa"/>
            <w:vMerge w:val="restart"/>
            <w:tcBorders>
              <w:top w:val="single" w:color="auto" w:sz="4" w:space="0"/>
              <w:left w:val="single" w:color="auto" w:sz="4" w:space="0"/>
              <w:right w:val="single" w:color="auto" w:sz="4" w:space="0"/>
            </w:tcBorders>
            <w:vAlign w:val="center"/>
          </w:tcPr>
          <w:p w14:paraId="3223B353">
            <w:pPr>
              <w:jc w:val="center"/>
              <w:rPr>
                <w:rFonts w:ascii="仿宋_GB2312"/>
                <w:sz w:val="15"/>
                <w:szCs w:val="15"/>
              </w:rPr>
            </w:pPr>
            <w:r>
              <w:rPr>
                <w:rFonts w:hint="eastAsia" w:ascii="仿宋_GB2312"/>
                <w:sz w:val="15"/>
                <w:szCs w:val="15"/>
              </w:rPr>
              <w:t>2.部门效果（20分）</w:t>
            </w: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14:paraId="13B565EE">
            <w:pPr>
              <w:jc w:val="center"/>
              <w:rPr>
                <w:rFonts w:ascii="仿宋_GB2312"/>
                <w:sz w:val="15"/>
                <w:szCs w:val="15"/>
              </w:rPr>
            </w:pPr>
            <w:r>
              <w:rPr>
                <w:rFonts w:hint="eastAsia" w:ascii="仿宋_GB2312"/>
                <w:sz w:val="15"/>
                <w:szCs w:val="15"/>
              </w:rPr>
              <w:t>经济效益（3分）</w:t>
            </w:r>
          </w:p>
        </w:tc>
        <w:tc>
          <w:tcPr>
            <w:tcW w:w="569" w:type="dxa"/>
            <w:tcBorders>
              <w:top w:val="single" w:color="auto" w:sz="4" w:space="0"/>
              <w:left w:val="single" w:color="auto" w:sz="4" w:space="0"/>
              <w:bottom w:val="single" w:color="auto" w:sz="4" w:space="0"/>
            </w:tcBorders>
            <w:vAlign w:val="center"/>
          </w:tcPr>
          <w:p w14:paraId="6C266E5F">
            <w:pPr>
              <w:jc w:val="center"/>
              <w:rPr>
                <w:rFonts w:hint="eastAsia" w:ascii="仿宋_GB2312" w:eastAsia="仿宋_GB2312"/>
                <w:sz w:val="15"/>
                <w:szCs w:val="15"/>
                <w:lang w:val="en-US" w:eastAsia="zh-CN"/>
              </w:rPr>
            </w:pPr>
            <w:r>
              <w:rPr>
                <w:rFonts w:hint="eastAsia" w:ascii="仿宋_GB2312"/>
                <w:sz w:val="15"/>
                <w:szCs w:val="15"/>
                <w:lang w:val="en-US" w:eastAsia="zh-CN"/>
              </w:rPr>
              <w:t>3</w:t>
            </w:r>
          </w:p>
        </w:tc>
        <w:tc>
          <w:tcPr>
            <w:tcW w:w="1842" w:type="dxa"/>
            <w:tcBorders>
              <w:top w:val="single" w:color="auto" w:sz="4" w:space="0"/>
              <w:left w:val="single" w:color="auto" w:sz="4" w:space="0"/>
              <w:bottom w:val="single" w:color="auto" w:sz="4" w:space="0"/>
              <w:right w:val="single" w:color="auto" w:sz="4" w:space="0"/>
            </w:tcBorders>
            <w:vAlign w:val="center"/>
          </w:tcPr>
          <w:p w14:paraId="5131C583">
            <w:pPr>
              <w:tabs>
                <w:tab w:val="left" w:pos="2604"/>
              </w:tabs>
              <w:rPr>
                <w:rFonts w:ascii="仿宋_GB2312"/>
                <w:sz w:val="15"/>
                <w:szCs w:val="15"/>
              </w:rPr>
            </w:pPr>
            <w:r>
              <w:rPr>
                <w:rFonts w:hint="eastAsia" w:ascii="仿宋_GB2312"/>
                <w:sz w:val="15"/>
                <w:szCs w:val="15"/>
              </w:rPr>
              <w:t>部门履行职责对经济发展所带来的直接或间接影响。</w:t>
            </w:r>
          </w:p>
        </w:tc>
        <w:tc>
          <w:tcPr>
            <w:tcW w:w="2977" w:type="dxa"/>
            <w:vMerge w:val="restart"/>
            <w:tcBorders>
              <w:top w:val="single" w:color="auto" w:sz="4" w:space="0"/>
              <w:left w:val="single" w:color="auto" w:sz="4" w:space="0"/>
              <w:right w:val="single" w:color="auto" w:sz="4" w:space="0"/>
            </w:tcBorders>
            <w:vAlign w:val="center"/>
          </w:tcPr>
          <w:p w14:paraId="2DEEC072">
            <w:pPr>
              <w:spacing w:line="240" w:lineRule="exact"/>
              <w:jc w:val="left"/>
              <w:rPr>
                <w:rFonts w:ascii="仿宋_GB2312"/>
                <w:sz w:val="15"/>
                <w:szCs w:val="15"/>
              </w:rPr>
            </w:pPr>
            <w:r>
              <w:rPr>
                <w:rFonts w:hint="eastAsia" w:ascii="仿宋_GB2312" w:hAnsi="宋体" w:cs="宋体"/>
                <w:kern w:val="0"/>
                <w:sz w:val="15"/>
                <w:szCs w:val="15"/>
              </w:rPr>
              <w:t>（1）工作完成实际，对照绩效目标进行分析计算。                               （2）按经济效益实现程度计算得分（3分）；按社会效益实现程度计算得分（10分）；按生态效益实现程度计算得分（2分）。</w:t>
            </w:r>
          </w:p>
        </w:tc>
        <w:tc>
          <w:tcPr>
            <w:tcW w:w="1496" w:type="dxa"/>
            <w:tcBorders>
              <w:top w:val="single" w:color="auto" w:sz="4" w:space="0"/>
              <w:left w:val="single" w:color="auto" w:sz="4" w:space="0"/>
              <w:bottom w:val="single" w:color="auto" w:sz="4" w:space="0"/>
              <w:right w:val="single" w:color="auto" w:sz="4" w:space="0"/>
            </w:tcBorders>
            <w:vAlign w:val="center"/>
          </w:tcPr>
          <w:p w14:paraId="362F91E7">
            <w:pPr>
              <w:jc w:val="left"/>
              <w:rPr>
                <w:rFonts w:ascii="仿宋_GB2312"/>
                <w:sz w:val="15"/>
                <w:szCs w:val="15"/>
              </w:rPr>
            </w:pPr>
            <w:r>
              <w:rPr>
                <w:rFonts w:hint="eastAsia" w:ascii="仿宋_GB2312"/>
                <w:sz w:val="15"/>
                <w:szCs w:val="15"/>
              </w:rPr>
              <w:t>绩效目标、工作计划和工作总结等相关资料。</w:t>
            </w:r>
          </w:p>
        </w:tc>
      </w:tr>
      <w:tr w14:paraId="78F9D736">
        <w:tblPrEx>
          <w:tblCellMar>
            <w:top w:w="0" w:type="dxa"/>
            <w:left w:w="28" w:type="dxa"/>
            <w:bottom w:w="0" w:type="dxa"/>
            <w:right w:w="28" w:type="dxa"/>
          </w:tblCellMar>
        </w:tblPrEx>
        <w:trPr>
          <w:trHeight w:val="840" w:hRule="atLeast"/>
          <w:jc w:val="center"/>
        </w:trPr>
        <w:tc>
          <w:tcPr>
            <w:tcW w:w="479" w:type="dxa"/>
            <w:vMerge w:val="continue"/>
            <w:tcBorders>
              <w:left w:val="single" w:color="auto" w:sz="4" w:space="0"/>
              <w:right w:val="single" w:color="auto" w:sz="4" w:space="0"/>
            </w:tcBorders>
            <w:vAlign w:val="center"/>
          </w:tcPr>
          <w:p w14:paraId="183F120A">
            <w:pPr>
              <w:jc w:val="center"/>
              <w:rPr>
                <w:sz w:val="18"/>
                <w:szCs w:val="18"/>
              </w:rPr>
            </w:pPr>
          </w:p>
        </w:tc>
        <w:tc>
          <w:tcPr>
            <w:tcW w:w="638" w:type="dxa"/>
            <w:vMerge w:val="continue"/>
            <w:tcBorders>
              <w:left w:val="single" w:color="auto" w:sz="4" w:space="0"/>
              <w:right w:val="single" w:color="auto" w:sz="4" w:space="0"/>
            </w:tcBorders>
            <w:vAlign w:val="center"/>
          </w:tcPr>
          <w:p w14:paraId="07E71CCE">
            <w:pPr>
              <w:jc w:val="center"/>
              <w:rPr>
                <w:rFonts w:ascii="仿宋_GB2312"/>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14:paraId="47AA408C">
            <w:pPr>
              <w:jc w:val="center"/>
              <w:rPr>
                <w:rFonts w:ascii="仿宋_GB2312"/>
                <w:sz w:val="15"/>
                <w:szCs w:val="15"/>
              </w:rPr>
            </w:pPr>
            <w:r>
              <w:rPr>
                <w:rFonts w:hint="eastAsia" w:ascii="仿宋_GB2312"/>
                <w:sz w:val="15"/>
                <w:szCs w:val="15"/>
              </w:rPr>
              <w:t>社会效益（10分）</w:t>
            </w:r>
          </w:p>
        </w:tc>
        <w:tc>
          <w:tcPr>
            <w:tcW w:w="569" w:type="dxa"/>
            <w:tcBorders>
              <w:top w:val="single" w:color="auto" w:sz="4" w:space="0"/>
              <w:left w:val="single" w:color="auto" w:sz="4" w:space="0"/>
              <w:bottom w:val="single" w:color="auto" w:sz="4" w:space="0"/>
            </w:tcBorders>
            <w:vAlign w:val="center"/>
          </w:tcPr>
          <w:p w14:paraId="6E75C352">
            <w:pPr>
              <w:jc w:val="center"/>
              <w:rPr>
                <w:rFonts w:hint="eastAsia" w:ascii="仿宋_GB2312" w:eastAsia="仿宋_GB2312"/>
                <w:sz w:val="15"/>
                <w:szCs w:val="15"/>
                <w:lang w:val="en-US" w:eastAsia="zh-CN"/>
              </w:rPr>
            </w:pPr>
            <w:r>
              <w:rPr>
                <w:rFonts w:hint="eastAsia" w:ascii="仿宋_GB2312"/>
                <w:sz w:val="15"/>
                <w:szCs w:val="15"/>
                <w:lang w:val="en-US" w:eastAsia="zh-CN"/>
              </w:rPr>
              <w:t>9</w:t>
            </w:r>
          </w:p>
        </w:tc>
        <w:tc>
          <w:tcPr>
            <w:tcW w:w="1842" w:type="dxa"/>
            <w:tcBorders>
              <w:top w:val="single" w:color="auto" w:sz="4" w:space="0"/>
              <w:left w:val="single" w:color="auto" w:sz="4" w:space="0"/>
              <w:bottom w:val="single" w:color="auto" w:sz="4" w:space="0"/>
              <w:right w:val="single" w:color="auto" w:sz="4" w:space="0"/>
            </w:tcBorders>
            <w:vAlign w:val="center"/>
          </w:tcPr>
          <w:p w14:paraId="46E8A642">
            <w:pPr>
              <w:tabs>
                <w:tab w:val="left" w:pos="2604"/>
              </w:tabs>
              <w:rPr>
                <w:rFonts w:ascii="仿宋_GB2312"/>
                <w:sz w:val="15"/>
                <w:szCs w:val="15"/>
              </w:rPr>
            </w:pPr>
            <w:r>
              <w:rPr>
                <w:rFonts w:hint="eastAsia" w:ascii="仿宋_GB2312"/>
                <w:sz w:val="15"/>
                <w:szCs w:val="15"/>
              </w:rPr>
              <w:t>部门履行职责对社会发展所带来的直接或间接影响。</w:t>
            </w:r>
          </w:p>
        </w:tc>
        <w:tc>
          <w:tcPr>
            <w:tcW w:w="2977" w:type="dxa"/>
            <w:vMerge w:val="continue"/>
            <w:tcBorders>
              <w:left w:val="single" w:color="auto" w:sz="4" w:space="0"/>
              <w:right w:val="single" w:color="auto" w:sz="4" w:space="0"/>
            </w:tcBorders>
            <w:vAlign w:val="center"/>
          </w:tcPr>
          <w:p w14:paraId="64C3FBAC">
            <w:pPr>
              <w:jc w:val="center"/>
              <w:rPr>
                <w:rFonts w:ascii="仿宋_GB2312"/>
                <w:sz w:val="15"/>
                <w:szCs w:val="15"/>
              </w:rPr>
            </w:pPr>
          </w:p>
        </w:tc>
        <w:tc>
          <w:tcPr>
            <w:tcW w:w="1496" w:type="dxa"/>
            <w:tcBorders>
              <w:top w:val="single" w:color="auto" w:sz="4" w:space="0"/>
              <w:left w:val="single" w:color="auto" w:sz="4" w:space="0"/>
              <w:bottom w:val="single" w:color="auto" w:sz="4" w:space="0"/>
              <w:right w:val="single" w:color="auto" w:sz="4" w:space="0"/>
            </w:tcBorders>
            <w:vAlign w:val="center"/>
          </w:tcPr>
          <w:p w14:paraId="797D950C">
            <w:pPr>
              <w:jc w:val="left"/>
              <w:rPr>
                <w:rFonts w:ascii="仿宋_GB2312"/>
                <w:sz w:val="15"/>
                <w:szCs w:val="15"/>
              </w:rPr>
            </w:pPr>
            <w:r>
              <w:rPr>
                <w:rFonts w:hint="eastAsia" w:ascii="仿宋_GB2312"/>
                <w:sz w:val="15"/>
                <w:szCs w:val="15"/>
              </w:rPr>
              <w:t>绩效目标、工作计划和工作总结等相关资料。</w:t>
            </w:r>
          </w:p>
        </w:tc>
      </w:tr>
      <w:tr w14:paraId="0C2BE7E4">
        <w:tblPrEx>
          <w:tblCellMar>
            <w:top w:w="0" w:type="dxa"/>
            <w:left w:w="28" w:type="dxa"/>
            <w:bottom w:w="0" w:type="dxa"/>
            <w:right w:w="28" w:type="dxa"/>
          </w:tblCellMar>
        </w:tblPrEx>
        <w:trPr>
          <w:trHeight w:val="824" w:hRule="atLeast"/>
          <w:jc w:val="center"/>
        </w:trPr>
        <w:tc>
          <w:tcPr>
            <w:tcW w:w="479" w:type="dxa"/>
            <w:vMerge w:val="continue"/>
            <w:tcBorders>
              <w:left w:val="single" w:color="auto" w:sz="4" w:space="0"/>
              <w:right w:val="single" w:color="auto" w:sz="4" w:space="0"/>
            </w:tcBorders>
            <w:vAlign w:val="center"/>
          </w:tcPr>
          <w:p w14:paraId="6E2704E8">
            <w:pPr>
              <w:jc w:val="center"/>
              <w:rPr>
                <w:sz w:val="18"/>
                <w:szCs w:val="18"/>
              </w:rPr>
            </w:pPr>
          </w:p>
        </w:tc>
        <w:tc>
          <w:tcPr>
            <w:tcW w:w="638" w:type="dxa"/>
            <w:vMerge w:val="continue"/>
            <w:tcBorders>
              <w:left w:val="single" w:color="auto" w:sz="4" w:space="0"/>
              <w:right w:val="single" w:color="auto" w:sz="4" w:space="0"/>
            </w:tcBorders>
            <w:vAlign w:val="center"/>
          </w:tcPr>
          <w:p w14:paraId="1AAC1C3F">
            <w:pPr>
              <w:jc w:val="center"/>
              <w:rPr>
                <w:rFonts w:ascii="仿宋_GB2312"/>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14:paraId="59624B6D">
            <w:pPr>
              <w:jc w:val="center"/>
              <w:rPr>
                <w:rFonts w:ascii="仿宋_GB2312"/>
                <w:sz w:val="15"/>
                <w:szCs w:val="15"/>
              </w:rPr>
            </w:pPr>
            <w:r>
              <w:rPr>
                <w:rFonts w:hint="eastAsia" w:ascii="仿宋_GB2312"/>
                <w:sz w:val="15"/>
                <w:szCs w:val="15"/>
              </w:rPr>
              <w:t>生态效益（2分）</w:t>
            </w:r>
          </w:p>
        </w:tc>
        <w:tc>
          <w:tcPr>
            <w:tcW w:w="569" w:type="dxa"/>
            <w:tcBorders>
              <w:top w:val="single" w:color="auto" w:sz="4" w:space="0"/>
              <w:left w:val="single" w:color="auto" w:sz="4" w:space="0"/>
              <w:bottom w:val="single" w:color="auto" w:sz="4" w:space="0"/>
            </w:tcBorders>
            <w:vAlign w:val="center"/>
          </w:tcPr>
          <w:p w14:paraId="231164BC">
            <w:pPr>
              <w:jc w:val="center"/>
              <w:rPr>
                <w:rFonts w:hint="eastAsia" w:ascii="仿宋_GB2312" w:eastAsia="仿宋_GB2312"/>
                <w:sz w:val="15"/>
                <w:szCs w:val="15"/>
                <w:lang w:val="en-US" w:eastAsia="zh-CN"/>
              </w:rPr>
            </w:pPr>
            <w:r>
              <w:rPr>
                <w:rFonts w:hint="eastAsia" w:ascii="仿宋_GB2312"/>
                <w:sz w:val="15"/>
                <w:szCs w:val="15"/>
                <w:lang w:val="en-US" w:eastAsia="zh-CN"/>
              </w:rPr>
              <w:t>2</w:t>
            </w:r>
          </w:p>
        </w:tc>
        <w:tc>
          <w:tcPr>
            <w:tcW w:w="1842" w:type="dxa"/>
            <w:tcBorders>
              <w:top w:val="single" w:color="auto" w:sz="4" w:space="0"/>
              <w:left w:val="single" w:color="auto" w:sz="4" w:space="0"/>
              <w:bottom w:val="single" w:color="auto" w:sz="4" w:space="0"/>
              <w:right w:val="single" w:color="auto" w:sz="4" w:space="0"/>
            </w:tcBorders>
            <w:vAlign w:val="center"/>
          </w:tcPr>
          <w:p w14:paraId="0102EC64">
            <w:pPr>
              <w:jc w:val="left"/>
              <w:rPr>
                <w:rFonts w:ascii="仿宋_GB2312"/>
                <w:sz w:val="15"/>
                <w:szCs w:val="15"/>
              </w:rPr>
            </w:pPr>
            <w:r>
              <w:rPr>
                <w:rFonts w:hint="eastAsia" w:ascii="仿宋_GB2312"/>
                <w:sz w:val="15"/>
                <w:szCs w:val="15"/>
              </w:rPr>
              <w:t>部门履行职责对生态环境所带来的直接或间接影响。</w:t>
            </w:r>
          </w:p>
        </w:tc>
        <w:tc>
          <w:tcPr>
            <w:tcW w:w="2977" w:type="dxa"/>
            <w:vMerge w:val="continue"/>
            <w:tcBorders>
              <w:left w:val="single" w:color="auto" w:sz="4" w:space="0"/>
              <w:bottom w:val="single" w:color="auto" w:sz="4" w:space="0"/>
              <w:right w:val="single" w:color="auto" w:sz="4" w:space="0"/>
            </w:tcBorders>
            <w:vAlign w:val="center"/>
          </w:tcPr>
          <w:p w14:paraId="2A2CFC82">
            <w:pPr>
              <w:tabs>
                <w:tab w:val="left" w:pos="2604"/>
              </w:tabs>
              <w:jc w:val="center"/>
              <w:rPr>
                <w:rFonts w:ascii="仿宋_GB2312"/>
                <w:sz w:val="15"/>
                <w:szCs w:val="15"/>
              </w:rPr>
            </w:pPr>
          </w:p>
        </w:tc>
        <w:tc>
          <w:tcPr>
            <w:tcW w:w="1496" w:type="dxa"/>
            <w:tcBorders>
              <w:top w:val="single" w:color="auto" w:sz="4" w:space="0"/>
              <w:left w:val="single" w:color="auto" w:sz="4" w:space="0"/>
              <w:bottom w:val="single" w:color="auto" w:sz="4" w:space="0"/>
              <w:right w:val="single" w:color="auto" w:sz="4" w:space="0"/>
            </w:tcBorders>
            <w:vAlign w:val="center"/>
          </w:tcPr>
          <w:p w14:paraId="42E7FE4F">
            <w:pPr>
              <w:tabs>
                <w:tab w:val="left" w:pos="2604"/>
              </w:tabs>
              <w:jc w:val="left"/>
              <w:rPr>
                <w:rFonts w:ascii="仿宋_GB2312"/>
                <w:sz w:val="15"/>
                <w:szCs w:val="15"/>
              </w:rPr>
            </w:pPr>
            <w:r>
              <w:rPr>
                <w:rFonts w:hint="eastAsia" w:ascii="仿宋_GB2312"/>
                <w:sz w:val="15"/>
                <w:szCs w:val="15"/>
              </w:rPr>
              <w:t>绩效目标、工作计划和工作总结等相关资料。</w:t>
            </w:r>
          </w:p>
        </w:tc>
      </w:tr>
      <w:tr w14:paraId="548A3911">
        <w:tblPrEx>
          <w:tblCellMar>
            <w:top w:w="0" w:type="dxa"/>
            <w:left w:w="28" w:type="dxa"/>
            <w:bottom w:w="0" w:type="dxa"/>
            <w:right w:w="28" w:type="dxa"/>
          </w:tblCellMar>
        </w:tblPrEx>
        <w:trPr>
          <w:trHeight w:val="1261" w:hRule="atLeast"/>
          <w:jc w:val="center"/>
        </w:trPr>
        <w:tc>
          <w:tcPr>
            <w:tcW w:w="479" w:type="dxa"/>
            <w:vMerge w:val="continue"/>
            <w:tcBorders>
              <w:left w:val="single" w:color="auto" w:sz="4" w:space="0"/>
              <w:bottom w:val="single" w:color="auto" w:sz="4" w:space="0"/>
              <w:right w:val="single" w:color="auto" w:sz="4" w:space="0"/>
            </w:tcBorders>
            <w:vAlign w:val="center"/>
          </w:tcPr>
          <w:p w14:paraId="3F25865E">
            <w:pPr>
              <w:jc w:val="center"/>
              <w:rPr>
                <w:sz w:val="18"/>
                <w:szCs w:val="18"/>
              </w:rPr>
            </w:pPr>
          </w:p>
        </w:tc>
        <w:tc>
          <w:tcPr>
            <w:tcW w:w="638" w:type="dxa"/>
            <w:vMerge w:val="continue"/>
            <w:tcBorders>
              <w:left w:val="single" w:color="auto" w:sz="4" w:space="0"/>
              <w:bottom w:val="single" w:color="auto" w:sz="4" w:space="0"/>
              <w:right w:val="single" w:color="auto" w:sz="4" w:space="0"/>
            </w:tcBorders>
            <w:vAlign w:val="center"/>
          </w:tcPr>
          <w:p w14:paraId="4EF0AA7F">
            <w:pPr>
              <w:jc w:val="center"/>
              <w:rPr>
                <w:rFonts w:ascii="仿宋_GB2312"/>
                <w:sz w:val="15"/>
                <w:szCs w:val="15"/>
              </w:rPr>
            </w:pP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14:paraId="361F0489">
            <w:pPr>
              <w:jc w:val="center"/>
              <w:rPr>
                <w:rFonts w:ascii="仿宋_GB2312"/>
                <w:sz w:val="15"/>
                <w:szCs w:val="15"/>
              </w:rPr>
            </w:pPr>
            <w:r>
              <w:rPr>
                <w:rFonts w:hint="eastAsia" w:ascii="仿宋_GB2312"/>
                <w:sz w:val="15"/>
                <w:szCs w:val="15"/>
              </w:rPr>
              <w:t>社会公众或服务对象满意度（5分）</w:t>
            </w:r>
          </w:p>
        </w:tc>
        <w:tc>
          <w:tcPr>
            <w:tcW w:w="569" w:type="dxa"/>
            <w:tcBorders>
              <w:top w:val="single" w:color="auto" w:sz="4" w:space="0"/>
              <w:left w:val="single" w:color="auto" w:sz="4" w:space="0"/>
              <w:bottom w:val="single" w:color="auto" w:sz="4" w:space="0"/>
            </w:tcBorders>
            <w:vAlign w:val="center"/>
          </w:tcPr>
          <w:p w14:paraId="19A20F24">
            <w:pPr>
              <w:tabs>
                <w:tab w:val="left" w:pos="2604"/>
              </w:tabs>
              <w:jc w:val="center"/>
              <w:rPr>
                <w:rFonts w:hint="eastAsia" w:ascii="仿宋_GB2312" w:eastAsia="仿宋_GB2312"/>
                <w:sz w:val="15"/>
                <w:szCs w:val="15"/>
                <w:lang w:val="en-US" w:eastAsia="zh-CN"/>
              </w:rPr>
            </w:pPr>
            <w:r>
              <w:rPr>
                <w:rFonts w:hint="eastAsia" w:ascii="仿宋_GB2312"/>
                <w:sz w:val="15"/>
                <w:szCs w:val="15"/>
                <w:lang w:val="en-US" w:eastAsia="zh-CN"/>
              </w:rPr>
              <w:t>5</w:t>
            </w:r>
          </w:p>
        </w:tc>
        <w:tc>
          <w:tcPr>
            <w:tcW w:w="1842" w:type="dxa"/>
            <w:tcBorders>
              <w:top w:val="single" w:color="auto" w:sz="4" w:space="0"/>
              <w:left w:val="single" w:color="auto" w:sz="4" w:space="0"/>
              <w:bottom w:val="single" w:color="auto" w:sz="4" w:space="0"/>
              <w:right w:val="single" w:color="auto" w:sz="4" w:space="0"/>
            </w:tcBorders>
            <w:vAlign w:val="center"/>
          </w:tcPr>
          <w:p w14:paraId="7E987458">
            <w:pPr>
              <w:tabs>
                <w:tab w:val="left" w:pos="2604"/>
              </w:tabs>
              <w:rPr>
                <w:rFonts w:ascii="仿宋_GB2312"/>
                <w:sz w:val="15"/>
                <w:szCs w:val="15"/>
              </w:rPr>
            </w:pPr>
            <w:r>
              <w:rPr>
                <w:rFonts w:hint="eastAsia" w:ascii="仿宋_GB2312"/>
                <w:sz w:val="15"/>
                <w:szCs w:val="15"/>
              </w:rPr>
              <w:t>社会公众或部门的服务对象对部门履职效果的满意程度。</w:t>
            </w:r>
          </w:p>
        </w:tc>
        <w:tc>
          <w:tcPr>
            <w:tcW w:w="2977" w:type="dxa"/>
            <w:tcBorders>
              <w:top w:val="single" w:color="auto" w:sz="4" w:space="0"/>
              <w:left w:val="single" w:color="auto" w:sz="4" w:space="0"/>
              <w:bottom w:val="single" w:color="auto" w:sz="4" w:space="0"/>
              <w:right w:val="single" w:color="auto" w:sz="4" w:space="0"/>
            </w:tcBorders>
            <w:vAlign w:val="center"/>
          </w:tcPr>
          <w:p w14:paraId="4ED5ECDC">
            <w:pPr>
              <w:rPr>
                <w:rFonts w:ascii="仿宋_GB2312"/>
                <w:sz w:val="15"/>
                <w:szCs w:val="15"/>
              </w:rPr>
            </w:pPr>
            <w:r>
              <w:rPr>
                <w:rFonts w:hint="eastAsia" w:ascii="仿宋_GB2312" w:hAnsi="宋体" w:cs="宋体"/>
                <w:kern w:val="0"/>
                <w:sz w:val="15"/>
                <w:szCs w:val="15"/>
              </w:rPr>
              <w:t>按收集到的服务对象的满意率计算得分（5分）。</w:t>
            </w:r>
          </w:p>
        </w:tc>
        <w:tc>
          <w:tcPr>
            <w:tcW w:w="1496" w:type="dxa"/>
            <w:tcBorders>
              <w:top w:val="single" w:color="auto" w:sz="4" w:space="0"/>
              <w:left w:val="single" w:color="auto" w:sz="4" w:space="0"/>
              <w:bottom w:val="single" w:color="auto" w:sz="4" w:space="0"/>
              <w:right w:val="single" w:color="auto" w:sz="4" w:space="0"/>
            </w:tcBorders>
            <w:vAlign w:val="center"/>
          </w:tcPr>
          <w:p w14:paraId="0483A091">
            <w:pPr>
              <w:jc w:val="center"/>
              <w:rPr>
                <w:rFonts w:ascii="仿宋_GB2312"/>
                <w:sz w:val="15"/>
                <w:szCs w:val="15"/>
              </w:rPr>
            </w:pPr>
            <w:r>
              <w:rPr>
                <w:rFonts w:hint="eastAsia" w:ascii="仿宋_GB2312"/>
                <w:sz w:val="15"/>
                <w:szCs w:val="15"/>
              </w:rPr>
              <w:t>问卷调查、访谈</w:t>
            </w:r>
          </w:p>
        </w:tc>
      </w:tr>
      <w:tr w14:paraId="35701E01">
        <w:tblPrEx>
          <w:tblCellMar>
            <w:top w:w="0" w:type="dxa"/>
            <w:left w:w="28" w:type="dxa"/>
            <w:bottom w:w="0" w:type="dxa"/>
            <w:right w:w="28" w:type="dxa"/>
          </w:tblCellMar>
        </w:tblPrEx>
        <w:trPr>
          <w:trHeight w:val="698" w:hRule="atLeast"/>
          <w:jc w:val="center"/>
        </w:trPr>
        <w:tc>
          <w:tcPr>
            <w:tcW w:w="1117" w:type="dxa"/>
            <w:gridSpan w:val="2"/>
            <w:tcBorders>
              <w:top w:val="single" w:color="auto" w:sz="4" w:space="0"/>
              <w:left w:val="single" w:color="auto" w:sz="4" w:space="0"/>
              <w:bottom w:val="single" w:color="auto" w:sz="4" w:space="0"/>
              <w:right w:val="single" w:color="auto" w:sz="4" w:space="0"/>
            </w:tcBorders>
            <w:vAlign w:val="center"/>
          </w:tcPr>
          <w:p w14:paraId="606D4B46">
            <w:pPr>
              <w:jc w:val="center"/>
              <w:rPr>
                <w:sz w:val="18"/>
                <w:szCs w:val="18"/>
              </w:rPr>
            </w:pPr>
            <w:r>
              <w:rPr>
                <w:rFonts w:hint="eastAsia"/>
                <w:sz w:val="18"/>
                <w:szCs w:val="18"/>
              </w:rPr>
              <w:t>合计</w:t>
            </w:r>
          </w:p>
        </w:tc>
        <w:tc>
          <w:tcPr>
            <w:tcW w:w="1173" w:type="dxa"/>
            <w:tcBorders>
              <w:top w:val="single" w:color="auto" w:sz="4" w:space="0"/>
              <w:left w:val="single" w:color="auto" w:sz="4" w:space="0"/>
              <w:bottom w:val="single" w:color="auto" w:sz="4" w:space="0"/>
            </w:tcBorders>
            <w:tcMar>
              <w:top w:w="10" w:type="dxa"/>
              <w:left w:w="10" w:type="dxa"/>
              <w:bottom w:w="0" w:type="dxa"/>
              <w:right w:w="10" w:type="dxa"/>
            </w:tcMar>
            <w:vAlign w:val="center"/>
          </w:tcPr>
          <w:p w14:paraId="0E09EA0F">
            <w:pPr>
              <w:jc w:val="center"/>
              <w:rPr>
                <w:rFonts w:ascii="仿宋_GB2312"/>
                <w:sz w:val="18"/>
                <w:szCs w:val="18"/>
              </w:rPr>
            </w:pPr>
            <w:r>
              <w:rPr>
                <w:rFonts w:hint="eastAsia" w:ascii="仿宋_GB2312"/>
                <w:sz w:val="18"/>
                <w:szCs w:val="18"/>
              </w:rPr>
              <w:t>100分</w:t>
            </w:r>
          </w:p>
        </w:tc>
        <w:tc>
          <w:tcPr>
            <w:tcW w:w="569" w:type="dxa"/>
            <w:tcBorders>
              <w:top w:val="single" w:color="auto" w:sz="4" w:space="0"/>
              <w:left w:val="single" w:color="auto" w:sz="4" w:space="0"/>
              <w:bottom w:val="single" w:color="auto" w:sz="4" w:space="0"/>
            </w:tcBorders>
            <w:vAlign w:val="center"/>
          </w:tcPr>
          <w:p w14:paraId="77AD53D3">
            <w:pPr>
              <w:jc w:val="center"/>
              <w:rPr>
                <w:rFonts w:hint="default" w:ascii="仿宋_GB2312" w:eastAsia="仿宋_GB2312"/>
                <w:sz w:val="18"/>
                <w:szCs w:val="18"/>
                <w:lang w:val="en-US" w:eastAsia="zh-CN"/>
              </w:rPr>
            </w:pPr>
            <w:r>
              <w:rPr>
                <w:rFonts w:hint="eastAsia" w:ascii="仿宋_GB2312"/>
                <w:sz w:val="18"/>
                <w:szCs w:val="18"/>
                <w:lang w:val="en-US" w:eastAsia="zh-CN"/>
              </w:rPr>
              <w:t>97</w:t>
            </w:r>
          </w:p>
        </w:tc>
        <w:tc>
          <w:tcPr>
            <w:tcW w:w="6315" w:type="dxa"/>
            <w:gridSpan w:val="3"/>
            <w:tcBorders>
              <w:top w:val="single" w:color="auto" w:sz="4" w:space="0"/>
              <w:left w:val="single" w:color="auto" w:sz="4" w:space="0"/>
              <w:bottom w:val="single" w:color="auto" w:sz="4" w:space="0"/>
              <w:right w:val="single" w:color="auto" w:sz="4" w:space="0"/>
            </w:tcBorders>
            <w:vAlign w:val="center"/>
          </w:tcPr>
          <w:p w14:paraId="19735B5D">
            <w:pPr>
              <w:jc w:val="left"/>
              <w:rPr>
                <w:rFonts w:ascii="仿宋_GB2312"/>
                <w:sz w:val="18"/>
                <w:szCs w:val="18"/>
              </w:rPr>
            </w:pPr>
            <w:r>
              <w:rPr>
                <w:rFonts w:hint="eastAsia" w:ascii="仿宋_GB2312"/>
                <w:sz w:val="18"/>
                <w:szCs w:val="18"/>
              </w:rPr>
              <w:t>评价等次：实际得分（S）≥90,优秀；90＞S≥80,良好；80＞S≥60,合格；S＜60，不合格。</w:t>
            </w:r>
          </w:p>
        </w:tc>
      </w:tr>
    </w:tbl>
    <w:p w14:paraId="37106FA9">
      <w:pPr>
        <w:pStyle w:val="2"/>
        <w:ind w:left="0" w:leftChars="0" w:firstLine="0" w:firstLineChars="0"/>
        <w:rPr>
          <w:rFonts w:hint="eastAsia" w:eastAsia="仿宋_GB2312"/>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53326">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E4B7D7F">
                <w:pPr>
                  <w:pStyle w:val="4"/>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B0FFF2"/>
    <w:multiLevelType w:val="singleLevel"/>
    <w:tmpl w:val="ADB0FFF2"/>
    <w:lvl w:ilvl="0" w:tentative="0">
      <w:start w:val="1"/>
      <w:numFmt w:val="decimal"/>
      <w:suff w:val="nothing"/>
      <w:lvlText w:val="（%1）"/>
      <w:lvlJc w:val="left"/>
    </w:lvl>
  </w:abstractNum>
  <w:abstractNum w:abstractNumId="1">
    <w:nsid w:val="DE5EE2B5"/>
    <w:multiLevelType w:val="singleLevel"/>
    <w:tmpl w:val="DE5EE2B5"/>
    <w:lvl w:ilvl="0" w:tentative="0">
      <w:start w:val="5"/>
      <w:numFmt w:val="chineseCounting"/>
      <w:suff w:val="nothing"/>
      <w:lvlText w:val="（%1）"/>
      <w:lvlJc w:val="left"/>
      <w:rPr>
        <w:rFonts w:hint="eastAsia"/>
      </w:rPr>
    </w:lvl>
  </w:abstractNum>
  <w:abstractNum w:abstractNumId="2">
    <w:nsid w:val="F31C7148"/>
    <w:multiLevelType w:val="singleLevel"/>
    <w:tmpl w:val="F31C7148"/>
    <w:lvl w:ilvl="0" w:tentative="0">
      <w:start w:val="2"/>
      <w:numFmt w:val="decimal"/>
      <w:suff w:val="nothing"/>
      <w:lvlText w:val="（%1）"/>
      <w:lvlJc w:val="left"/>
    </w:lvl>
  </w:abstractNum>
  <w:abstractNum w:abstractNumId="3">
    <w:nsid w:val="797B50D4"/>
    <w:multiLevelType w:val="singleLevel"/>
    <w:tmpl w:val="797B50D4"/>
    <w:lvl w:ilvl="0" w:tentative="0">
      <w:start w:val="1"/>
      <w:numFmt w:val="lowerLetter"/>
      <w:suff w:val="nothing"/>
      <w:lvlText w:val="（%1）"/>
      <w:lvlJc w:val="left"/>
    </w:lvl>
  </w:abstractNum>
  <w:abstractNum w:abstractNumId="4">
    <w:nsid w:val="7DC10357"/>
    <w:multiLevelType w:val="singleLevel"/>
    <w:tmpl w:val="7DC10357"/>
    <w:lvl w:ilvl="0" w:tentative="0">
      <w:start w:val="5"/>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B60F8E"/>
    <w:rsid w:val="000B6A4C"/>
    <w:rsid w:val="000E01B9"/>
    <w:rsid w:val="00112B1C"/>
    <w:rsid w:val="001411B7"/>
    <w:rsid w:val="00165CDE"/>
    <w:rsid w:val="002827B9"/>
    <w:rsid w:val="002919C4"/>
    <w:rsid w:val="0032728D"/>
    <w:rsid w:val="0033313D"/>
    <w:rsid w:val="004336BC"/>
    <w:rsid w:val="004852DB"/>
    <w:rsid w:val="004D77ED"/>
    <w:rsid w:val="004F2643"/>
    <w:rsid w:val="005610A2"/>
    <w:rsid w:val="005B6DCE"/>
    <w:rsid w:val="005D1E83"/>
    <w:rsid w:val="00601021"/>
    <w:rsid w:val="0068776A"/>
    <w:rsid w:val="0077779E"/>
    <w:rsid w:val="007B3AE3"/>
    <w:rsid w:val="007F48E3"/>
    <w:rsid w:val="008200F2"/>
    <w:rsid w:val="00820F8E"/>
    <w:rsid w:val="0083370E"/>
    <w:rsid w:val="00864CBE"/>
    <w:rsid w:val="008B78CE"/>
    <w:rsid w:val="008C6210"/>
    <w:rsid w:val="008F25B0"/>
    <w:rsid w:val="0090046A"/>
    <w:rsid w:val="00910DC6"/>
    <w:rsid w:val="00974162"/>
    <w:rsid w:val="0097453A"/>
    <w:rsid w:val="00994DB7"/>
    <w:rsid w:val="009B21DE"/>
    <w:rsid w:val="00A530A7"/>
    <w:rsid w:val="00A730D7"/>
    <w:rsid w:val="00AB5795"/>
    <w:rsid w:val="00B5184D"/>
    <w:rsid w:val="00B60F8E"/>
    <w:rsid w:val="00B830BE"/>
    <w:rsid w:val="00B85AAB"/>
    <w:rsid w:val="00C46C7B"/>
    <w:rsid w:val="00C51F0B"/>
    <w:rsid w:val="00CC57AD"/>
    <w:rsid w:val="00D1430D"/>
    <w:rsid w:val="00D5493D"/>
    <w:rsid w:val="00D61E73"/>
    <w:rsid w:val="00D76693"/>
    <w:rsid w:val="00D877AD"/>
    <w:rsid w:val="00E20514"/>
    <w:rsid w:val="00E270B3"/>
    <w:rsid w:val="00F07C45"/>
    <w:rsid w:val="00F55244"/>
    <w:rsid w:val="00FB219A"/>
    <w:rsid w:val="00FD59B9"/>
    <w:rsid w:val="034D31FE"/>
    <w:rsid w:val="058831F0"/>
    <w:rsid w:val="0C411678"/>
    <w:rsid w:val="0D7D36BF"/>
    <w:rsid w:val="0DD15D41"/>
    <w:rsid w:val="12CA5959"/>
    <w:rsid w:val="147D4CCE"/>
    <w:rsid w:val="15367F44"/>
    <w:rsid w:val="188F5243"/>
    <w:rsid w:val="198B5C9B"/>
    <w:rsid w:val="19991781"/>
    <w:rsid w:val="1AB10FBD"/>
    <w:rsid w:val="22396BBD"/>
    <w:rsid w:val="23AF376B"/>
    <w:rsid w:val="254D496C"/>
    <w:rsid w:val="26A10758"/>
    <w:rsid w:val="297D2487"/>
    <w:rsid w:val="2A881520"/>
    <w:rsid w:val="2B26073A"/>
    <w:rsid w:val="2B576CF3"/>
    <w:rsid w:val="2B5F5858"/>
    <w:rsid w:val="2BA954A7"/>
    <w:rsid w:val="2BBF0D34"/>
    <w:rsid w:val="2DA21B35"/>
    <w:rsid w:val="2F0B3E01"/>
    <w:rsid w:val="30DD128C"/>
    <w:rsid w:val="310F5582"/>
    <w:rsid w:val="32DB1CD8"/>
    <w:rsid w:val="32F67B28"/>
    <w:rsid w:val="333654B0"/>
    <w:rsid w:val="3795366E"/>
    <w:rsid w:val="3AD539BD"/>
    <w:rsid w:val="3BB85B48"/>
    <w:rsid w:val="3C3F0A3E"/>
    <w:rsid w:val="413012D6"/>
    <w:rsid w:val="41FE2441"/>
    <w:rsid w:val="427123F8"/>
    <w:rsid w:val="461E16C1"/>
    <w:rsid w:val="49E35D6F"/>
    <w:rsid w:val="4BD12393"/>
    <w:rsid w:val="4F3F269D"/>
    <w:rsid w:val="4F61301C"/>
    <w:rsid w:val="51AF2B9C"/>
    <w:rsid w:val="51B7486D"/>
    <w:rsid w:val="52085620"/>
    <w:rsid w:val="526D7B51"/>
    <w:rsid w:val="54294142"/>
    <w:rsid w:val="54CA7BC1"/>
    <w:rsid w:val="56475176"/>
    <w:rsid w:val="567505F7"/>
    <w:rsid w:val="56DD6BDC"/>
    <w:rsid w:val="57B3204F"/>
    <w:rsid w:val="58F11430"/>
    <w:rsid w:val="590B2FB4"/>
    <w:rsid w:val="5A2E5845"/>
    <w:rsid w:val="5A5E1378"/>
    <w:rsid w:val="5A896C45"/>
    <w:rsid w:val="5A981517"/>
    <w:rsid w:val="5B887FE2"/>
    <w:rsid w:val="5D1B77D7"/>
    <w:rsid w:val="5E1C1486"/>
    <w:rsid w:val="5EA463EE"/>
    <w:rsid w:val="5F347E7D"/>
    <w:rsid w:val="60876858"/>
    <w:rsid w:val="616557AA"/>
    <w:rsid w:val="620960E5"/>
    <w:rsid w:val="626B7C94"/>
    <w:rsid w:val="63767CCE"/>
    <w:rsid w:val="6387172B"/>
    <w:rsid w:val="647A1427"/>
    <w:rsid w:val="65377BAA"/>
    <w:rsid w:val="65B67F71"/>
    <w:rsid w:val="65C24F4D"/>
    <w:rsid w:val="667D1A12"/>
    <w:rsid w:val="690F281C"/>
    <w:rsid w:val="6B7D234B"/>
    <w:rsid w:val="6D2D15AC"/>
    <w:rsid w:val="719F7842"/>
    <w:rsid w:val="730C1378"/>
    <w:rsid w:val="77244884"/>
    <w:rsid w:val="790C235E"/>
    <w:rsid w:val="7A0B0214"/>
    <w:rsid w:val="7C8808CB"/>
    <w:rsid w:val="7CE95BCF"/>
    <w:rsid w:val="7CF33DAD"/>
    <w:rsid w:val="7CF84D78"/>
    <w:rsid w:val="7DC467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正文缩进1"/>
    <w:basedOn w:val="1"/>
    <w:qFormat/>
    <w:uiPriority w:val="0"/>
    <w:pPr>
      <w:ind w:firstLine="420" w:firstLineChars="200"/>
    </w:pPr>
  </w:style>
  <w:style w:type="paragraph" w:styleId="3">
    <w:name w:val="index 5"/>
    <w:basedOn w:val="1"/>
    <w:next w:val="1"/>
    <w:unhideWhenUsed/>
    <w:qFormat/>
    <w:uiPriority w:val="99"/>
    <w:pPr>
      <w:ind w:left="800" w:leftChars="800"/>
    </w:pPr>
    <w:rPr>
      <w:rFonts w:hint="eastAsia"/>
      <w:sz w:val="21"/>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next w:val="3"/>
    <w:qFormat/>
    <w:uiPriority w:val="0"/>
    <w:rPr>
      <w:sz w:val="24"/>
    </w:rPr>
  </w:style>
  <w:style w:type="paragraph" w:customStyle="1" w:styleId="9">
    <w:name w:val="列出段落1"/>
    <w:basedOn w:val="1"/>
    <w:qFormat/>
    <w:uiPriority w:val="0"/>
    <w:pPr>
      <w:ind w:firstLine="420" w:firstLineChars="200"/>
    </w:pPr>
    <w:rPr>
      <w:rFonts w:ascii="Calibri" w:hAnsi="Calibri" w:eastAsia="宋体" w:cs="Calibri"/>
      <w:sz w:val="21"/>
      <w:szCs w:val="21"/>
    </w:rPr>
  </w:style>
  <w:style w:type="character" w:customStyle="1" w:styleId="10">
    <w:name w:val="页眉 Char"/>
    <w:basedOn w:val="8"/>
    <w:link w:val="5"/>
    <w:semiHidden/>
    <w:qFormat/>
    <w:uiPriority w:val="99"/>
    <w:rPr>
      <w:rFonts w:eastAsia="仿宋_GB2312"/>
      <w:kern w:val="2"/>
      <w:sz w:val="18"/>
      <w:szCs w:val="18"/>
    </w:rPr>
  </w:style>
  <w:style w:type="character" w:customStyle="1" w:styleId="11">
    <w:name w:val="页脚 Char"/>
    <w:basedOn w:val="8"/>
    <w:link w:val="4"/>
    <w:semiHidden/>
    <w:qFormat/>
    <w:uiPriority w:val="99"/>
    <w:rPr>
      <w:rFonts w:eastAsia="仿宋_GB2312"/>
      <w:kern w:val="2"/>
      <w:sz w:val="18"/>
      <w:szCs w:val="18"/>
    </w:rPr>
  </w:style>
  <w:style w:type="paragraph" w:customStyle="1" w:styleId="12">
    <w:name w:val="List Paragraph1"/>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24</Pages>
  <Words>12781</Words>
  <Characters>14196</Characters>
  <Lines>25</Lines>
  <Paragraphs>7</Paragraphs>
  <TotalTime>6</TotalTime>
  <ScaleCrop>false</ScaleCrop>
  <LinksUpToDate>false</LinksUpToDate>
  <CharactersWithSpaces>14261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2019-04-24T07:39:00Z</dcterms:created>
  <dc:creator>张子明</dc:creator>
  <cp:lastModifiedBy>momo</cp:lastModifiedBy>
  <dcterms:modified xsi:type="dcterms:W3CDTF">2025-08-14T08:53:15Z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eyJoZGlkIjoiNzQ4ZTZhZDMyNTkwZmUxMTJhMzgzZDEzMWZlM2U4MjYiLCJ1c2VySWQiOiIxMDg0Njk1MDExIn0=</vt:lpwstr>
  </property>
  <property fmtid="{D5CDD505-2E9C-101B-9397-08002B2CF9AE}" pid="4" name="ICV">
    <vt:lpwstr>BA32B43DAF7B4B95A86A5D91C54D4871_12</vt:lpwstr>
  </property>
</Properties>
</file>