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1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hanging="440" w:hangingChars="1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云南富民产业园区公共租赁住房租金价格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拟调整方案</w:t>
      </w:r>
    </w:p>
    <w:p w14:paraId="5F77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cs="Times New Roman"/>
          <w:szCs w:val="32"/>
        </w:rPr>
      </w:pPr>
    </w:p>
    <w:p w14:paraId="151DB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为适应园区公共租赁住房运营和维护需求，增强公共租赁住房租金政策对公共租赁住房可持续发展的支撑能力，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《昆明市发展和改革委员会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昆明市住房和城乡建设局 昆明市财政局关于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&lt;昆明市市级公共租赁住房租金价格管理机制&gt;的通知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》（昆发改价格</w:t>
      </w:r>
      <w:r>
        <w:rPr>
          <w:rFonts w:hint="default" w:ascii="Times New Roman" w:hAnsi="Times New Roman" w:cs="Times New Roman"/>
        </w:rPr>
        <w:t>〔20</w:t>
      </w:r>
      <w:r>
        <w:rPr>
          <w:rFonts w:hint="default" w:ascii="Times New Roman" w:hAnsi="Times New Roman" w:cs="Times New Roman"/>
          <w:lang w:val="en-US" w:eastAsia="zh-CN"/>
        </w:rPr>
        <w:t>25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397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要求，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县发展改革局会同县住房城乡建设局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在履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行政府制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定价格程序的基础上，拟调整云南富民产业园区公共租赁住房租金价格。</w:t>
      </w:r>
    </w:p>
    <w:p w14:paraId="223B1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调整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范围</w:t>
      </w:r>
    </w:p>
    <w:p w14:paraId="408A1D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eastAsia="zh-CN"/>
        </w:rPr>
        <w:t>富民工业园区国有资产管理有限公司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管理的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eastAsia="zh-CN"/>
        </w:rPr>
        <w:t>大营公租房、哨箐公租房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</w:rPr>
        <w:t>14幢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公共租赁住房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5DEF7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二、拟调整价格</w:t>
      </w:r>
    </w:p>
    <w:p w14:paraId="55C817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一室一厅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一厨一卫</w:t>
      </w:r>
      <w:r>
        <w:rPr>
          <w:rFonts w:hint="eastAsia" w:cs="Times New Roman"/>
          <w:b w:val="0"/>
          <w:bCs w:val="0"/>
          <w:lang w:val="en-US" w:eastAsia="zh-CN"/>
        </w:rPr>
        <w:t>和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一室一厨一卫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租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金标准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3.5元/平方米/月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调整为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4元/平方米/月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123EDA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两室一厅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一厨一卫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租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金标准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4.2元/平方米/月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调整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为4.6元/平方米/月。</w:t>
      </w:r>
    </w:p>
    <w:p w14:paraId="36428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三、其他事项</w:t>
      </w:r>
    </w:p>
    <w:p w14:paraId="635A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（一）公共租赁住房租金不包括承租人租赁期间实际发生的水、电、气、通信、电视、物业服务、垃圾清运等费用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。</w:t>
      </w:r>
    </w:p>
    <w:p w14:paraId="34D2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）此次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调整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收费执行时间自印发之日起施行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（方案印发之日租赁合同</w:t>
      </w:r>
      <w:r>
        <w:rPr>
          <w:rFonts w:hint="eastAsia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未到期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的按原</w:t>
      </w:r>
      <w:r>
        <w:rPr>
          <w:rFonts w:hint="eastAsia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价格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执行）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B12D1"/>
    <w:rsid w:val="041B12D1"/>
    <w:rsid w:val="05BF1B7D"/>
    <w:rsid w:val="2B51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云南分公司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2025-09-23T00:24:00Z</dcterms:created>
  <dc:creator>jgk</dc:creator>
  <cp:lastModifiedBy>jgk</cp:lastModifiedBy>
  <cp:lastPrinted>2025-09-23T01:05:42Z</cp:lastPrinted>
  <dcterms:modified xsi:type="dcterms:W3CDTF">2025-09-23T02:32:34Z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3E5F4E1891F94C0D816878EC68473E7B_11</vt:lpwstr>
  </property>
  <property fmtid="{D5CDD505-2E9C-101B-9397-08002B2CF9AE}" pid="4" name="KSOTemplateDocerSaveRecord">
    <vt:lpwstr>eyJoZGlkIjoiYjk1NGI3NGYyNjQ1ZGEwZDE1YWNmZTFjMDg1Yjc0MTgiLCJ1c2VySWQiOiIxNTM2MjQzMDAzIn0=</vt:lpwstr>
  </property>
</Properties>
</file>