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477010" cy="1477010"/>
            <wp:effectExtent l="0" t="0" r="8890" b="8890"/>
            <wp:docPr id="1" name="图片 1" descr="LOG(红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(红色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方正大标宋简体" w:cs="Times New Roman"/>
          <w:color w:val="FF9900"/>
          <w:spacing w:val="40"/>
          <w:sz w:val="72"/>
          <w:szCs w:val="72"/>
        </w:rPr>
      </w:pPr>
      <w:r>
        <w:rPr>
          <w:rFonts w:hint="default" w:ascii="Times New Roman" w:hAnsi="Times New Roman" w:eastAsia="方正大标宋简体" w:cs="Times New Roman"/>
          <w:color w:val="FF9900"/>
          <w:spacing w:val="40"/>
          <w:sz w:val="72"/>
          <w:szCs w:val="72"/>
        </w:rPr>
        <w:t>富民县审计局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pacing w:val="8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100965</wp:posOffset>
                </wp:positionV>
                <wp:extent cx="7552055" cy="1188720"/>
                <wp:effectExtent l="0" t="0" r="10795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055" cy="118872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9.85pt;margin-top:7.95pt;height:93.6pt;width:594.65pt;z-index:-251658240;mso-width-relative:page;mso-height-relative:page;" fillcolor="#000080" filled="t" stroked="f" coordsize="21600,21600" o:gfxdata="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Hng+QfbAAAADAEAAA8AAAAAAAAAAQAgAAAAOAAAAGRycy9kb3du&#10;cmV2LnhtbFBLAQIUABQAAAAIAIdO4kAd0PLXrQEAADgDAAAOAAAAAAAAAAEAIAAAAEA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方正小标宋简体" w:cs="Times New Roman"/>
          <w:color w:val="FFFFFF"/>
          <w:spacing w:val="80"/>
          <w:sz w:val="120"/>
          <w:szCs w:val="120"/>
        </w:rPr>
      </w:pPr>
      <w:r>
        <w:rPr>
          <w:rFonts w:hint="default" w:ascii="Times New Roman" w:hAnsi="Times New Roman" w:eastAsia="方正小标宋简体" w:cs="Times New Roman"/>
          <w:color w:val="FFFFFF"/>
          <w:spacing w:val="80"/>
          <w:sz w:val="120"/>
          <w:szCs w:val="120"/>
        </w:rPr>
        <w:t>审计结果公告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FUMIN XIAN SHENJIJU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SHENJI JIEGUO GONGGAO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</w:rPr>
        <w:t>年第</w:t>
      </w:r>
      <w:r>
        <w:rPr>
          <w:rFonts w:hint="eastAsia" w:eastAsia="黑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6"/>
          <w:szCs w:val="36"/>
        </w:rPr>
        <w:t>号（总第</w:t>
      </w:r>
      <w:r>
        <w:rPr>
          <w:rFonts w:hint="eastAsia" w:eastAsia="黑体" w:cs="Times New Roman"/>
          <w:sz w:val="36"/>
          <w:szCs w:val="36"/>
          <w:lang w:val="en-US" w:eastAsia="zh-CN"/>
        </w:rPr>
        <w:t>217</w:t>
      </w:r>
      <w:r>
        <w:rPr>
          <w:rFonts w:hint="default" w:ascii="Times New Roman" w:hAnsi="Times New Roman" w:eastAsia="黑体" w:cs="Times New Roman"/>
          <w:sz w:val="36"/>
          <w:szCs w:val="36"/>
        </w:rPr>
        <w:t>号）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黑体" w:cs="Times New Roman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6"/>
          <w:szCs w:val="36"/>
        </w:rPr>
        <w:t>富民县审计局办公室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type w:val="continuous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righ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号）（总第</w:t>
      </w:r>
      <w:r>
        <w:rPr>
          <w:rFonts w:hint="eastAsia" w:eastAsia="黑体" w:cs="Times New Roman"/>
          <w:sz w:val="32"/>
          <w:szCs w:val="32"/>
          <w:lang w:val="en-US" w:eastAsia="zh-CN"/>
        </w:rPr>
        <w:t>217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号）  </w:t>
      </w:r>
      <w:r>
        <w:rPr>
          <w:rFonts w:hint="default" w:ascii="Times New Roman" w:hAnsi="Times New Roman" w:eastAsia="黑体" w:cs="Times New Roman"/>
          <w:sz w:val="52"/>
          <w:szCs w:val="52"/>
        </w:rPr>
        <w:t xml:space="preserve"> 目 录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ind w:left="2100" w:firstLine="420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        （二〇二</w:t>
      </w:r>
      <w:r>
        <w:rPr>
          <w:rFonts w:hint="eastAsia" w:eastAsia="黑体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0"/>
          <w:szCs w:val="30"/>
        </w:rPr>
        <w:t>年</w:t>
      </w:r>
      <w:r>
        <w:rPr>
          <w:rFonts w:hint="eastAsia" w:eastAsia="黑体" w:cs="Times New Roman"/>
          <w:sz w:val="30"/>
          <w:szCs w:val="30"/>
          <w:lang w:eastAsia="zh-CN"/>
        </w:rPr>
        <w:t>十二</w:t>
      </w:r>
      <w:r>
        <w:rPr>
          <w:rFonts w:hint="default" w:ascii="Times New Roman" w:hAnsi="Times New Roman" w:eastAsia="黑体" w:cs="Times New Roman"/>
          <w:sz w:val="30"/>
          <w:szCs w:val="30"/>
        </w:rPr>
        <w:t>月</w:t>
      </w:r>
      <w:r>
        <w:rPr>
          <w:rFonts w:hint="eastAsia" w:eastAsia="黑体" w:cs="Times New Roman"/>
          <w:sz w:val="30"/>
          <w:szCs w:val="30"/>
          <w:lang w:eastAsia="zh-CN"/>
        </w:rPr>
        <w:t>三十</w:t>
      </w:r>
      <w:r>
        <w:rPr>
          <w:rFonts w:hint="default" w:ascii="Times New Roman" w:hAnsi="Times New Roman" w:eastAsia="黑体" w:cs="Times New Roman"/>
          <w:sz w:val="30"/>
          <w:szCs w:val="30"/>
        </w:rPr>
        <w:t>日公告）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1270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41pt;z-index:251659264;mso-width-relative:page;mso-height-relative:page;" filled="f" stroked="t" coordsize="21600,21600" o:gfxdata="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IPC/70wAAAAYBAAAPAAAAAAAAAAEAIAAAADgAAABkcnMvZG93bnJldi54bWxQSwECFAAUAAAA&#10;CACHTuJA35cESt0BAAClAwAADgAAAAAAAAABACAAAAA4AQAAZHJzL2Uyb0RvYy54bWxQSwUGAAAA&#10;AAYABgBZAQAAh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</w:pPr>
    </w:p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13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left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中国共产党富民县委员会组织部2024年度预算执行和其他财政财务收支及决算草案编制情况审计</w:t>
      </w:r>
    </w:p>
    <w:p>
      <w:pPr>
        <w:pStyle w:val="1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1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1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cs="Times New Roma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主办单位：富民县审计局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通讯地址：富民县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黎昌路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邮政编码：650400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电话号码：0871-68811066</w:t>
      </w:r>
    </w:p>
    <w:p>
      <w:pPr>
        <w:pStyle w:val="1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outlineLvl w:val="9"/>
        <w:rPr>
          <w:rFonts w:hint="eastAsia" w:eastAsia="方正小标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中国共产党富民县委员会组织部2024年度预算执行和其他财政财务收支及决算草案编制情况审计</w:t>
      </w:r>
      <w:r>
        <w:rPr>
          <w:rFonts w:hint="eastAsia" w:eastAsia="方正小标宋简体" w:cs="Times New Roman"/>
          <w:color w:val="000000"/>
          <w:kern w:val="0"/>
          <w:sz w:val="32"/>
          <w:szCs w:val="32"/>
          <w:lang w:val="en-US" w:eastAsia="zh-CN"/>
        </w:rPr>
        <w:t>结果公告</w:t>
      </w:r>
    </w:p>
    <w:p>
      <w:pPr>
        <w:pStyle w:val="2"/>
        <w:rPr>
          <w:rFonts w:hint="default"/>
          <w:lang w:val="zh-CN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根据《中华人民共和国审计法》第十八条的规定，富民县审计局派出审计组，自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日，对中国共产党富民县委员会组织部（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以下简称：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县委组织部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）20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年度预算执行和其他财政财务收支及决算草案编制情况进行了审计，</w:t>
      </w:r>
      <w:r>
        <w:rPr>
          <w:rFonts w:hint="eastAsia" w:eastAsia="仿宋_GB2312" w:cs="Times New Roman"/>
          <w:sz w:val="32"/>
          <w:szCs w:val="32"/>
          <w:lang w:val="zh-CN" w:eastAsia="zh-CN"/>
        </w:rPr>
        <w:t>现将审计结果公告如下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一）组织机构情况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县委组织部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核定编制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30名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，其中：行政编制14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参公编制6名，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事业编制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8名，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工勤人员编制2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共设置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个内设机构，包括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室、组织科、干部科、干部监督科、公务员管理科、人才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科。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属单位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个，分别是：富民县老干部活动中心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中共富民县委组织部党员教育中心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富民县组织工作信息档案中心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。截止2024年12月，实有在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职人员28人，其中：行政人员13人，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参公编制人员6人，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事业人员7人，工勤人员2人。退休人员13人，车辆编制2辆，实有车辆2辆。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1"/>
        <w:rPr>
          <w:rFonts w:hint="default" w:ascii="方正楷体_GBK" w:hAnsi="方正楷体_GBK" w:eastAsia="方正楷体_GBK" w:cs="方正楷体_GBK"/>
          <w:sz w:val="32"/>
          <w:szCs w:val="32"/>
          <w:lang w:val="zh-CN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zh-CN" w:eastAsia="zh-CN"/>
        </w:rPr>
        <w:t>（二）部门预决算情况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富民县财政局下达县委组织部2024年度预算总额为3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492.40万元，其中：年初批复预算3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931.87万元，调减预算439.47万元。决算报表反映，2024年部门总收入3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492.40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元，总支出3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462.39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元；年初结转和结余0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元，年末结转结余30.01万元。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/>
        <w:jc w:val="both"/>
        <w:textAlignment w:val="auto"/>
        <w:outlineLvl w:val="1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（三）部门资产负债情况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2024年度报表反映，县委组织部期末资产合计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160.70万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元、负债合计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104.74万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元、净资产合计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55.96万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1"/>
        <w:rPr>
          <w:rFonts w:hint="default" w:ascii="方正楷体_GBK" w:hAnsi="方正楷体_GBK" w:eastAsia="方正楷体_GBK" w:cs="方正楷体_GBK"/>
          <w:sz w:val="32"/>
          <w:szCs w:val="32"/>
          <w:lang w:val="zh-CN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zh-CN" w:eastAsia="zh-CN"/>
        </w:rPr>
        <w:t>（四）部门绩效管理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委组织部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年已按要求开展项目绩效目标的编制、审核、申报、批复、结果反馈和运用工作，预算项目绩效目标设定依据充分、完整、科学、可衡量，项目绩效目标评价标准合理，绩效自评与实际相符。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（五）内控制度建设情况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县委组织部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制定了《中共富民县委组织部财务管理暂行办法》、《富民县委组织部“三重一大”事项集体决策制度》、《富民县委组织部差旅费报销制度》等多项内部控制制度，对单位的正常运转提供了制度保障。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2"/>
        <w:rPr>
          <w:rFonts w:hint="default" w:ascii="方正楷体_GBK" w:hAnsi="方正楷体_GBK" w:eastAsia="方正楷体_GBK" w:cs="方正楷体_GBK"/>
          <w:sz w:val="32"/>
          <w:szCs w:val="32"/>
          <w:lang w:val="zh-C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 w:eastAsia="zh-CN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zh-CN" w:eastAsia="zh-CN"/>
        </w:rPr>
        <w:t>六）以前年度审计查出问题整改情况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经核实，近年来县审计局未对县委组织部进行过审计，不涉及需要整改的问题事项。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1"/>
        <w:rPr>
          <w:rFonts w:hint="default" w:ascii="方正楷体_GBK" w:hAnsi="方正楷体_GBK" w:eastAsia="方正楷体_GBK" w:cs="方正楷体_GBK"/>
          <w:sz w:val="32"/>
          <w:szCs w:val="32"/>
          <w:lang w:val="zh-C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 w:eastAsia="zh-CN"/>
        </w:rPr>
        <w:t>（七）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zh-CN" w:eastAsia="zh-CN"/>
        </w:rPr>
        <w:t>其他需要审计的内容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经核实，县委组织部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不涉及优化营商环境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及拖欠企业账款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相关工作事项。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20"/>
        </w:rPr>
        <w:t>二、审计评价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审计结果表明，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县委组织部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 w:bidi="ar-SA"/>
        </w:rPr>
        <w:t>结合部门职能职责和主要工作编列预算，按决算编报的规定编制本级决算，决算数据与本年度的会计报表数据一致，各类决算报表的收支数额真实、准确，规范了预算和财务管理工作，建立了内控制度；按要求对项目进行绩效评价，项目基本实现预期目标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但审计发现，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县委组织部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在预算编制和执行方面：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存在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多报销伙食费320元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的问题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；在国有资产管理方面：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存在未经审批处置资产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的问题；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zh-CN" w:eastAsia="zh-CN" w:bidi="ar-SA"/>
        </w:rPr>
        <w:t>内控制度建设及执行方面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公务出差先出差后审批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、原始凭证审核把关不严的问题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zh-CN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5"/>
        <w:textAlignment w:val="auto"/>
        <w:rPr>
          <w:rFonts w:hint="default"/>
          <w:lang w:val="en-US" w:eastAsia="zh-CN"/>
        </w:rPr>
      </w:pPr>
      <w:r>
        <w:rPr>
          <w:rFonts w:hint="eastAsia" w:ascii="黑体" w:hAnsi="宋体" w:eastAsia="黑体" w:cs="黑体"/>
          <w:sz w:val="31"/>
          <w:szCs w:val="31"/>
        </w:rPr>
        <w:t>二、审计发现的主要问题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1.多报销伙食费320元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.未经审批处置资产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.公务出差先出差后审批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.原始凭证审核把关不严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1"/>
          <w:szCs w:val="31"/>
          <w:lang w:val="en-US" w:eastAsia="zh-CN" w:bidi="ar"/>
        </w:rPr>
        <w:t>三、审计处理处罚情况及建议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ESI楷体-GB2312" w:hAnsi="CESI楷体-GB2312" w:eastAsia="CESI楷体-GB2312" w:cs="CESI楷体-GB2312"/>
          <w:kern w:val="0"/>
          <w:sz w:val="31"/>
          <w:szCs w:val="31"/>
          <w:lang w:val="en-US" w:eastAsia="zh-CN" w:bidi="ar"/>
        </w:rPr>
        <w:t>（一）审计处理处罚情况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责令县委组织部收回多报销伙食费320元并做收缴省级财政处理。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责令县委组织部今后处置资产，应严格履行审批手续，杜绝此类问题再次发生。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责令县委组织部应规范公务出差审批流程，实行先审批后出差，杜绝此类问题再次发生。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责令县委组织部应严格审核费用报销单据、按照国家统一的会计制度相关规定规范会计核算，杜绝此类问题再次发生。</w:t>
      </w: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（二）审计建议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县委组织部应加强财务管理，严格遵守国家会计法规及核算制度，规范会计核算、费用支出审批手续。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县委组织部应加强固定资产管理，严格履行审批程序。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四、审计发现问题的整改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1.已退回多报销的费用并上缴国库。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2.已补齐相关的资产审批手续。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3.已严格执行公务出差相关规定。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4.已严格审核原始凭证。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Fonts w:hint="eastAsia" w:ascii="宋体" w:hAnsi="宋体"/>
        <w:sz w:val="28"/>
      </w:rPr>
      <w:fldChar w:fldCharType="begin"/>
    </w:r>
    <w:r>
      <w:rPr>
        <w:rStyle w:val="12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12"/>
        <w:rFonts w:ascii="宋体" w:hAnsi="宋体"/>
        <w:sz w:val="28"/>
      </w:rPr>
      <w:t>- 1 -</w:t>
    </w:r>
    <w:r>
      <w:rPr>
        <w:rFonts w:hint="eastAsia" w:ascii="宋体" w:hAnsi="宋体"/>
        <w:sz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Align="outside" w:yAlign="center"/>
      <w:rPr>
        <w:rStyle w:val="12"/>
        <w:rFonts w:hint="eastAsia" w:ascii="宋体" w:hAnsi="宋体"/>
        <w:sz w:val="28"/>
        <w:szCs w:val="28"/>
      </w:rPr>
    </w:pPr>
  </w:p>
  <w:p>
    <w:pPr>
      <w:pStyle w:val="5"/>
      <w:ind w:right="360"/>
      <w:rPr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 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</w:instrText>
    </w:r>
    <w:r>
      <w:rPr>
        <w:rFonts w:hint="eastAsia" w:ascii="宋体" w:hAnsi="宋体"/>
        <w:sz w:val="28"/>
      </w:rPr>
      <w:fldChar w:fldCharType="separate"/>
    </w:r>
    <w:r>
      <w:rPr>
        <w:rFonts w:ascii="宋体" w:hAnsi="宋体"/>
        <w:sz w:val="28"/>
      </w:rPr>
      <w:t>- 5 -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</w:p>
  <w:p>
    <w:pPr>
      <w:pStyle w:val="5"/>
      <w:ind w:right="3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- 4 -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富民县审计局审计结果公告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富民县审计局审计结果公告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76C8A"/>
    <w:rsid w:val="0C8577C7"/>
    <w:rsid w:val="1BFA45DE"/>
    <w:rsid w:val="3B7D10C0"/>
    <w:rsid w:val="43FF4BF9"/>
    <w:rsid w:val="4ED7ABE7"/>
    <w:rsid w:val="5DDD711D"/>
    <w:rsid w:val="7B88624E"/>
    <w:rsid w:val="7F7BF0EF"/>
    <w:rsid w:val="7FA7E01C"/>
    <w:rsid w:val="BDD76C8A"/>
    <w:rsid w:val="C7EA4AB5"/>
    <w:rsid w:val="DBBDD519"/>
    <w:rsid w:val="E8DAD39E"/>
    <w:rsid w:val="F3FF040D"/>
    <w:rsid w:val="F6BE2C32"/>
    <w:rsid w:val="FF5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70"/>
    </w:pPr>
    <w:rPr>
      <w:rFonts w:hint="eastAsia" w:ascii="宋体"/>
      <w:snapToGrid/>
      <w:kern w:val="10"/>
      <w:sz w:val="30"/>
      <w:szCs w:val="20"/>
    </w:rPr>
  </w:style>
  <w:style w:type="paragraph" w:styleId="4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8"/>
    <w:qFormat/>
    <w:uiPriority w:val="0"/>
    <w:pPr>
      <w:snapToGrid w:val="0"/>
      <w:jc w:val="left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p0"/>
    <w:basedOn w:val="14"/>
    <w:qFormat/>
    <w:uiPriority w:val="0"/>
    <w:pPr>
      <w:widowControl/>
    </w:pPr>
    <w:rPr>
      <w:kern w:val="0"/>
      <w:szCs w:val="21"/>
    </w:rPr>
  </w:style>
  <w:style w:type="paragraph" w:customStyle="1" w:styleId="14">
    <w:name w:val="正文1"/>
    <w:qFormat/>
    <w:uiPriority w:val="0"/>
    <w:pPr>
      <w:jc w:val="both"/>
    </w:pPr>
    <w:rPr>
      <w:rFonts w:ascii="Times New Roman" w:hAnsi="Calibri" w:eastAsia="宋体" w:cs="Times New Roman"/>
      <w:sz w:val="21"/>
      <w:szCs w:val="24"/>
    </w:rPr>
  </w:style>
  <w:style w:type="paragraph" w:customStyle="1" w:styleId="15">
    <w:name w:val="正文2"/>
    <w:next w:val="1"/>
    <w:qFormat/>
    <w:uiPriority w:val="0"/>
    <w:pPr>
      <w:spacing w:line="480" w:lineRule="exact"/>
      <w:ind w:firstLine="496" w:firstLineChars="200"/>
    </w:pPr>
    <w:rPr>
      <w:rFonts w:ascii="Times New Roman" w:hAnsi="Times New Roman" w:eastAsia="宋体" w:cs="宋体"/>
      <w:color w:val="000000"/>
      <w:spacing w:val="4"/>
      <w:kern w:val="2"/>
      <w:sz w:val="24"/>
      <w:szCs w:val="22"/>
      <w:lang w:val="en-US" w:eastAsia="zh-CN" w:bidi="ar-SA"/>
    </w:rPr>
  </w:style>
  <w:style w:type="paragraph" w:customStyle="1" w:styleId="16">
    <w:name w:val="Default Paragraph Font Para Char Char Char Char Char Char"/>
    <w:qFormat/>
    <w:uiPriority w:val="0"/>
    <w:pPr>
      <w:widowControl/>
      <w:adjustRightInd w:val="0"/>
      <w:spacing w:after="160" w:afterLines="0" w:line="240" w:lineRule="exact"/>
      <w:jc w:val="left"/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2024-02-02T17:13:00Z</dcterms:created>
  <dc:creator>席丽薇</dc:creator>
  <cp:lastModifiedBy>席丽薇</cp:lastModifiedBy>
  <dcterms:modified xsi:type="dcterms:W3CDTF">2026-01-29T15:42:33Z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