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6C8434F">
      <w:pPr>
        <w:ind w:firstLine="0" w:firstLineChars="0"/>
        <w:jc w:val="center"/>
        <w:rPr>
          <w:rFonts w:eastAsia="仿宋" w:cs="Times New Roman"/>
          <w:b/>
          <w:sz w:val="44"/>
          <w:szCs w:val="44"/>
        </w:rPr>
      </w:pPr>
      <w:bookmarkStart w:id="62" w:name="_GoBack"/>
      <w:bookmarkEnd w:id="62"/>
    </w:p>
    <w:p w14:paraId="388E4BB2">
      <w:pPr>
        <w:ind w:firstLine="0" w:firstLineChars="0"/>
        <w:jc w:val="center"/>
        <w:rPr>
          <w:rFonts w:eastAsia="楷体" w:cs="Times New Roman"/>
          <w:b/>
          <w:sz w:val="56"/>
          <w:szCs w:val="44"/>
        </w:rPr>
      </w:pPr>
      <w:r>
        <w:rPr>
          <w:rFonts w:eastAsia="楷体" w:cs="Times New Roman"/>
          <w:b/>
          <w:sz w:val="56"/>
          <w:szCs w:val="44"/>
        </w:rPr>
        <w:t>云南省昆明市富民县</w:t>
      </w:r>
    </w:p>
    <w:p w14:paraId="0A420BE1">
      <w:pPr>
        <w:ind w:firstLine="0" w:firstLineChars="0"/>
        <w:jc w:val="center"/>
        <w:rPr>
          <w:rFonts w:eastAsia="楷体" w:cs="Times New Roman"/>
          <w:b/>
          <w:sz w:val="56"/>
          <w:szCs w:val="44"/>
        </w:rPr>
      </w:pPr>
      <w:r>
        <w:rPr>
          <w:rFonts w:eastAsia="楷体" w:cs="Times New Roman"/>
          <w:b/>
          <w:sz w:val="56"/>
          <w:szCs w:val="44"/>
        </w:rPr>
        <w:t>农业水价综合改革实施方案</w:t>
      </w:r>
    </w:p>
    <w:p w14:paraId="5755631B">
      <w:pPr>
        <w:ind w:firstLine="560"/>
        <w:jc w:val="center"/>
        <w:rPr>
          <w:rFonts w:cs="Times New Roman"/>
        </w:rPr>
      </w:pPr>
    </w:p>
    <w:p w14:paraId="27CD659D">
      <w:pPr>
        <w:ind w:firstLine="560"/>
        <w:jc w:val="center"/>
        <w:rPr>
          <w:rFonts w:cs="Times New Roman"/>
        </w:rPr>
      </w:pPr>
    </w:p>
    <w:p w14:paraId="26D283B4">
      <w:pPr>
        <w:ind w:firstLine="560"/>
        <w:jc w:val="center"/>
        <w:rPr>
          <w:rFonts w:cs="Times New Roman"/>
        </w:rPr>
      </w:pPr>
    </w:p>
    <w:p w14:paraId="54D71E65">
      <w:pPr>
        <w:ind w:firstLine="560"/>
        <w:jc w:val="center"/>
        <w:rPr>
          <w:rFonts w:cs="Times New Roman"/>
        </w:rPr>
      </w:pPr>
    </w:p>
    <w:p w14:paraId="64BC54F2">
      <w:pPr>
        <w:ind w:firstLine="560"/>
        <w:jc w:val="center"/>
        <w:rPr>
          <w:rFonts w:cs="Times New Roman"/>
        </w:rPr>
      </w:pPr>
    </w:p>
    <w:p w14:paraId="03652A6F">
      <w:pPr>
        <w:ind w:firstLine="560"/>
        <w:jc w:val="center"/>
        <w:rPr>
          <w:rFonts w:cs="Times New Roman"/>
        </w:rPr>
      </w:pPr>
    </w:p>
    <w:p w14:paraId="4E0CAC8E">
      <w:pPr>
        <w:ind w:firstLine="560"/>
        <w:jc w:val="center"/>
        <w:rPr>
          <w:rFonts w:cs="Times New Roman"/>
        </w:rPr>
      </w:pPr>
    </w:p>
    <w:p w14:paraId="23B76D7E">
      <w:pPr>
        <w:ind w:firstLine="560"/>
        <w:jc w:val="center"/>
        <w:rPr>
          <w:rFonts w:cs="Times New Roman"/>
        </w:rPr>
      </w:pPr>
    </w:p>
    <w:p w14:paraId="770A740A">
      <w:pPr>
        <w:ind w:firstLine="560"/>
        <w:jc w:val="center"/>
        <w:rPr>
          <w:rFonts w:cs="Times New Roman"/>
        </w:rPr>
      </w:pPr>
    </w:p>
    <w:p w14:paraId="7B2E28D0">
      <w:pPr>
        <w:ind w:firstLine="560"/>
        <w:jc w:val="center"/>
        <w:rPr>
          <w:rFonts w:cs="Times New Roman"/>
        </w:rPr>
      </w:pPr>
    </w:p>
    <w:p w14:paraId="6FBCB43A">
      <w:pPr>
        <w:ind w:firstLine="560"/>
        <w:jc w:val="center"/>
        <w:rPr>
          <w:rFonts w:cs="Times New Roman"/>
        </w:rPr>
      </w:pPr>
    </w:p>
    <w:p w14:paraId="57DA26EA">
      <w:pPr>
        <w:ind w:firstLine="231" w:firstLineChars="58"/>
        <w:rPr>
          <w:rFonts w:eastAsia="黑体" w:cs="Times New Roman"/>
          <w:spacing w:val="20"/>
          <w:sz w:val="36"/>
          <w:szCs w:val="32"/>
        </w:rPr>
      </w:pPr>
      <w:r>
        <w:rPr>
          <w:rFonts w:eastAsia="黑体" w:cs="Times New Roman"/>
          <w:spacing w:val="20"/>
          <w:sz w:val="36"/>
          <w:szCs w:val="32"/>
        </w:rPr>
        <w:t>建设单位：</w:t>
      </w:r>
      <w:r>
        <w:rPr>
          <w:rFonts w:eastAsia="黑体" w:cs="Times New Roman"/>
          <w:sz w:val="36"/>
          <w:szCs w:val="32"/>
          <w:u w:val="single"/>
        </w:rPr>
        <w:t xml:space="preserve">        富民县水务局         </w:t>
      </w:r>
    </w:p>
    <w:p w14:paraId="6293D56B">
      <w:pPr>
        <w:ind w:firstLine="800"/>
        <w:rPr>
          <w:rFonts w:eastAsia="黑体" w:cs="Times New Roman"/>
          <w:spacing w:val="20"/>
          <w:sz w:val="36"/>
          <w:szCs w:val="32"/>
        </w:rPr>
      </w:pPr>
    </w:p>
    <w:p w14:paraId="215BB8F4">
      <w:pPr>
        <w:ind w:firstLine="231" w:firstLineChars="58"/>
        <w:rPr>
          <w:rFonts w:eastAsia="黑体" w:cs="Times New Roman"/>
          <w:spacing w:val="20"/>
          <w:sz w:val="36"/>
          <w:szCs w:val="32"/>
        </w:rPr>
      </w:pPr>
      <w:r>
        <w:rPr>
          <w:rFonts w:eastAsia="黑体" w:cs="Times New Roman"/>
          <w:spacing w:val="20"/>
          <w:sz w:val="36"/>
          <w:szCs w:val="32"/>
        </w:rPr>
        <w:t>编制单位：</w:t>
      </w:r>
      <w:r>
        <w:rPr>
          <w:rFonts w:eastAsia="黑体" w:cs="Times New Roman"/>
          <w:spacing w:val="20"/>
          <w:sz w:val="36"/>
          <w:szCs w:val="32"/>
          <w:u w:val="single"/>
        </w:rPr>
        <w:t xml:space="preserve"> 云南国沃工程技术有限公司 </w:t>
      </w:r>
    </w:p>
    <w:p w14:paraId="7CDF2CE3">
      <w:pPr>
        <w:ind w:firstLine="800"/>
        <w:rPr>
          <w:rFonts w:eastAsia="黑体" w:cs="Times New Roman"/>
          <w:spacing w:val="20"/>
          <w:sz w:val="36"/>
          <w:szCs w:val="32"/>
        </w:rPr>
      </w:pPr>
    </w:p>
    <w:p w14:paraId="7C7A738C">
      <w:pPr>
        <w:ind w:firstLine="231" w:firstLineChars="58"/>
        <w:rPr>
          <w:rFonts w:eastAsia="黑体" w:cs="Times New Roman"/>
          <w:spacing w:val="20"/>
          <w:sz w:val="36"/>
          <w:szCs w:val="32"/>
        </w:rPr>
      </w:pPr>
      <w:r>
        <w:rPr>
          <w:rFonts w:eastAsia="黑体" w:cs="Times New Roman"/>
          <w:spacing w:val="20"/>
          <w:sz w:val="36"/>
          <w:szCs w:val="32"/>
        </w:rPr>
        <w:t>编制时间：</w:t>
      </w:r>
      <w:r>
        <w:rPr>
          <w:rFonts w:eastAsia="黑体" w:cs="Times New Roman"/>
          <w:spacing w:val="20"/>
          <w:sz w:val="36"/>
          <w:szCs w:val="32"/>
          <w:u w:val="single"/>
        </w:rPr>
        <w:t xml:space="preserve">    二〇二二 年 </w:t>
      </w:r>
      <w:r>
        <w:rPr>
          <w:rFonts w:hint="eastAsia" w:eastAsia="黑体" w:cs="Times New Roman"/>
          <w:spacing w:val="20"/>
          <w:sz w:val="36"/>
          <w:szCs w:val="32"/>
          <w:u w:val="single"/>
        </w:rPr>
        <w:t>八</w:t>
      </w:r>
      <w:r>
        <w:rPr>
          <w:rFonts w:eastAsia="黑体" w:cs="Times New Roman"/>
          <w:spacing w:val="20"/>
          <w:sz w:val="36"/>
          <w:szCs w:val="32"/>
          <w:u w:val="single"/>
        </w:rPr>
        <w:t xml:space="preserve"> 月    </w:t>
      </w:r>
    </w:p>
    <w:p w14:paraId="61E4A38C">
      <w:pPr>
        <w:pStyle w:val="30"/>
        <w:spacing w:line="480" w:lineRule="auto"/>
        <w:ind w:firstLine="643"/>
        <w:jc w:val="both"/>
        <w:rPr>
          <w:rFonts w:eastAsia="楷体" w:cs="Times New Roman"/>
          <w:b/>
          <w:kern w:val="2"/>
          <w:sz w:val="32"/>
          <w:szCs w:val="32"/>
          <w:lang w:bidi="ar"/>
        </w:rPr>
      </w:pPr>
    </w:p>
    <w:p w14:paraId="22B0E058">
      <w:pPr>
        <w:pStyle w:val="30"/>
        <w:spacing w:line="480" w:lineRule="auto"/>
        <w:ind w:firstLine="640"/>
        <w:jc w:val="both"/>
        <w:rPr>
          <w:rFonts w:eastAsia="楷体" w:cs="Times New Roman"/>
          <w:sz w:val="32"/>
          <w:szCs w:val="32"/>
          <w:lang w:bidi="ar"/>
        </w:rPr>
      </w:pPr>
      <w:r>
        <w:rPr>
          <w:rFonts w:eastAsia="楷体" w:cs="Times New Roman"/>
          <w:kern w:val="2"/>
          <w:sz w:val="32"/>
          <w:szCs w:val="32"/>
          <w:lang w:bidi="ar"/>
        </w:rPr>
        <w:t>项目名称：云南省昆明市富民县农业水价综合改革实施方案</w:t>
      </w:r>
    </w:p>
    <w:p w14:paraId="12397957">
      <w:pPr>
        <w:pStyle w:val="30"/>
        <w:spacing w:beforeAutospacing="0" w:afterAutospacing="0" w:line="480" w:lineRule="auto"/>
        <w:ind w:firstLine="640"/>
        <w:jc w:val="both"/>
        <w:rPr>
          <w:rFonts w:eastAsia="楷体" w:cs="Times New Roman"/>
          <w:kern w:val="2"/>
          <w:sz w:val="32"/>
          <w:szCs w:val="32"/>
          <w:lang w:bidi="ar"/>
        </w:rPr>
      </w:pPr>
    </w:p>
    <w:p w14:paraId="24EC2C06">
      <w:pPr>
        <w:pStyle w:val="30"/>
        <w:spacing w:beforeAutospacing="0" w:afterAutospacing="0" w:line="480" w:lineRule="auto"/>
        <w:ind w:firstLine="640"/>
        <w:jc w:val="both"/>
        <w:rPr>
          <w:rFonts w:eastAsia="楷体" w:cs="Times New Roman"/>
          <w:kern w:val="2"/>
          <w:sz w:val="32"/>
          <w:szCs w:val="32"/>
          <w:lang w:bidi="ar"/>
        </w:rPr>
      </w:pPr>
      <w:r>
        <w:rPr>
          <w:rFonts w:eastAsia="楷体" w:cs="Times New Roman"/>
          <w:kern w:val="2"/>
          <w:sz w:val="32"/>
          <w:szCs w:val="32"/>
          <w:lang w:bidi="ar"/>
        </w:rPr>
        <w:t>编制单位：云南国沃工程技术有限公司</w:t>
      </w:r>
    </w:p>
    <w:p w14:paraId="4364015A">
      <w:pPr>
        <w:pStyle w:val="30"/>
        <w:spacing w:beforeAutospacing="0" w:afterAutospacing="0" w:line="480" w:lineRule="auto"/>
        <w:ind w:firstLine="640"/>
        <w:jc w:val="both"/>
        <w:rPr>
          <w:rFonts w:eastAsia="楷体" w:cs="Times New Roman"/>
          <w:sz w:val="32"/>
          <w:szCs w:val="32"/>
        </w:rPr>
      </w:pPr>
    </w:p>
    <w:p w14:paraId="1403EF03">
      <w:pPr>
        <w:pStyle w:val="30"/>
        <w:spacing w:beforeAutospacing="0" w:afterAutospacing="0" w:line="480" w:lineRule="auto"/>
        <w:ind w:firstLine="640"/>
        <w:jc w:val="both"/>
        <w:rPr>
          <w:rFonts w:eastAsia="楷体" w:cs="Times New Roman"/>
          <w:sz w:val="32"/>
          <w:szCs w:val="32"/>
        </w:rPr>
      </w:pPr>
      <w:r>
        <w:rPr>
          <w:rFonts w:hint="eastAsia" w:eastAsia="楷体" w:cs="Times New Roman"/>
          <w:kern w:val="2"/>
          <w:sz w:val="32"/>
          <w:szCs w:val="32"/>
          <w:lang w:eastAsia="zh-CN" w:bidi="ar"/>
        </w:rPr>
        <w:t>统一社会信用代码</w:t>
      </w:r>
      <w:r>
        <w:rPr>
          <w:rFonts w:eastAsia="楷体" w:cs="Times New Roman"/>
          <w:kern w:val="2"/>
          <w:sz w:val="32"/>
          <w:szCs w:val="32"/>
          <w:lang w:bidi="ar"/>
        </w:rPr>
        <w:t>：91530103MA6KC1T5X2</w:t>
      </w:r>
    </w:p>
    <w:p w14:paraId="71142479">
      <w:pPr>
        <w:pStyle w:val="30"/>
        <w:spacing w:beforeAutospacing="0" w:afterAutospacing="0" w:line="480" w:lineRule="auto"/>
        <w:ind w:firstLine="640"/>
        <w:rPr>
          <w:rFonts w:eastAsia="楷体" w:cs="Times New Roman"/>
          <w:sz w:val="32"/>
          <w:szCs w:val="32"/>
        </w:rPr>
      </w:pPr>
    </w:p>
    <w:p w14:paraId="41221B5C">
      <w:pPr>
        <w:pStyle w:val="30"/>
        <w:spacing w:beforeAutospacing="0" w:afterAutospacing="0" w:line="480" w:lineRule="auto"/>
        <w:ind w:firstLine="640"/>
        <w:rPr>
          <w:rFonts w:eastAsia="楷体" w:cs="Times New Roman"/>
          <w:sz w:val="32"/>
          <w:szCs w:val="32"/>
        </w:rPr>
      </w:pPr>
    </w:p>
    <w:p w14:paraId="0D5FF2D9">
      <w:pPr>
        <w:ind w:firstLine="640"/>
        <w:jc w:val="center"/>
        <w:rPr>
          <w:rFonts w:eastAsia="楷体" w:cs="Times New Roman"/>
          <w:sz w:val="32"/>
          <w:szCs w:val="32"/>
        </w:rPr>
      </w:pPr>
      <w:r>
        <w:rPr>
          <w:rFonts w:eastAsia="楷体" w:cs="Times New Roman"/>
          <w:sz w:val="32"/>
          <w:szCs w:val="32"/>
        </w:rPr>
        <w:t>项目责任表</w:t>
      </w:r>
    </w:p>
    <w:p w14:paraId="5964D0A8">
      <w:pPr>
        <w:pStyle w:val="82"/>
        <w:spacing w:line="800" w:lineRule="exact"/>
        <w:ind w:firstLine="560"/>
        <w:rPr>
          <w:rFonts w:eastAsia="楷体" w:cs="Times New Roman"/>
          <w:sz w:val="28"/>
          <w:szCs w:val="28"/>
        </w:rPr>
      </w:pPr>
      <w:r>
        <w:rPr>
          <w:rFonts w:eastAsia="楷体" w:cs="Times New Roman"/>
          <w:sz w:val="28"/>
          <w:szCs w:val="28"/>
          <w:lang w:bidi="ar"/>
        </w:rPr>
        <w:t>批准：</w:t>
      </w:r>
      <w:r>
        <w:rPr>
          <w:rFonts w:eastAsia="楷体" w:cs="Times New Roman"/>
          <w:sz w:val="28"/>
          <w:szCs w:val="28"/>
        </w:rPr>
        <w:t>王春华(181006153)</w:t>
      </w:r>
    </w:p>
    <w:p w14:paraId="5D805254">
      <w:pPr>
        <w:pStyle w:val="82"/>
        <w:spacing w:line="800" w:lineRule="exact"/>
        <w:ind w:firstLine="560"/>
        <w:rPr>
          <w:rFonts w:eastAsia="楷体" w:cs="Times New Roman"/>
          <w:sz w:val="28"/>
          <w:szCs w:val="28"/>
        </w:rPr>
      </w:pPr>
      <w:r>
        <w:rPr>
          <w:rFonts w:eastAsia="楷体" w:cs="Times New Roman"/>
          <w:sz w:val="28"/>
          <w:szCs w:val="28"/>
          <w:lang w:bidi="ar"/>
        </w:rPr>
        <w:t>核定：</w:t>
      </w:r>
      <w:r>
        <w:rPr>
          <w:rFonts w:eastAsia="楷体" w:cs="Times New Roman"/>
          <w:sz w:val="28"/>
          <w:szCs w:val="28"/>
        </w:rPr>
        <w:t>淦中明</w:t>
      </w:r>
    </w:p>
    <w:p w14:paraId="33413125">
      <w:pPr>
        <w:widowControl/>
        <w:spacing w:line="800" w:lineRule="exact"/>
        <w:ind w:firstLine="560"/>
        <w:rPr>
          <w:rFonts w:eastAsia="楷体" w:cs="Times New Roman"/>
          <w:szCs w:val="28"/>
        </w:rPr>
      </w:pPr>
      <w:r>
        <w:rPr>
          <w:rFonts w:eastAsia="楷体" w:cs="Times New Roman"/>
          <w:szCs w:val="28"/>
          <w:lang w:bidi="ar"/>
        </w:rPr>
        <w:t>审查：</w:t>
      </w:r>
      <w:r>
        <w:rPr>
          <w:rFonts w:eastAsia="楷体" w:cs="Times New Roman"/>
          <w:szCs w:val="28"/>
        </w:rPr>
        <w:t>董慧明(0040682)</w:t>
      </w:r>
    </w:p>
    <w:p w14:paraId="01946346">
      <w:pPr>
        <w:pStyle w:val="82"/>
        <w:spacing w:line="800" w:lineRule="exact"/>
        <w:ind w:firstLine="560"/>
        <w:rPr>
          <w:rFonts w:eastAsia="楷体" w:cs="Times New Roman"/>
          <w:sz w:val="28"/>
          <w:szCs w:val="28"/>
        </w:rPr>
      </w:pPr>
      <w:r>
        <w:rPr>
          <w:rFonts w:eastAsia="楷体" w:cs="Times New Roman"/>
          <w:sz w:val="28"/>
          <w:szCs w:val="28"/>
          <w:lang w:bidi="ar"/>
        </w:rPr>
        <w:t>校核：</w:t>
      </w:r>
      <w:r>
        <w:rPr>
          <w:rFonts w:eastAsia="楷体" w:cs="Times New Roman"/>
          <w:sz w:val="28"/>
          <w:szCs w:val="28"/>
        </w:rPr>
        <w:t>付辉勇（A6192018400961）</w:t>
      </w:r>
    </w:p>
    <w:p w14:paraId="2ED80DE1">
      <w:pPr>
        <w:pStyle w:val="82"/>
        <w:spacing w:line="800" w:lineRule="exact"/>
        <w:ind w:firstLine="560"/>
        <w:rPr>
          <w:rFonts w:eastAsia="楷体" w:cs="Times New Roman"/>
          <w:sz w:val="28"/>
          <w:szCs w:val="28"/>
        </w:rPr>
      </w:pPr>
      <w:r>
        <w:rPr>
          <w:rFonts w:eastAsia="楷体" w:cs="Times New Roman"/>
          <w:sz w:val="28"/>
          <w:szCs w:val="28"/>
          <w:lang w:bidi="ar"/>
        </w:rPr>
        <w:t>项目负责人：杨晓能</w:t>
      </w:r>
    </w:p>
    <w:p w14:paraId="78A3C30C">
      <w:pPr>
        <w:pStyle w:val="82"/>
        <w:spacing w:line="800" w:lineRule="exact"/>
        <w:ind w:firstLine="560"/>
        <w:rPr>
          <w:rFonts w:eastAsia="楷体" w:cs="Times New Roman"/>
          <w:sz w:val="28"/>
          <w:szCs w:val="28"/>
          <w:lang w:bidi="ar"/>
        </w:rPr>
      </w:pPr>
      <w:r>
        <w:rPr>
          <w:rFonts w:eastAsia="楷体" w:cs="Times New Roman"/>
          <w:sz w:val="28"/>
          <w:szCs w:val="28"/>
          <w:lang w:bidi="ar"/>
        </w:rPr>
        <w:t>报告编制人：</w:t>
      </w:r>
      <w:r>
        <w:rPr>
          <w:rFonts w:eastAsia="楷体" w:cs="Times New Roman"/>
          <w:sz w:val="28"/>
          <w:szCs w:val="28"/>
        </w:rPr>
        <w:t>李  康    魏  佳   李  颖</w:t>
      </w:r>
    </w:p>
    <w:p w14:paraId="49978006">
      <w:pPr>
        <w:pStyle w:val="82"/>
        <w:spacing w:line="800" w:lineRule="exact"/>
        <w:ind w:firstLine="2240" w:firstLineChars="800"/>
        <w:rPr>
          <w:rFonts w:eastAsia="楷体" w:cs="Times New Roman"/>
          <w:sz w:val="28"/>
          <w:szCs w:val="28"/>
        </w:rPr>
      </w:pPr>
      <w:r>
        <w:rPr>
          <w:rFonts w:eastAsia="楷体" w:cs="Times New Roman"/>
          <w:sz w:val="28"/>
          <w:szCs w:val="28"/>
          <w:lang w:bidi="ar"/>
        </w:rPr>
        <w:t>李春芸</w:t>
      </w:r>
      <w:r>
        <w:rPr>
          <w:rFonts w:eastAsia="楷体" w:cs="Times New Roman"/>
          <w:sz w:val="28"/>
          <w:szCs w:val="28"/>
        </w:rPr>
        <w:t xml:space="preserve">    杨红杰   吴春蓉</w:t>
      </w:r>
    </w:p>
    <w:p w14:paraId="5AB6CF55">
      <w:pPr>
        <w:pStyle w:val="82"/>
        <w:spacing w:line="800" w:lineRule="exact"/>
        <w:ind w:firstLine="2240" w:firstLineChars="800"/>
        <w:rPr>
          <w:rFonts w:eastAsia="楷体" w:cs="Times New Roman"/>
          <w:sz w:val="28"/>
          <w:szCs w:val="28"/>
        </w:rPr>
      </w:pPr>
      <w:r>
        <w:rPr>
          <w:rFonts w:eastAsia="楷体" w:cs="Times New Roman"/>
          <w:sz w:val="28"/>
          <w:szCs w:val="28"/>
        </w:rPr>
        <w:t>李文涛    朱亚芳</w:t>
      </w:r>
    </w:p>
    <w:p w14:paraId="2F642566">
      <w:pPr>
        <w:pStyle w:val="82"/>
        <w:spacing w:line="720" w:lineRule="auto"/>
        <w:jc w:val="left"/>
        <w:rPr>
          <w:rFonts w:eastAsia="楷体" w:cs="Times New Roman"/>
          <w:sz w:val="32"/>
          <w:szCs w:val="32"/>
        </w:rPr>
      </w:pPr>
      <w:r>
        <mc:AlternateContent>
          <mc:Choice Requires="wps">
            <w:drawing>
              <wp:anchor distT="0" distB="0" distL="114300" distR="114300" simplePos="0" relativeHeight="251659264" behindDoc="0" locked="0" layoutInCell="1" allowOverlap="1">
                <wp:simplePos x="0" y="0"/>
                <wp:positionH relativeFrom="column">
                  <wp:posOffset>827405</wp:posOffset>
                </wp:positionH>
                <wp:positionV relativeFrom="paragraph">
                  <wp:posOffset>1013460</wp:posOffset>
                </wp:positionV>
                <wp:extent cx="8462645" cy="5431155"/>
                <wp:effectExtent l="2364423" t="0" r="2340927" b="0"/>
                <wp:wrapNone/>
                <wp:docPr id="2" name="文本框 2"/>
                <wp:cNvGraphicFramePr/>
                <a:graphic xmlns:a="http://schemas.openxmlformats.org/drawingml/2006/main">
                  <a:graphicData uri="http://schemas.microsoft.com/office/word/2010/wordprocessingShape">
                    <wps:wsp>
                      <wps:cNvSpPr txBox="1"/>
                      <wps:spPr>
                        <a:xfrm rot="18356375">
                          <a:off x="0" y="0"/>
                          <a:ext cx="8462700" cy="5431155"/>
                        </a:xfrm>
                        <a:prstGeom prst="rect">
                          <a:avLst/>
                        </a:prstGeom>
                        <a:noFill/>
                        <a:ln>
                          <a:noFill/>
                        </a:ln>
                        <a:effectLst/>
                      </wps:spPr>
                      <wps:txbx>
                        <w:txbxContent>
                          <w:p w14:paraId="66D83144">
                            <w:pPr>
                              <w:pStyle w:val="82"/>
                              <w:spacing w:line="720" w:lineRule="auto"/>
                              <w:jc w:val="center"/>
                              <w:rPr>
                                <w:rFonts w:cs="Times New Roman"/>
                                <w:b/>
                                <w:color w:val="FCFCFF" w:themeColor="accent1"/>
                                <w:sz w:val="48"/>
                                <w:szCs w:val="72"/>
                                <w14:shadow w14:blurRad="101600" w14:dist="76200" w14:dir="5400000" w14:sx="0" w14:sy="0" w14:kx="0" w14:ky="0" w14:algn="none">
                                  <w14:schemeClr w14:val="accent1">
                                    <w14:alpha w14:val="26000"/>
                                    <w14:satMod w14:val="190000"/>
                                    <w14:tint w14:val="100000"/>
                                  </w14:schemeClr>
                                </w14:shadow>
                                <w14:textOutline w14:w="901" w14:cap="flat" w14:cmpd="sng" w14:algn="ctr">
                                  <w14:solidFill>
                                    <w14:schemeClr w14:val="accent1">
                                      <w14:alpha w14:val="45000"/>
                                      <w14:satMod w14:val="190000"/>
                                    </w14:schemeClr>
                                  </w14:solidFill>
                                  <w14:prstDash w14:val="solid"/>
                                  <w14:round/>
                                </w14:textOutline>
                                <w14:textFill>
                                  <w14:solidFill>
                                    <w14:schemeClr w14:val="accent1">
                                      <w14:satMod w14:val="200000"/>
                                      <w14:tint w14:val="3000"/>
                                    </w14:schemeClr>
                                  </w14:solidFill>
                                </w14:textFill>
                              </w:rPr>
                            </w:pPr>
                            <w:r>
                              <w:rPr>
                                <w:rFonts w:hint="eastAsia" w:cs="Times New Roman"/>
                                <w:b/>
                                <w:color w:val="FCFCFF" w:themeColor="accent1"/>
                                <w:sz w:val="48"/>
                                <w:szCs w:val="72"/>
                                <w14:shadow w14:blurRad="101600" w14:dist="76200" w14:dir="5400000" w14:sx="0" w14:sy="0" w14:kx="0" w14:ky="0" w14:algn="none">
                                  <w14:schemeClr w14:val="accent1">
                                    <w14:alpha w14:val="26000"/>
                                    <w14:satMod w14:val="190000"/>
                                    <w14:tint w14:val="100000"/>
                                  </w14:schemeClr>
                                </w14:shadow>
                                <w14:textOutline w14:w="901" w14:cap="flat" w14:cmpd="sng" w14:algn="ctr">
                                  <w14:solidFill>
                                    <w14:schemeClr w14:val="accent1">
                                      <w14:alpha w14:val="45000"/>
                                      <w14:satMod w14:val="190000"/>
                                    </w14:schemeClr>
                                  </w14:solidFill>
                                  <w14:prstDash w14:val="solid"/>
                                  <w14:round/>
                                </w14:textOutline>
                                <w14:textFill>
                                  <w14:solidFill>
                                    <w14:schemeClr w14:val="accent1">
                                      <w14:satMod w14:val="200000"/>
                                      <w14:tint w14:val="3000"/>
                                    </w14:schemeClr>
                                  </w14:solidFill>
                                </w14:textFill>
                              </w:rPr>
                              <w:t>仅用于《云南省昆明市富民县农业水价综合改革实施方案》</w:t>
                            </w:r>
                          </w:p>
                        </w:txbxContent>
                      </wps:txbx>
                      <wps:bodyPr rot="0" spcFirstLastPara="0" vertOverflow="overflow" horzOverflow="overflow" vert="horz" wrap="square" lIns="91440" tIns="45720" rIns="91440" bIns="45720" numCol="1" spcCol="0" rtlCol="0" fromWordArt="0" anchor="t" anchorCtr="0" forceAA="0" compatLnSpc="1">
                        <a:spAutoFit/>
                      </wps:bodyPr>
                    </wps:wsp>
                  </a:graphicData>
                </a:graphic>
              </wp:anchor>
            </w:drawing>
          </mc:Choice>
          <mc:Fallback>
            <w:pict>
              <v:shape id="_x0000_s1026" o:spid="_x0000_s1026" o:spt="202" type="#_x0000_t202" style="position:absolute;left:0pt;margin-left:65.15pt;margin-top:79.8pt;height:427.65pt;width:666.35pt;rotation:-3542903f;z-index:251659264;mso-width-relative:page;mso-height-relative:page;" filled="f" stroked="f" coordsize="21600,21600" o:gfxdata="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Cgsgyt2QAAAA0BAAAPAAAAAAAAAAEAIAAA&#10;ACIAAABkcnMvZG93bnJldi54bWxQSwECFAAUAAAACACHTuJAKcyUOkQCAAB7BAAADgAAAAAAAAAB&#10;ACAAAAAoAQAAZHJzL2Uyb0RvYy54bWxQSwUGAAAAAAYABgBZAQAA3gUAAAAA&#10;">
                <v:fill on="f" focussize="0,0"/>
                <v:stroke on="f"/>
                <v:imagedata o:title=""/>
                <o:lock v:ext="edit" aspectratio="f"/>
                <v:textbox style="mso-fit-shape-to-text:t;">
                  <w:txbxContent>
                    <w:p w14:paraId="66D83144">
                      <w:pPr>
                        <w:pStyle w:val="82"/>
                        <w:spacing w:line="720" w:lineRule="auto"/>
                        <w:jc w:val="center"/>
                        <w:rPr>
                          <w:rFonts w:cs="Times New Roman"/>
                          <w:b/>
                          <w:color w:val="FCFCFF" w:themeColor="accent1"/>
                          <w:sz w:val="48"/>
                          <w:szCs w:val="72"/>
                          <w14:shadow w14:blurRad="101600" w14:dist="76200" w14:dir="5400000" w14:sx="0" w14:sy="0" w14:kx="0" w14:ky="0" w14:algn="none">
                            <w14:schemeClr w14:val="accent1">
                              <w14:alpha w14:val="26000"/>
                              <w14:satMod w14:val="190000"/>
                              <w14:tint w14:val="100000"/>
                            </w14:schemeClr>
                          </w14:shadow>
                          <w14:textOutline w14:w="901" w14:cap="flat" w14:cmpd="sng" w14:algn="ctr">
                            <w14:solidFill>
                              <w14:schemeClr w14:val="accent1">
                                <w14:alpha w14:val="45000"/>
                                <w14:satMod w14:val="190000"/>
                              </w14:schemeClr>
                            </w14:solidFill>
                            <w14:prstDash w14:val="solid"/>
                            <w14:round/>
                          </w14:textOutline>
                          <w14:textFill>
                            <w14:solidFill>
                              <w14:schemeClr w14:val="accent1">
                                <w14:satMod w14:val="200000"/>
                                <w14:tint w14:val="3000"/>
                              </w14:schemeClr>
                            </w14:solidFill>
                          </w14:textFill>
                        </w:rPr>
                      </w:pPr>
                      <w:r>
                        <w:rPr>
                          <w:rFonts w:hint="eastAsia" w:cs="Times New Roman"/>
                          <w:b/>
                          <w:color w:val="FCFCFF" w:themeColor="accent1"/>
                          <w:sz w:val="48"/>
                          <w:szCs w:val="72"/>
                          <w14:shadow w14:blurRad="101600" w14:dist="76200" w14:dir="5400000" w14:sx="0" w14:sy="0" w14:kx="0" w14:ky="0" w14:algn="none">
                            <w14:schemeClr w14:val="accent1">
                              <w14:alpha w14:val="26000"/>
                              <w14:satMod w14:val="190000"/>
                              <w14:tint w14:val="100000"/>
                            </w14:schemeClr>
                          </w14:shadow>
                          <w14:textOutline w14:w="901" w14:cap="flat" w14:cmpd="sng" w14:algn="ctr">
                            <w14:solidFill>
                              <w14:schemeClr w14:val="accent1">
                                <w14:alpha w14:val="45000"/>
                                <w14:satMod w14:val="190000"/>
                              </w14:schemeClr>
                            </w14:solidFill>
                            <w14:prstDash w14:val="solid"/>
                            <w14:round/>
                          </w14:textOutline>
                          <w14:textFill>
                            <w14:solidFill>
                              <w14:schemeClr w14:val="accent1">
                                <w14:satMod w14:val="200000"/>
                                <w14:tint w14:val="3000"/>
                              </w14:schemeClr>
                            </w14:solidFill>
                          </w14:textFill>
                        </w:rPr>
                        <w:t>仅用于《云南省昆明市富民县农业水价综合改革实施方案》</w:t>
                      </w:r>
                    </w:p>
                  </w:txbxContent>
                </v:textbox>
              </v:shape>
            </w:pict>
          </mc:Fallback>
        </mc:AlternateContent>
      </w:r>
      <w:r>
        <w:rPr>
          <w:rFonts w:cs="Times New Roman"/>
        </w:rPr>
        <w:drawing>
          <wp:inline distT="0" distB="0" distL="114300" distR="114300">
            <wp:extent cx="3693160" cy="5431155"/>
            <wp:effectExtent l="7302"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6" r:link="rId17"/>
                    <a:stretch>
                      <a:fillRect/>
                    </a:stretch>
                  </pic:blipFill>
                  <pic:spPr>
                    <a:xfrm rot="5400000">
                      <a:off x="0" y="0"/>
                      <a:ext cx="3693160" cy="5431155"/>
                    </a:xfrm>
                    <a:prstGeom prst="rect">
                      <a:avLst/>
                    </a:prstGeom>
                    <a:noFill/>
                    <a:ln>
                      <a:noFill/>
                    </a:ln>
                  </pic:spPr>
                </pic:pic>
              </a:graphicData>
            </a:graphic>
          </wp:inline>
        </w:drawing>
      </w:r>
      <w:r>
        <w:rPr>
          <w:rFonts w:cs="Times New Roman"/>
        </w:rPr>
        <w:drawing>
          <wp:inline distT="0" distB="0" distL="114300" distR="114300">
            <wp:extent cx="3927475" cy="5557520"/>
            <wp:effectExtent l="0" t="0" r="5080" b="15875"/>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18" r:link="rId19"/>
                    <a:stretch>
                      <a:fillRect/>
                    </a:stretch>
                  </pic:blipFill>
                  <pic:spPr>
                    <a:xfrm rot="5400000">
                      <a:off x="0" y="0"/>
                      <a:ext cx="3927475" cy="5557520"/>
                    </a:xfrm>
                    <a:prstGeom prst="rect">
                      <a:avLst/>
                    </a:prstGeom>
                    <a:noFill/>
                    <a:ln>
                      <a:noFill/>
                    </a:ln>
                  </pic:spPr>
                </pic:pic>
              </a:graphicData>
            </a:graphic>
          </wp:inline>
        </w:drawing>
      </w:r>
    </w:p>
    <w:p w14:paraId="0B9FBA28">
      <w:pPr>
        <w:ind w:firstLine="0" w:firstLineChars="0"/>
        <w:jc w:val="center"/>
        <w:rPr>
          <w:rFonts w:cs="Times New Roman"/>
          <w:szCs w:val="24"/>
          <w:lang w:bidi="ar"/>
        </w:rPr>
        <w:sectPr>
          <w:headerReference r:id="rId7" w:type="first"/>
          <w:footerReference r:id="rId10" w:type="first"/>
          <w:headerReference r:id="rId5" w:type="default"/>
          <w:footerReference r:id="rId8" w:type="default"/>
          <w:headerReference r:id="rId6" w:type="even"/>
          <w:footerReference r:id="rId9" w:type="even"/>
          <w:pgSz w:w="11906" w:h="16838"/>
          <w:pgMar w:top="1440" w:right="1800" w:bottom="1440" w:left="1800" w:header="851" w:footer="992" w:gutter="0"/>
          <w:pgNumType w:fmt="upperRoman" w:start="1"/>
          <w:cols w:space="425" w:num="1"/>
          <w:docGrid w:type="lines" w:linePitch="312" w:charSpace="0"/>
        </w:sectPr>
      </w:pPr>
    </w:p>
    <w:sdt>
      <w:sdtPr>
        <w:rPr>
          <w:rFonts w:ascii="Times New Roman" w:hAnsi="Times New Roman" w:eastAsia="宋体" w:cs="Times New Roman"/>
          <w:b w:val="0"/>
          <w:bCs w:val="0"/>
          <w:color w:val="auto"/>
          <w:kern w:val="2"/>
          <w:szCs w:val="22"/>
          <w:lang w:val="zh-CN"/>
        </w:rPr>
        <w:id w:val="-1135096397"/>
        <w:docPartObj>
          <w:docPartGallery w:val="Table of Contents"/>
          <w:docPartUnique/>
        </w:docPartObj>
      </w:sdtPr>
      <w:sdtEndPr>
        <w:rPr>
          <w:rFonts w:ascii="Times New Roman" w:hAnsi="Times New Roman" w:eastAsia="宋体" w:cs="Times New Roman"/>
          <w:b w:val="0"/>
          <w:bCs w:val="0"/>
          <w:color w:val="auto"/>
          <w:kern w:val="2"/>
          <w:szCs w:val="22"/>
          <w:lang w:val="zh-CN"/>
        </w:rPr>
      </w:sdtEndPr>
      <w:sdtContent>
        <w:p w14:paraId="4E1580A3">
          <w:pPr>
            <w:pStyle w:val="83"/>
            <w:jc w:val="center"/>
            <w:rPr>
              <w:rFonts w:ascii="Times New Roman" w:hAnsi="Times New Roman" w:cs="Times New Roman"/>
            </w:rPr>
          </w:pPr>
          <w:r>
            <w:rPr>
              <w:rFonts w:ascii="Times New Roman" w:hAnsi="Times New Roman" w:cs="Times New Roman"/>
              <w:lang w:val="zh-CN"/>
            </w:rPr>
            <w:t>目  录</w:t>
          </w:r>
        </w:p>
        <w:p w14:paraId="0B66FFFA">
          <w:pPr>
            <w:pStyle w:val="24"/>
            <w:ind w:firstLine="562"/>
            <w:rPr>
              <w:rFonts w:asciiTheme="minorHAnsi" w:hAnsiTheme="minorHAnsi" w:eastAsiaTheme="minorEastAsia"/>
              <w:b w:val="0"/>
              <w:sz w:val="21"/>
            </w:rPr>
          </w:pPr>
          <w:r>
            <w:rPr>
              <w:rFonts w:ascii="Times New Roman" w:hAnsi="Times New Roman" w:cs="Times New Roman"/>
            </w:rPr>
            <w:fldChar w:fldCharType="begin"/>
          </w:r>
          <w:r>
            <w:rPr>
              <w:rFonts w:ascii="Times New Roman" w:hAnsi="Times New Roman" w:cs="Times New Roman"/>
            </w:rPr>
            <w:instrText xml:space="preserve"> TOC \o "1-3" \h \z \u </w:instrText>
          </w:r>
          <w:r>
            <w:rPr>
              <w:rFonts w:ascii="Times New Roman" w:hAnsi="Times New Roman" w:cs="Times New Roman"/>
            </w:rPr>
            <w:fldChar w:fldCharType="separate"/>
          </w:r>
          <w:r>
            <w:fldChar w:fldCharType="begin"/>
          </w:r>
          <w:r>
            <w:instrText xml:space="preserve"> HYPERLINK \l "_Toc109121620" </w:instrText>
          </w:r>
          <w:r>
            <w:fldChar w:fldCharType="separate"/>
          </w:r>
          <w:r>
            <w:rPr>
              <w:rStyle w:val="36"/>
              <w:rFonts w:cs="Times New Roman"/>
            </w:rPr>
            <w:t>1</w:t>
          </w:r>
          <w:r>
            <w:rPr>
              <w:rStyle w:val="36"/>
              <w:rFonts w:hint="eastAsia" w:cs="Times New Roman"/>
            </w:rPr>
            <w:t xml:space="preserve"> 综合说明</w:t>
          </w:r>
          <w:r>
            <w:tab/>
          </w:r>
          <w:r>
            <w:fldChar w:fldCharType="begin"/>
          </w:r>
          <w:r>
            <w:instrText xml:space="preserve"> PAGEREF _Toc109121620 \h </w:instrText>
          </w:r>
          <w:r>
            <w:fldChar w:fldCharType="separate"/>
          </w:r>
          <w:r>
            <w:t>- 1 -</w:t>
          </w:r>
          <w:r>
            <w:fldChar w:fldCharType="end"/>
          </w:r>
          <w:r>
            <w:fldChar w:fldCharType="end"/>
          </w:r>
        </w:p>
        <w:p w14:paraId="26902D84">
          <w:pPr>
            <w:pStyle w:val="27"/>
            <w:ind w:left="560" w:firstLine="480"/>
            <w:rPr>
              <w:rFonts w:asciiTheme="minorHAnsi" w:hAnsiTheme="minorHAnsi" w:eastAsiaTheme="minorEastAsia"/>
              <w:sz w:val="21"/>
            </w:rPr>
          </w:pPr>
          <w:r>
            <w:fldChar w:fldCharType="begin"/>
          </w:r>
          <w:r>
            <w:instrText xml:space="preserve"> HYPERLINK \l "_Toc109121621" </w:instrText>
          </w:r>
          <w:r>
            <w:fldChar w:fldCharType="separate"/>
          </w:r>
          <w:r>
            <w:rPr>
              <w:rStyle w:val="36"/>
              <w:rFonts w:ascii="Times New Roman" w:hAnsi="Times New Roman" w:cs="Times New Roman"/>
            </w:rPr>
            <w:t>1.1</w:t>
          </w:r>
          <w:r>
            <w:rPr>
              <w:rStyle w:val="36"/>
              <w:rFonts w:hint="eastAsia" w:ascii="Times New Roman" w:hAnsi="Times New Roman" w:cs="Times New Roman"/>
            </w:rPr>
            <w:t xml:space="preserve"> 项目概况</w:t>
          </w:r>
          <w:r>
            <w:tab/>
          </w:r>
          <w:r>
            <w:fldChar w:fldCharType="begin"/>
          </w:r>
          <w:r>
            <w:instrText xml:space="preserve"> PAGEREF _Toc109121621 \h </w:instrText>
          </w:r>
          <w:r>
            <w:fldChar w:fldCharType="separate"/>
          </w:r>
          <w:r>
            <w:t>- 1 -</w:t>
          </w:r>
          <w:r>
            <w:fldChar w:fldCharType="end"/>
          </w:r>
          <w:r>
            <w:fldChar w:fldCharType="end"/>
          </w:r>
        </w:p>
        <w:p w14:paraId="0B3D11AA">
          <w:pPr>
            <w:pStyle w:val="27"/>
            <w:ind w:left="560" w:firstLine="480"/>
            <w:rPr>
              <w:rFonts w:asciiTheme="minorHAnsi" w:hAnsiTheme="minorHAnsi" w:eastAsiaTheme="minorEastAsia"/>
              <w:sz w:val="21"/>
            </w:rPr>
          </w:pPr>
          <w:r>
            <w:fldChar w:fldCharType="begin"/>
          </w:r>
          <w:r>
            <w:instrText xml:space="preserve"> HYPERLINK \l "_Toc109121622" </w:instrText>
          </w:r>
          <w:r>
            <w:fldChar w:fldCharType="separate"/>
          </w:r>
          <w:r>
            <w:rPr>
              <w:rStyle w:val="36"/>
              <w:rFonts w:ascii="Times New Roman" w:hAnsi="Times New Roman" w:cs="Times New Roman"/>
            </w:rPr>
            <w:t>1.2</w:t>
          </w:r>
          <w:r>
            <w:rPr>
              <w:rStyle w:val="36"/>
              <w:rFonts w:hint="eastAsia" w:ascii="Times New Roman" w:hAnsi="Times New Roman" w:cs="Times New Roman"/>
            </w:rPr>
            <w:t xml:space="preserve"> 项目背景</w:t>
          </w:r>
          <w:r>
            <w:tab/>
          </w:r>
          <w:r>
            <w:fldChar w:fldCharType="begin"/>
          </w:r>
          <w:r>
            <w:instrText xml:space="preserve"> PAGEREF _Toc109121622 \h </w:instrText>
          </w:r>
          <w:r>
            <w:fldChar w:fldCharType="separate"/>
          </w:r>
          <w:r>
            <w:t>- 1 -</w:t>
          </w:r>
          <w:r>
            <w:fldChar w:fldCharType="end"/>
          </w:r>
          <w:r>
            <w:fldChar w:fldCharType="end"/>
          </w:r>
        </w:p>
        <w:p w14:paraId="5F675E84">
          <w:pPr>
            <w:pStyle w:val="24"/>
            <w:ind w:firstLine="562"/>
            <w:rPr>
              <w:rFonts w:asciiTheme="minorHAnsi" w:hAnsiTheme="minorHAnsi" w:eastAsiaTheme="minorEastAsia"/>
              <w:b w:val="0"/>
              <w:sz w:val="21"/>
            </w:rPr>
          </w:pPr>
          <w:r>
            <w:fldChar w:fldCharType="begin"/>
          </w:r>
          <w:r>
            <w:instrText xml:space="preserve"> HYPERLINK \l "_Toc109121623" </w:instrText>
          </w:r>
          <w:r>
            <w:fldChar w:fldCharType="separate"/>
          </w:r>
          <w:r>
            <w:rPr>
              <w:rStyle w:val="36"/>
              <w:rFonts w:cs="Times New Roman"/>
            </w:rPr>
            <w:t>2</w:t>
          </w:r>
          <w:r>
            <w:rPr>
              <w:rStyle w:val="36"/>
              <w:rFonts w:hint="eastAsia" w:cs="Times New Roman"/>
            </w:rPr>
            <w:t xml:space="preserve"> 基本情况</w:t>
          </w:r>
          <w:r>
            <w:tab/>
          </w:r>
          <w:r>
            <w:fldChar w:fldCharType="begin"/>
          </w:r>
          <w:r>
            <w:instrText xml:space="preserve"> PAGEREF _Toc109121623 \h </w:instrText>
          </w:r>
          <w:r>
            <w:fldChar w:fldCharType="separate"/>
          </w:r>
          <w:r>
            <w:t>- 3 -</w:t>
          </w:r>
          <w:r>
            <w:fldChar w:fldCharType="end"/>
          </w:r>
          <w:r>
            <w:fldChar w:fldCharType="end"/>
          </w:r>
        </w:p>
        <w:p w14:paraId="22378864">
          <w:pPr>
            <w:pStyle w:val="27"/>
            <w:ind w:left="560" w:firstLine="480"/>
            <w:rPr>
              <w:rFonts w:asciiTheme="minorHAnsi" w:hAnsiTheme="minorHAnsi" w:eastAsiaTheme="minorEastAsia"/>
              <w:sz w:val="21"/>
            </w:rPr>
          </w:pPr>
          <w:r>
            <w:fldChar w:fldCharType="begin"/>
          </w:r>
          <w:r>
            <w:instrText xml:space="preserve"> HYPERLINK \l "_Toc109121624" </w:instrText>
          </w:r>
          <w:r>
            <w:fldChar w:fldCharType="separate"/>
          </w:r>
          <w:r>
            <w:rPr>
              <w:rStyle w:val="36"/>
              <w:rFonts w:ascii="Times New Roman" w:hAnsi="Times New Roman" w:cs="Times New Roman"/>
            </w:rPr>
            <w:t>2.1</w:t>
          </w:r>
          <w:r>
            <w:rPr>
              <w:rStyle w:val="36"/>
              <w:rFonts w:hint="eastAsia" w:ascii="Times New Roman" w:hAnsi="Times New Roman" w:cs="Times New Roman"/>
            </w:rPr>
            <w:t xml:space="preserve"> 自然条件</w:t>
          </w:r>
          <w:r>
            <w:tab/>
          </w:r>
          <w:r>
            <w:fldChar w:fldCharType="begin"/>
          </w:r>
          <w:r>
            <w:instrText xml:space="preserve"> PAGEREF _Toc109121624 \h </w:instrText>
          </w:r>
          <w:r>
            <w:fldChar w:fldCharType="separate"/>
          </w:r>
          <w:r>
            <w:t>- 3 -</w:t>
          </w:r>
          <w:r>
            <w:fldChar w:fldCharType="end"/>
          </w:r>
          <w:r>
            <w:fldChar w:fldCharType="end"/>
          </w:r>
        </w:p>
        <w:p w14:paraId="6D5CE08B">
          <w:pPr>
            <w:pStyle w:val="18"/>
            <w:ind w:left="1120" w:firstLine="480"/>
            <w:rPr>
              <w:rFonts w:asciiTheme="minorHAnsi" w:hAnsiTheme="minorHAnsi" w:eastAsiaTheme="minorEastAsia"/>
              <w:sz w:val="21"/>
            </w:rPr>
          </w:pPr>
          <w:r>
            <w:fldChar w:fldCharType="begin"/>
          </w:r>
          <w:r>
            <w:instrText xml:space="preserve"> HYPERLINK \l "_Toc109121625" </w:instrText>
          </w:r>
          <w:r>
            <w:fldChar w:fldCharType="separate"/>
          </w:r>
          <w:r>
            <w:rPr>
              <w:rStyle w:val="36"/>
              <w:rFonts w:cs="Times New Roman"/>
            </w:rPr>
            <w:t>2.1.1</w:t>
          </w:r>
          <w:r>
            <w:rPr>
              <w:rStyle w:val="36"/>
              <w:rFonts w:hint="eastAsia" w:cs="Times New Roman"/>
            </w:rPr>
            <w:t xml:space="preserve"> 地理位置</w:t>
          </w:r>
          <w:r>
            <w:tab/>
          </w:r>
          <w:r>
            <w:fldChar w:fldCharType="begin"/>
          </w:r>
          <w:r>
            <w:instrText xml:space="preserve"> PAGEREF _Toc109121625 \h </w:instrText>
          </w:r>
          <w:r>
            <w:fldChar w:fldCharType="separate"/>
          </w:r>
          <w:r>
            <w:t>- 3 -</w:t>
          </w:r>
          <w:r>
            <w:fldChar w:fldCharType="end"/>
          </w:r>
          <w:r>
            <w:fldChar w:fldCharType="end"/>
          </w:r>
        </w:p>
        <w:p w14:paraId="77177977">
          <w:pPr>
            <w:pStyle w:val="18"/>
            <w:ind w:left="1120" w:firstLine="480"/>
            <w:rPr>
              <w:rFonts w:asciiTheme="minorHAnsi" w:hAnsiTheme="minorHAnsi" w:eastAsiaTheme="minorEastAsia"/>
              <w:sz w:val="21"/>
            </w:rPr>
          </w:pPr>
          <w:r>
            <w:fldChar w:fldCharType="begin"/>
          </w:r>
          <w:r>
            <w:instrText xml:space="preserve"> HYPERLINK \l "_Toc109121626" </w:instrText>
          </w:r>
          <w:r>
            <w:fldChar w:fldCharType="separate"/>
          </w:r>
          <w:r>
            <w:rPr>
              <w:rStyle w:val="36"/>
              <w:rFonts w:cs="Times New Roman"/>
            </w:rPr>
            <w:t>2.1.2</w:t>
          </w:r>
          <w:r>
            <w:rPr>
              <w:rStyle w:val="36"/>
              <w:rFonts w:hint="eastAsia" w:cs="Times New Roman"/>
            </w:rPr>
            <w:t xml:space="preserve"> 地形地貌</w:t>
          </w:r>
          <w:r>
            <w:tab/>
          </w:r>
          <w:r>
            <w:fldChar w:fldCharType="begin"/>
          </w:r>
          <w:r>
            <w:instrText xml:space="preserve"> PAGEREF _Toc109121626 \h </w:instrText>
          </w:r>
          <w:r>
            <w:fldChar w:fldCharType="separate"/>
          </w:r>
          <w:r>
            <w:t>- 5 -</w:t>
          </w:r>
          <w:r>
            <w:fldChar w:fldCharType="end"/>
          </w:r>
          <w:r>
            <w:fldChar w:fldCharType="end"/>
          </w:r>
        </w:p>
        <w:p w14:paraId="68A531F3">
          <w:pPr>
            <w:pStyle w:val="18"/>
            <w:ind w:left="1120" w:firstLine="480"/>
            <w:rPr>
              <w:rFonts w:asciiTheme="minorHAnsi" w:hAnsiTheme="minorHAnsi" w:eastAsiaTheme="minorEastAsia"/>
              <w:sz w:val="21"/>
            </w:rPr>
          </w:pPr>
          <w:r>
            <w:fldChar w:fldCharType="begin"/>
          </w:r>
          <w:r>
            <w:instrText xml:space="preserve"> HYPERLINK \l "_Toc109121627" </w:instrText>
          </w:r>
          <w:r>
            <w:fldChar w:fldCharType="separate"/>
          </w:r>
          <w:r>
            <w:rPr>
              <w:rStyle w:val="36"/>
              <w:rFonts w:cs="Times New Roman"/>
            </w:rPr>
            <w:t>2.1.3</w:t>
          </w:r>
          <w:r>
            <w:rPr>
              <w:rStyle w:val="36"/>
              <w:rFonts w:hint="eastAsia" w:cs="Times New Roman"/>
            </w:rPr>
            <w:t xml:space="preserve"> 水文气象特征</w:t>
          </w:r>
          <w:r>
            <w:tab/>
          </w:r>
          <w:r>
            <w:fldChar w:fldCharType="begin"/>
          </w:r>
          <w:r>
            <w:instrText xml:space="preserve"> PAGEREF _Toc109121627 \h </w:instrText>
          </w:r>
          <w:r>
            <w:fldChar w:fldCharType="separate"/>
          </w:r>
          <w:r>
            <w:t>- 5 -</w:t>
          </w:r>
          <w:r>
            <w:fldChar w:fldCharType="end"/>
          </w:r>
          <w:r>
            <w:fldChar w:fldCharType="end"/>
          </w:r>
        </w:p>
        <w:p w14:paraId="2B110869">
          <w:pPr>
            <w:pStyle w:val="27"/>
            <w:ind w:left="560" w:firstLine="480"/>
            <w:rPr>
              <w:rFonts w:asciiTheme="minorHAnsi" w:hAnsiTheme="minorHAnsi" w:eastAsiaTheme="minorEastAsia"/>
              <w:sz w:val="21"/>
            </w:rPr>
          </w:pPr>
          <w:r>
            <w:fldChar w:fldCharType="begin"/>
          </w:r>
          <w:r>
            <w:instrText xml:space="preserve"> HYPERLINK \l "_Toc109121628" </w:instrText>
          </w:r>
          <w:r>
            <w:fldChar w:fldCharType="separate"/>
          </w:r>
          <w:r>
            <w:rPr>
              <w:rStyle w:val="36"/>
              <w:rFonts w:ascii="Times New Roman" w:hAnsi="Times New Roman" w:cs="Times New Roman"/>
            </w:rPr>
            <w:t>2.2</w:t>
          </w:r>
          <w:r>
            <w:rPr>
              <w:rStyle w:val="36"/>
              <w:rFonts w:hint="eastAsia" w:ascii="Times New Roman" w:hAnsi="Times New Roman" w:cs="Times New Roman"/>
            </w:rPr>
            <w:t xml:space="preserve"> 社会经济</w:t>
          </w:r>
          <w:r>
            <w:tab/>
          </w:r>
          <w:r>
            <w:fldChar w:fldCharType="begin"/>
          </w:r>
          <w:r>
            <w:instrText xml:space="preserve"> PAGEREF _Toc109121628 \h </w:instrText>
          </w:r>
          <w:r>
            <w:fldChar w:fldCharType="separate"/>
          </w:r>
          <w:r>
            <w:t>- 6 -</w:t>
          </w:r>
          <w:r>
            <w:fldChar w:fldCharType="end"/>
          </w:r>
          <w:r>
            <w:fldChar w:fldCharType="end"/>
          </w:r>
        </w:p>
        <w:p w14:paraId="629E381F">
          <w:pPr>
            <w:pStyle w:val="27"/>
            <w:ind w:left="560" w:firstLine="480"/>
            <w:rPr>
              <w:rFonts w:asciiTheme="minorHAnsi" w:hAnsiTheme="minorHAnsi" w:eastAsiaTheme="minorEastAsia"/>
              <w:sz w:val="21"/>
            </w:rPr>
          </w:pPr>
          <w:r>
            <w:fldChar w:fldCharType="begin"/>
          </w:r>
          <w:r>
            <w:instrText xml:space="preserve"> HYPERLINK \l "_Toc109121629" </w:instrText>
          </w:r>
          <w:r>
            <w:fldChar w:fldCharType="separate"/>
          </w:r>
          <w:r>
            <w:rPr>
              <w:rStyle w:val="36"/>
              <w:rFonts w:ascii="Times New Roman" w:hAnsi="Times New Roman" w:cs="Times New Roman"/>
            </w:rPr>
            <w:t>2.3</w:t>
          </w:r>
          <w:r>
            <w:rPr>
              <w:rStyle w:val="36"/>
              <w:rFonts w:hint="eastAsia" w:ascii="Times New Roman" w:hAnsi="Times New Roman" w:cs="Times New Roman"/>
            </w:rPr>
            <w:t xml:space="preserve"> 农田水利现状</w:t>
          </w:r>
          <w:r>
            <w:tab/>
          </w:r>
          <w:r>
            <w:fldChar w:fldCharType="begin"/>
          </w:r>
          <w:r>
            <w:instrText xml:space="preserve"> PAGEREF _Toc109121629 \h </w:instrText>
          </w:r>
          <w:r>
            <w:fldChar w:fldCharType="separate"/>
          </w:r>
          <w:r>
            <w:t>- 7 -</w:t>
          </w:r>
          <w:r>
            <w:fldChar w:fldCharType="end"/>
          </w:r>
          <w:r>
            <w:fldChar w:fldCharType="end"/>
          </w:r>
        </w:p>
        <w:p w14:paraId="031B1DC2">
          <w:pPr>
            <w:pStyle w:val="18"/>
            <w:ind w:left="1120" w:firstLine="480"/>
            <w:rPr>
              <w:rFonts w:asciiTheme="minorHAnsi" w:hAnsiTheme="minorHAnsi" w:eastAsiaTheme="minorEastAsia"/>
              <w:sz w:val="21"/>
            </w:rPr>
          </w:pPr>
          <w:r>
            <w:fldChar w:fldCharType="begin"/>
          </w:r>
          <w:r>
            <w:instrText xml:space="preserve"> HYPERLINK \l "_Toc109121630" </w:instrText>
          </w:r>
          <w:r>
            <w:fldChar w:fldCharType="separate"/>
          </w:r>
          <w:r>
            <w:rPr>
              <w:rStyle w:val="36"/>
              <w:rFonts w:cs="Times New Roman"/>
            </w:rPr>
            <w:t>2.3.1</w:t>
          </w:r>
          <w:r>
            <w:rPr>
              <w:rStyle w:val="36"/>
              <w:rFonts w:hint="eastAsia" w:cs="Times New Roman"/>
            </w:rPr>
            <w:t xml:space="preserve"> 工程设施现状</w:t>
          </w:r>
          <w:r>
            <w:tab/>
          </w:r>
          <w:r>
            <w:fldChar w:fldCharType="begin"/>
          </w:r>
          <w:r>
            <w:instrText xml:space="preserve"> PAGEREF _Toc109121630 \h </w:instrText>
          </w:r>
          <w:r>
            <w:fldChar w:fldCharType="separate"/>
          </w:r>
          <w:r>
            <w:t>- 7 -</w:t>
          </w:r>
          <w:r>
            <w:fldChar w:fldCharType="end"/>
          </w:r>
          <w:r>
            <w:fldChar w:fldCharType="end"/>
          </w:r>
        </w:p>
        <w:p w14:paraId="48E696C9">
          <w:pPr>
            <w:pStyle w:val="18"/>
            <w:ind w:left="1120" w:firstLine="480"/>
            <w:rPr>
              <w:rFonts w:asciiTheme="minorHAnsi" w:hAnsiTheme="minorHAnsi" w:eastAsiaTheme="minorEastAsia"/>
              <w:sz w:val="21"/>
            </w:rPr>
          </w:pPr>
          <w:r>
            <w:fldChar w:fldCharType="begin"/>
          </w:r>
          <w:r>
            <w:instrText xml:space="preserve"> HYPERLINK \l "_Toc109121631" </w:instrText>
          </w:r>
          <w:r>
            <w:fldChar w:fldCharType="separate"/>
          </w:r>
          <w:r>
            <w:rPr>
              <w:rStyle w:val="36"/>
              <w:rFonts w:cs="Times New Roman"/>
            </w:rPr>
            <w:t>2.3.2</w:t>
          </w:r>
          <w:r>
            <w:rPr>
              <w:rStyle w:val="36"/>
              <w:rFonts w:hint="eastAsia" w:cs="Times New Roman"/>
            </w:rPr>
            <w:t xml:space="preserve"> 运行管理现状</w:t>
          </w:r>
          <w:r>
            <w:tab/>
          </w:r>
          <w:r>
            <w:fldChar w:fldCharType="begin"/>
          </w:r>
          <w:r>
            <w:instrText xml:space="preserve"> PAGEREF _Toc109121631 \h </w:instrText>
          </w:r>
          <w:r>
            <w:fldChar w:fldCharType="separate"/>
          </w:r>
          <w:r>
            <w:t>- 7 -</w:t>
          </w:r>
          <w:r>
            <w:fldChar w:fldCharType="end"/>
          </w:r>
          <w:r>
            <w:fldChar w:fldCharType="end"/>
          </w:r>
        </w:p>
        <w:p w14:paraId="2BDCD03E">
          <w:pPr>
            <w:pStyle w:val="24"/>
            <w:ind w:firstLine="562"/>
            <w:rPr>
              <w:rFonts w:asciiTheme="minorHAnsi" w:hAnsiTheme="minorHAnsi" w:eastAsiaTheme="minorEastAsia"/>
              <w:b w:val="0"/>
              <w:sz w:val="21"/>
            </w:rPr>
          </w:pPr>
          <w:r>
            <w:fldChar w:fldCharType="begin"/>
          </w:r>
          <w:r>
            <w:instrText xml:space="preserve"> HYPERLINK \l "_Toc109121632" </w:instrText>
          </w:r>
          <w:r>
            <w:fldChar w:fldCharType="separate"/>
          </w:r>
          <w:r>
            <w:rPr>
              <w:rStyle w:val="36"/>
              <w:rFonts w:cs="Times New Roman"/>
            </w:rPr>
            <w:t>3</w:t>
          </w:r>
          <w:r>
            <w:rPr>
              <w:rStyle w:val="36"/>
              <w:rFonts w:hint="eastAsia" w:cs="Times New Roman"/>
            </w:rPr>
            <w:t xml:space="preserve"> 改革的必要性</w:t>
          </w:r>
          <w:r>
            <w:tab/>
          </w:r>
          <w:r>
            <w:fldChar w:fldCharType="begin"/>
          </w:r>
          <w:r>
            <w:instrText xml:space="preserve"> PAGEREF _Toc109121632 \h </w:instrText>
          </w:r>
          <w:r>
            <w:fldChar w:fldCharType="separate"/>
          </w:r>
          <w:r>
            <w:t>- 9 -</w:t>
          </w:r>
          <w:r>
            <w:fldChar w:fldCharType="end"/>
          </w:r>
          <w:r>
            <w:fldChar w:fldCharType="end"/>
          </w:r>
        </w:p>
        <w:p w14:paraId="08DE553B">
          <w:pPr>
            <w:pStyle w:val="27"/>
            <w:ind w:left="560" w:firstLine="480"/>
            <w:rPr>
              <w:rFonts w:asciiTheme="minorHAnsi" w:hAnsiTheme="minorHAnsi" w:eastAsiaTheme="minorEastAsia"/>
              <w:sz w:val="21"/>
            </w:rPr>
          </w:pPr>
          <w:r>
            <w:fldChar w:fldCharType="begin"/>
          </w:r>
          <w:r>
            <w:instrText xml:space="preserve"> HYPERLINK \l "_Toc109121633" </w:instrText>
          </w:r>
          <w:r>
            <w:fldChar w:fldCharType="separate"/>
          </w:r>
          <w:r>
            <w:rPr>
              <w:rStyle w:val="36"/>
              <w:rFonts w:ascii="Times New Roman" w:hAnsi="Times New Roman" w:cs="Times New Roman"/>
            </w:rPr>
            <w:t>3.1</w:t>
          </w:r>
          <w:r>
            <w:rPr>
              <w:rStyle w:val="36"/>
              <w:rFonts w:hint="eastAsia" w:ascii="Times New Roman" w:hAnsi="Times New Roman" w:cs="Times New Roman"/>
            </w:rPr>
            <w:t xml:space="preserve"> 存在的问题</w:t>
          </w:r>
          <w:r>
            <w:tab/>
          </w:r>
          <w:r>
            <w:fldChar w:fldCharType="begin"/>
          </w:r>
          <w:r>
            <w:instrText xml:space="preserve"> PAGEREF _Toc109121633 \h </w:instrText>
          </w:r>
          <w:r>
            <w:fldChar w:fldCharType="separate"/>
          </w:r>
          <w:r>
            <w:t>- 9 -</w:t>
          </w:r>
          <w:r>
            <w:fldChar w:fldCharType="end"/>
          </w:r>
          <w:r>
            <w:fldChar w:fldCharType="end"/>
          </w:r>
        </w:p>
        <w:p w14:paraId="3FC5004F">
          <w:pPr>
            <w:pStyle w:val="27"/>
            <w:ind w:left="560" w:firstLine="480"/>
            <w:rPr>
              <w:rFonts w:asciiTheme="minorHAnsi" w:hAnsiTheme="minorHAnsi" w:eastAsiaTheme="minorEastAsia"/>
              <w:sz w:val="21"/>
            </w:rPr>
          </w:pPr>
          <w:r>
            <w:fldChar w:fldCharType="begin"/>
          </w:r>
          <w:r>
            <w:instrText xml:space="preserve"> HYPERLINK \l "_Toc109121634" </w:instrText>
          </w:r>
          <w:r>
            <w:fldChar w:fldCharType="separate"/>
          </w:r>
          <w:r>
            <w:rPr>
              <w:rStyle w:val="36"/>
              <w:rFonts w:ascii="Times New Roman" w:hAnsi="Times New Roman" w:cs="Times New Roman"/>
            </w:rPr>
            <w:t>3.2</w:t>
          </w:r>
          <w:r>
            <w:rPr>
              <w:rStyle w:val="36"/>
              <w:rFonts w:hint="eastAsia" w:ascii="Times New Roman" w:hAnsi="Times New Roman" w:cs="Times New Roman"/>
            </w:rPr>
            <w:t xml:space="preserve"> 改革的必要性</w:t>
          </w:r>
          <w:r>
            <w:tab/>
          </w:r>
          <w:r>
            <w:fldChar w:fldCharType="begin"/>
          </w:r>
          <w:r>
            <w:instrText xml:space="preserve"> PAGEREF _Toc109121634 \h </w:instrText>
          </w:r>
          <w:r>
            <w:fldChar w:fldCharType="separate"/>
          </w:r>
          <w:r>
            <w:t>- 9 -</w:t>
          </w:r>
          <w:r>
            <w:fldChar w:fldCharType="end"/>
          </w:r>
          <w:r>
            <w:fldChar w:fldCharType="end"/>
          </w:r>
        </w:p>
        <w:p w14:paraId="4E54C5B4">
          <w:pPr>
            <w:pStyle w:val="24"/>
            <w:ind w:firstLine="562"/>
            <w:rPr>
              <w:rFonts w:asciiTheme="minorHAnsi" w:hAnsiTheme="minorHAnsi" w:eastAsiaTheme="minorEastAsia"/>
              <w:b w:val="0"/>
              <w:sz w:val="21"/>
            </w:rPr>
          </w:pPr>
          <w:r>
            <w:fldChar w:fldCharType="begin"/>
          </w:r>
          <w:r>
            <w:instrText xml:space="preserve"> HYPERLINK \l "_Toc109121635" </w:instrText>
          </w:r>
          <w:r>
            <w:fldChar w:fldCharType="separate"/>
          </w:r>
          <w:r>
            <w:rPr>
              <w:rStyle w:val="36"/>
              <w:rFonts w:cs="Times New Roman"/>
            </w:rPr>
            <w:t>4</w:t>
          </w:r>
          <w:r>
            <w:rPr>
              <w:rStyle w:val="36"/>
              <w:rFonts w:hint="eastAsia" w:cs="Times New Roman"/>
            </w:rPr>
            <w:t xml:space="preserve"> 改革目标与任务</w:t>
          </w:r>
          <w:r>
            <w:tab/>
          </w:r>
          <w:r>
            <w:fldChar w:fldCharType="begin"/>
          </w:r>
          <w:r>
            <w:instrText xml:space="preserve"> PAGEREF _Toc109121635 \h </w:instrText>
          </w:r>
          <w:r>
            <w:fldChar w:fldCharType="separate"/>
          </w:r>
          <w:r>
            <w:t>- 12 -</w:t>
          </w:r>
          <w:r>
            <w:fldChar w:fldCharType="end"/>
          </w:r>
          <w:r>
            <w:fldChar w:fldCharType="end"/>
          </w:r>
        </w:p>
        <w:p w14:paraId="5647A954">
          <w:pPr>
            <w:pStyle w:val="27"/>
            <w:ind w:left="560" w:firstLine="480"/>
            <w:rPr>
              <w:rFonts w:asciiTheme="minorHAnsi" w:hAnsiTheme="minorHAnsi" w:eastAsiaTheme="minorEastAsia"/>
              <w:sz w:val="21"/>
            </w:rPr>
          </w:pPr>
          <w:r>
            <w:fldChar w:fldCharType="begin"/>
          </w:r>
          <w:r>
            <w:instrText xml:space="preserve"> HYPERLINK \l "_Toc109121636" </w:instrText>
          </w:r>
          <w:r>
            <w:fldChar w:fldCharType="separate"/>
          </w:r>
          <w:r>
            <w:rPr>
              <w:rStyle w:val="36"/>
              <w:rFonts w:ascii="Times New Roman" w:hAnsi="Times New Roman" w:cs="Times New Roman"/>
            </w:rPr>
            <w:t>4.1</w:t>
          </w:r>
          <w:r>
            <w:rPr>
              <w:rStyle w:val="36"/>
              <w:rFonts w:hint="eastAsia" w:ascii="Times New Roman" w:hAnsi="Times New Roman" w:cs="Times New Roman"/>
            </w:rPr>
            <w:t xml:space="preserve"> 指导思想</w:t>
          </w:r>
          <w:r>
            <w:tab/>
          </w:r>
          <w:r>
            <w:fldChar w:fldCharType="begin"/>
          </w:r>
          <w:r>
            <w:instrText xml:space="preserve"> PAGEREF _Toc109121636 \h </w:instrText>
          </w:r>
          <w:r>
            <w:fldChar w:fldCharType="separate"/>
          </w:r>
          <w:r>
            <w:t>- 12 -</w:t>
          </w:r>
          <w:r>
            <w:fldChar w:fldCharType="end"/>
          </w:r>
          <w:r>
            <w:fldChar w:fldCharType="end"/>
          </w:r>
        </w:p>
        <w:p w14:paraId="13A8C8C3">
          <w:pPr>
            <w:pStyle w:val="27"/>
            <w:ind w:left="560" w:firstLine="480"/>
            <w:rPr>
              <w:rFonts w:asciiTheme="minorHAnsi" w:hAnsiTheme="minorHAnsi" w:eastAsiaTheme="minorEastAsia"/>
              <w:sz w:val="21"/>
            </w:rPr>
          </w:pPr>
          <w:r>
            <w:fldChar w:fldCharType="begin"/>
          </w:r>
          <w:r>
            <w:instrText xml:space="preserve"> HYPERLINK \l "_Toc109121637" </w:instrText>
          </w:r>
          <w:r>
            <w:fldChar w:fldCharType="separate"/>
          </w:r>
          <w:r>
            <w:rPr>
              <w:rStyle w:val="36"/>
              <w:rFonts w:ascii="Times New Roman" w:hAnsi="Times New Roman" w:cs="Times New Roman"/>
            </w:rPr>
            <w:t>4.2</w:t>
          </w:r>
          <w:r>
            <w:rPr>
              <w:rStyle w:val="36"/>
              <w:rFonts w:hint="eastAsia" w:ascii="Times New Roman" w:hAnsi="Times New Roman" w:cs="Times New Roman"/>
            </w:rPr>
            <w:t xml:space="preserve"> 基本原则</w:t>
          </w:r>
          <w:r>
            <w:tab/>
          </w:r>
          <w:r>
            <w:fldChar w:fldCharType="begin"/>
          </w:r>
          <w:r>
            <w:instrText xml:space="preserve"> PAGEREF _Toc109121637 \h </w:instrText>
          </w:r>
          <w:r>
            <w:fldChar w:fldCharType="separate"/>
          </w:r>
          <w:r>
            <w:t>- 13 -</w:t>
          </w:r>
          <w:r>
            <w:fldChar w:fldCharType="end"/>
          </w:r>
          <w:r>
            <w:fldChar w:fldCharType="end"/>
          </w:r>
        </w:p>
        <w:p w14:paraId="27B83C81">
          <w:pPr>
            <w:pStyle w:val="27"/>
            <w:ind w:left="560" w:firstLine="480"/>
            <w:rPr>
              <w:rFonts w:asciiTheme="minorHAnsi" w:hAnsiTheme="minorHAnsi" w:eastAsiaTheme="minorEastAsia"/>
              <w:sz w:val="21"/>
            </w:rPr>
          </w:pPr>
          <w:r>
            <w:fldChar w:fldCharType="begin"/>
          </w:r>
          <w:r>
            <w:instrText xml:space="preserve"> HYPERLINK \l "_Toc109121638" </w:instrText>
          </w:r>
          <w:r>
            <w:fldChar w:fldCharType="separate"/>
          </w:r>
          <w:r>
            <w:rPr>
              <w:rStyle w:val="36"/>
              <w:rFonts w:ascii="Times New Roman" w:hAnsi="Times New Roman" w:cs="Times New Roman"/>
            </w:rPr>
            <w:t>4.3</w:t>
          </w:r>
          <w:r>
            <w:rPr>
              <w:rStyle w:val="36"/>
              <w:rFonts w:hint="eastAsia" w:ascii="Times New Roman" w:hAnsi="Times New Roman" w:cs="Times New Roman"/>
            </w:rPr>
            <w:t xml:space="preserve"> 改革目标</w:t>
          </w:r>
          <w:r>
            <w:tab/>
          </w:r>
          <w:r>
            <w:fldChar w:fldCharType="begin"/>
          </w:r>
          <w:r>
            <w:instrText xml:space="preserve"> PAGEREF _Toc109121638 \h </w:instrText>
          </w:r>
          <w:r>
            <w:fldChar w:fldCharType="separate"/>
          </w:r>
          <w:r>
            <w:t>- 14 -</w:t>
          </w:r>
          <w:r>
            <w:fldChar w:fldCharType="end"/>
          </w:r>
          <w:r>
            <w:fldChar w:fldCharType="end"/>
          </w:r>
        </w:p>
        <w:p w14:paraId="109F442B">
          <w:pPr>
            <w:pStyle w:val="27"/>
            <w:ind w:left="560" w:firstLine="480"/>
            <w:rPr>
              <w:rFonts w:asciiTheme="minorHAnsi" w:hAnsiTheme="minorHAnsi" w:eastAsiaTheme="minorEastAsia"/>
              <w:sz w:val="21"/>
            </w:rPr>
          </w:pPr>
          <w:r>
            <w:fldChar w:fldCharType="begin"/>
          </w:r>
          <w:r>
            <w:instrText xml:space="preserve"> HYPERLINK \l "_Toc109121639" </w:instrText>
          </w:r>
          <w:r>
            <w:fldChar w:fldCharType="separate"/>
          </w:r>
          <w:r>
            <w:rPr>
              <w:rStyle w:val="36"/>
              <w:rFonts w:ascii="Times New Roman" w:hAnsi="Times New Roman" w:cs="Times New Roman"/>
            </w:rPr>
            <w:t>4.4</w:t>
          </w:r>
          <w:r>
            <w:rPr>
              <w:rStyle w:val="36"/>
              <w:rFonts w:hint="eastAsia" w:ascii="Times New Roman" w:hAnsi="Times New Roman" w:cs="Times New Roman"/>
            </w:rPr>
            <w:t xml:space="preserve"> 改革任务及范围</w:t>
          </w:r>
          <w:r>
            <w:tab/>
          </w:r>
          <w:r>
            <w:fldChar w:fldCharType="begin"/>
          </w:r>
          <w:r>
            <w:instrText xml:space="preserve"> PAGEREF _Toc109121639 \h </w:instrText>
          </w:r>
          <w:r>
            <w:fldChar w:fldCharType="separate"/>
          </w:r>
          <w:r>
            <w:t>- 15 -</w:t>
          </w:r>
          <w:r>
            <w:fldChar w:fldCharType="end"/>
          </w:r>
          <w:r>
            <w:fldChar w:fldCharType="end"/>
          </w:r>
        </w:p>
        <w:p w14:paraId="27A0C44F">
          <w:pPr>
            <w:pStyle w:val="18"/>
            <w:ind w:left="1120" w:firstLine="480"/>
            <w:rPr>
              <w:rFonts w:asciiTheme="minorHAnsi" w:hAnsiTheme="minorHAnsi" w:eastAsiaTheme="minorEastAsia"/>
              <w:sz w:val="21"/>
            </w:rPr>
          </w:pPr>
          <w:r>
            <w:fldChar w:fldCharType="begin"/>
          </w:r>
          <w:r>
            <w:instrText xml:space="preserve"> HYPERLINK \l "_Toc109121640" </w:instrText>
          </w:r>
          <w:r>
            <w:fldChar w:fldCharType="separate"/>
          </w:r>
          <w:r>
            <w:rPr>
              <w:rStyle w:val="36"/>
              <w:rFonts w:cs="Times New Roman"/>
            </w:rPr>
            <w:t>4.4.1</w:t>
          </w:r>
          <w:r>
            <w:rPr>
              <w:rStyle w:val="36"/>
              <w:rFonts w:hint="eastAsia" w:cs="Times New Roman"/>
            </w:rPr>
            <w:t xml:space="preserve"> 改革任务</w:t>
          </w:r>
          <w:r>
            <w:tab/>
          </w:r>
          <w:r>
            <w:fldChar w:fldCharType="begin"/>
          </w:r>
          <w:r>
            <w:instrText xml:space="preserve"> PAGEREF _Toc109121640 \h </w:instrText>
          </w:r>
          <w:r>
            <w:fldChar w:fldCharType="separate"/>
          </w:r>
          <w:r>
            <w:t>- 15 -</w:t>
          </w:r>
          <w:r>
            <w:fldChar w:fldCharType="end"/>
          </w:r>
          <w:r>
            <w:fldChar w:fldCharType="end"/>
          </w:r>
        </w:p>
        <w:p w14:paraId="182112E8">
          <w:pPr>
            <w:pStyle w:val="18"/>
            <w:ind w:left="1120" w:firstLine="480"/>
            <w:rPr>
              <w:rFonts w:asciiTheme="minorHAnsi" w:hAnsiTheme="minorHAnsi" w:eastAsiaTheme="minorEastAsia"/>
              <w:sz w:val="21"/>
            </w:rPr>
          </w:pPr>
          <w:r>
            <w:fldChar w:fldCharType="begin"/>
          </w:r>
          <w:r>
            <w:instrText xml:space="preserve"> HYPERLINK \l "_Toc109121641" </w:instrText>
          </w:r>
          <w:r>
            <w:fldChar w:fldCharType="separate"/>
          </w:r>
          <w:r>
            <w:rPr>
              <w:rStyle w:val="36"/>
              <w:rFonts w:cs="Times New Roman"/>
            </w:rPr>
            <w:t>4.4.2</w:t>
          </w:r>
          <w:r>
            <w:rPr>
              <w:rStyle w:val="36"/>
              <w:rFonts w:hint="eastAsia" w:cs="Times New Roman"/>
            </w:rPr>
            <w:t xml:space="preserve"> 改革范围</w:t>
          </w:r>
          <w:r>
            <w:tab/>
          </w:r>
          <w:r>
            <w:fldChar w:fldCharType="begin"/>
          </w:r>
          <w:r>
            <w:instrText xml:space="preserve"> PAGEREF _Toc109121641 \h </w:instrText>
          </w:r>
          <w:r>
            <w:fldChar w:fldCharType="separate"/>
          </w:r>
          <w:r>
            <w:t>- 15 -</w:t>
          </w:r>
          <w:r>
            <w:fldChar w:fldCharType="end"/>
          </w:r>
          <w:r>
            <w:fldChar w:fldCharType="end"/>
          </w:r>
        </w:p>
        <w:p w14:paraId="666A76E1">
          <w:pPr>
            <w:pStyle w:val="27"/>
            <w:ind w:left="560" w:firstLine="480"/>
            <w:rPr>
              <w:rFonts w:asciiTheme="minorHAnsi" w:hAnsiTheme="minorHAnsi" w:eastAsiaTheme="minorEastAsia"/>
              <w:sz w:val="21"/>
            </w:rPr>
          </w:pPr>
          <w:r>
            <w:fldChar w:fldCharType="begin"/>
          </w:r>
          <w:r>
            <w:instrText xml:space="preserve"> HYPERLINK \l "_Toc109121642" </w:instrText>
          </w:r>
          <w:r>
            <w:fldChar w:fldCharType="separate"/>
          </w:r>
          <w:r>
            <w:rPr>
              <w:rStyle w:val="36"/>
              <w:rFonts w:ascii="Times New Roman" w:hAnsi="Times New Roman" w:cs="Times New Roman"/>
            </w:rPr>
            <w:t>4.5</w:t>
          </w:r>
          <w:r>
            <w:rPr>
              <w:rStyle w:val="36"/>
              <w:rFonts w:hint="eastAsia" w:ascii="Times New Roman" w:hAnsi="Times New Roman" w:cs="Times New Roman"/>
            </w:rPr>
            <w:t xml:space="preserve"> 实施计划</w:t>
          </w:r>
          <w:r>
            <w:tab/>
          </w:r>
          <w:r>
            <w:fldChar w:fldCharType="begin"/>
          </w:r>
          <w:r>
            <w:instrText xml:space="preserve"> PAGEREF _Toc109121642 \h </w:instrText>
          </w:r>
          <w:r>
            <w:fldChar w:fldCharType="separate"/>
          </w:r>
          <w:r>
            <w:t>- 16 -</w:t>
          </w:r>
          <w:r>
            <w:fldChar w:fldCharType="end"/>
          </w:r>
          <w:r>
            <w:fldChar w:fldCharType="end"/>
          </w:r>
        </w:p>
        <w:p w14:paraId="5591773F">
          <w:pPr>
            <w:pStyle w:val="24"/>
            <w:ind w:firstLine="562"/>
            <w:rPr>
              <w:rFonts w:asciiTheme="minorHAnsi" w:hAnsiTheme="minorHAnsi" w:eastAsiaTheme="minorEastAsia"/>
              <w:b w:val="0"/>
              <w:sz w:val="21"/>
            </w:rPr>
          </w:pPr>
          <w:r>
            <w:fldChar w:fldCharType="begin"/>
          </w:r>
          <w:r>
            <w:instrText xml:space="preserve"> HYPERLINK \l "_Toc109121643" </w:instrText>
          </w:r>
          <w:r>
            <w:fldChar w:fldCharType="separate"/>
          </w:r>
          <w:r>
            <w:rPr>
              <w:rStyle w:val="36"/>
              <w:rFonts w:cs="Times New Roman"/>
            </w:rPr>
            <w:t>5</w:t>
          </w:r>
          <w:r>
            <w:rPr>
              <w:rStyle w:val="36"/>
              <w:rFonts w:hint="eastAsia" w:cs="Times New Roman"/>
            </w:rPr>
            <w:t xml:space="preserve"> 改革措施</w:t>
          </w:r>
          <w:r>
            <w:tab/>
          </w:r>
          <w:r>
            <w:fldChar w:fldCharType="begin"/>
          </w:r>
          <w:r>
            <w:instrText xml:space="preserve"> PAGEREF _Toc109121643 \h </w:instrText>
          </w:r>
          <w:r>
            <w:fldChar w:fldCharType="separate"/>
          </w:r>
          <w:r>
            <w:t>- 21 -</w:t>
          </w:r>
          <w:r>
            <w:fldChar w:fldCharType="end"/>
          </w:r>
          <w:r>
            <w:fldChar w:fldCharType="end"/>
          </w:r>
        </w:p>
        <w:p w14:paraId="1C5A2A35">
          <w:pPr>
            <w:pStyle w:val="27"/>
            <w:ind w:left="560" w:firstLine="480"/>
            <w:rPr>
              <w:rFonts w:asciiTheme="minorHAnsi" w:hAnsiTheme="minorHAnsi" w:eastAsiaTheme="minorEastAsia"/>
              <w:sz w:val="21"/>
            </w:rPr>
          </w:pPr>
          <w:r>
            <w:fldChar w:fldCharType="begin"/>
          </w:r>
          <w:r>
            <w:instrText xml:space="preserve"> HYPERLINK \l "_Toc109121644" </w:instrText>
          </w:r>
          <w:r>
            <w:fldChar w:fldCharType="separate"/>
          </w:r>
          <w:r>
            <w:rPr>
              <w:rStyle w:val="36"/>
              <w:rFonts w:ascii="Times New Roman" w:hAnsi="Times New Roman" w:cs="Times New Roman"/>
            </w:rPr>
            <w:t>5.1</w:t>
          </w:r>
          <w:r>
            <w:rPr>
              <w:rStyle w:val="36"/>
              <w:rFonts w:hint="eastAsia" w:ascii="Times New Roman" w:hAnsi="Times New Roman" w:cs="Times New Roman"/>
            </w:rPr>
            <w:t xml:space="preserve"> 高标准农田建设</w:t>
          </w:r>
          <w:r>
            <w:tab/>
          </w:r>
          <w:r>
            <w:fldChar w:fldCharType="begin"/>
          </w:r>
          <w:r>
            <w:instrText xml:space="preserve"> PAGEREF _Toc109121644 \h </w:instrText>
          </w:r>
          <w:r>
            <w:fldChar w:fldCharType="separate"/>
          </w:r>
          <w:r>
            <w:t>- 21 -</w:t>
          </w:r>
          <w:r>
            <w:fldChar w:fldCharType="end"/>
          </w:r>
          <w:r>
            <w:fldChar w:fldCharType="end"/>
          </w:r>
        </w:p>
        <w:p w14:paraId="12DE2F95">
          <w:pPr>
            <w:pStyle w:val="27"/>
            <w:ind w:left="560" w:firstLine="480"/>
            <w:rPr>
              <w:rFonts w:asciiTheme="minorHAnsi" w:hAnsiTheme="minorHAnsi" w:eastAsiaTheme="minorEastAsia"/>
              <w:sz w:val="21"/>
            </w:rPr>
          </w:pPr>
          <w:r>
            <w:fldChar w:fldCharType="begin"/>
          </w:r>
          <w:r>
            <w:instrText xml:space="preserve"> HYPERLINK \l "_Toc109121645" </w:instrText>
          </w:r>
          <w:r>
            <w:fldChar w:fldCharType="separate"/>
          </w:r>
          <w:r>
            <w:rPr>
              <w:rStyle w:val="36"/>
              <w:rFonts w:ascii="Times New Roman" w:hAnsi="Times New Roman" w:cs="Times New Roman"/>
            </w:rPr>
            <w:t>5.2</w:t>
          </w:r>
          <w:r>
            <w:rPr>
              <w:rStyle w:val="36"/>
              <w:rFonts w:hint="eastAsia" w:ascii="Times New Roman" w:hAnsi="Times New Roman" w:cs="Times New Roman"/>
            </w:rPr>
            <w:t xml:space="preserve"> 计量设施配套</w:t>
          </w:r>
          <w:r>
            <w:tab/>
          </w:r>
          <w:r>
            <w:fldChar w:fldCharType="begin"/>
          </w:r>
          <w:r>
            <w:instrText xml:space="preserve"> PAGEREF _Toc109121645 \h </w:instrText>
          </w:r>
          <w:r>
            <w:fldChar w:fldCharType="separate"/>
          </w:r>
          <w:r>
            <w:t>- 22 -</w:t>
          </w:r>
          <w:r>
            <w:fldChar w:fldCharType="end"/>
          </w:r>
          <w:r>
            <w:fldChar w:fldCharType="end"/>
          </w:r>
        </w:p>
        <w:p w14:paraId="32FB9A92">
          <w:pPr>
            <w:pStyle w:val="27"/>
            <w:ind w:left="560" w:firstLine="480"/>
            <w:rPr>
              <w:rFonts w:asciiTheme="minorHAnsi" w:hAnsiTheme="minorHAnsi" w:eastAsiaTheme="minorEastAsia"/>
              <w:sz w:val="21"/>
            </w:rPr>
          </w:pPr>
          <w:r>
            <w:fldChar w:fldCharType="begin"/>
          </w:r>
          <w:r>
            <w:instrText xml:space="preserve"> HYPERLINK \l "_Toc109121646" </w:instrText>
          </w:r>
          <w:r>
            <w:fldChar w:fldCharType="separate"/>
          </w:r>
          <w:r>
            <w:rPr>
              <w:rStyle w:val="36"/>
              <w:rFonts w:ascii="Times New Roman" w:hAnsi="Times New Roman" w:cs="Times New Roman"/>
            </w:rPr>
            <w:t>5.3</w:t>
          </w:r>
          <w:r>
            <w:rPr>
              <w:rStyle w:val="36"/>
              <w:rFonts w:hint="eastAsia" w:ascii="Times New Roman" w:hAnsi="Times New Roman" w:cs="Times New Roman"/>
            </w:rPr>
            <w:t xml:space="preserve"> 农业用水总量控制与定额管理</w:t>
          </w:r>
          <w:r>
            <w:tab/>
          </w:r>
          <w:r>
            <w:fldChar w:fldCharType="begin"/>
          </w:r>
          <w:r>
            <w:instrText xml:space="preserve"> PAGEREF _Toc109121646 \h </w:instrText>
          </w:r>
          <w:r>
            <w:fldChar w:fldCharType="separate"/>
          </w:r>
          <w:r>
            <w:t>- 23 -</w:t>
          </w:r>
          <w:r>
            <w:fldChar w:fldCharType="end"/>
          </w:r>
          <w:r>
            <w:fldChar w:fldCharType="end"/>
          </w:r>
        </w:p>
        <w:p w14:paraId="761E4298">
          <w:pPr>
            <w:pStyle w:val="18"/>
            <w:ind w:left="1120" w:firstLine="480"/>
            <w:rPr>
              <w:rFonts w:asciiTheme="minorHAnsi" w:hAnsiTheme="minorHAnsi" w:eastAsiaTheme="minorEastAsia"/>
              <w:sz w:val="21"/>
            </w:rPr>
          </w:pPr>
          <w:r>
            <w:fldChar w:fldCharType="begin"/>
          </w:r>
          <w:r>
            <w:instrText xml:space="preserve"> HYPERLINK \l "_Toc109121647" </w:instrText>
          </w:r>
          <w:r>
            <w:fldChar w:fldCharType="separate"/>
          </w:r>
          <w:r>
            <w:rPr>
              <w:rStyle w:val="36"/>
              <w:rFonts w:cs="Times New Roman"/>
            </w:rPr>
            <w:t>5.3.1</w:t>
          </w:r>
          <w:r>
            <w:rPr>
              <w:rStyle w:val="36"/>
              <w:rFonts w:hint="eastAsia" w:cs="Times New Roman"/>
            </w:rPr>
            <w:t xml:space="preserve"> 建立农业水权</w:t>
          </w:r>
          <w:r>
            <w:tab/>
          </w:r>
          <w:r>
            <w:fldChar w:fldCharType="begin"/>
          </w:r>
          <w:r>
            <w:instrText xml:space="preserve"> PAGEREF _Toc109121647 \h </w:instrText>
          </w:r>
          <w:r>
            <w:fldChar w:fldCharType="separate"/>
          </w:r>
          <w:r>
            <w:t>- 23 -</w:t>
          </w:r>
          <w:r>
            <w:fldChar w:fldCharType="end"/>
          </w:r>
          <w:r>
            <w:fldChar w:fldCharType="end"/>
          </w:r>
        </w:p>
        <w:p w14:paraId="7B1FD629">
          <w:pPr>
            <w:pStyle w:val="18"/>
            <w:ind w:left="1120" w:firstLine="480"/>
            <w:rPr>
              <w:rFonts w:asciiTheme="minorHAnsi" w:hAnsiTheme="minorHAnsi" w:eastAsiaTheme="minorEastAsia"/>
              <w:sz w:val="21"/>
            </w:rPr>
          </w:pPr>
          <w:r>
            <w:fldChar w:fldCharType="begin"/>
          </w:r>
          <w:r>
            <w:instrText xml:space="preserve"> HYPERLINK \l "_Toc109121648" </w:instrText>
          </w:r>
          <w:r>
            <w:fldChar w:fldCharType="separate"/>
          </w:r>
          <w:r>
            <w:rPr>
              <w:rStyle w:val="36"/>
              <w:rFonts w:cs="Times New Roman"/>
            </w:rPr>
            <w:t>5.3.2</w:t>
          </w:r>
          <w:r>
            <w:rPr>
              <w:rStyle w:val="36"/>
              <w:rFonts w:hint="eastAsia" w:cs="Times New Roman"/>
            </w:rPr>
            <w:t xml:space="preserve"> 农业用水总量控制</w:t>
          </w:r>
          <w:r>
            <w:tab/>
          </w:r>
          <w:r>
            <w:fldChar w:fldCharType="begin"/>
          </w:r>
          <w:r>
            <w:instrText xml:space="preserve"> PAGEREF _Toc109121648 \h </w:instrText>
          </w:r>
          <w:r>
            <w:fldChar w:fldCharType="separate"/>
          </w:r>
          <w:r>
            <w:t>- 23 -</w:t>
          </w:r>
          <w:r>
            <w:fldChar w:fldCharType="end"/>
          </w:r>
          <w:r>
            <w:fldChar w:fldCharType="end"/>
          </w:r>
        </w:p>
        <w:p w14:paraId="00257CAD">
          <w:pPr>
            <w:pStyle w:val="18"/>
            <w:ind w:left="1120" w:firstLine="480"/>
            <w:rPr>
              <w:rFonts w:asciiTheme="minorHAnsi" w:hAnsiTheme="minorHAnsi" w:eastAsiaTheme="minorEastAsia"/>
              <w:sz w:val="21"/>
            </w:rPr>
          </w:pPr>
          <w:r>
            <w:fldChar w:fldCharType="begin"/>
          </w:r>
          <w:r>
            <w:instrText xml:space="preserve"> HYPERLINK \l "_Toc109121649" </w:instrText>
          </w:r>
          <w:r>
            <w:fldChar w:fldCharType="separate"/>
          </w:r>
          <w:r>
            <w:rPr>
              <w:rStyle w:val="36"/>
              <w:rFonts w:cs="Times New Roman"/>
            </w:rPr>
            <w:t>5.3.3</w:t>
          </w:r>
          <w:r>
            <w:rPr>
              <w:rStyle w:val="36"/>
              <w:rFonts w:hint="eastAsia" w:cs="Times New Roman"/>
            </w:rPr>
            <w:t xml:space="preserve"> 用水定额确定</w:t>
          </w:r>
          <w:r>
            <w:tab/>
          </w:r>
          <w:r>
            <w:fldChar w:fldCharType="begin"/>
          </w:r>
          <w:r>
            <w:instrText xml:space="preserve"> PAGEREF _Toc109121649 \h </w:instrText>
          </w:r>
          <w:r>
            <w:fldChar w:fldCharType="separate"/>
          </w:r>
          <w:r>
            <w:t>- 23 -</w:t>
          </w:r>
          <w:r>
            <w:fldChar w:fldCharType="end"/>
          </w:r>
          <w:r>
            <w:fldChar w:fldCharType="end"/>
          </w:r>
        </w:p>
        <w:p w14:paraId="4E8209FA">
          <w:pPr>
            <w:pStyle w:val="27"/>
            <w:ind w:left="560" w:firstLine="480"/>
            <w:rPr>
              <w:rFonts w:asciiTheme="minorHAnsi" w:hAnsiTheme="minorHAnsi" w:eastAsiaTheme="minorEastAsia"/>
              <w:sz w:val="21"/>
            </w:rPr>
          </w:pPr>
          <w:r>
            <w:fldChar w:fldCharType="begin"/>
          </w:r>
          <w:r>
            <w:instrText xml:space="preserve"> HYPERLINK \l "_Toc109121650" </w:instrText>
          </w:r>
          <w:r>
            <w:fldChar w:fldCharType="separate"/>
          </w:r>
          <w:r>
            <w:rPr>
              <w:rStyle w:val="36"/>
              <w:rFonts w:ascii="Times New Roman" w:hAnsi="Times New Roman" w:cs="Times New Roman"/>
            </w:rPr>
            <w:t>5.4</w:t>
          </w:r>
          <w:r>
            <w:rPr>
              <w:rStyle w:val="36"/>
              <w:rFonts w:hint="eastAsia" w:ascii="Times New Roman" w:hAnsi="Times New Roman" w:cs="Times New Roman"/>
            </w:rPr>
            <w:t xml:space="preserve"> 农业水价形成机制</w:t>
          </w:r>
          <w:r>
            <w:tab/>
          </w:r>
          <w:r>
            <w:fldChar w:fldCharType="begin"/>
          </w:r>
          <w:r>
            <w:instrText xml:space="preserve"> PAGEREF _Toc109121650 \h </w:instrText>
          </w:r>
          <w:r>
            <w:fldChar w:fldCharType="separate"/>
          </w:r>
          <w:r>
            <w:t>- 24 -</w:t>
          </w:r>
          <w:r>
            <w:fldChar w:fldCharType="end"/>
          </w:r>
          <w:r>
            <w:fldChar w:fldCharType="end"/>
          </w:r>
        </w:p>
        <w:p w14:paraId="3AC29ACE">
          <w:pPr>
            <w:pStyle w:val="18"/>
            <w:ind w:left="1120" w:firstLine="480"/>
            <w:rPr>
              <w:rFonts w:asciiTheme="minorHAnsi" w:hAnsiTheme="minorHAnsi" w:eastAsiaTheme="minorEastAsia"/>
              <w:sz w:val="21"/>
            </w:rPr>
          </w:pPr>
          <w:r>
            <w:fldChar w:fldCharType="begin"/>
          </w:r>
          <w:r>
            <w:instrText xml:space="preserve"> HYPERLINK \l "_Toc109121651" </w:instrText>
          </w:r>
          <w:r>
            <w:fldChar w:fldCharType="separate"/>
          </w:r>
          <w:r>
            <w:rPr>
              <w:rStyle w:val="36"/>
              <w:rFonts w:cs="Times New Roman"/>
            </w:rPr>
            <w:t>5.4.1</w:t>
          </w:r>
          <w:r>
            <w:rPr>
              <w:rStyle w:val="36"/>
              <w:rFonts w:hint="eastAsia" w:cs="Times New Roman"/>
            </w:rPr>
            <w:t xml:space="preserve"> 水价改革模式</w:t>
          </w:r>
          <w:r>
            <w:tab/>
          </w:r>
          <w:r>
            <w:fldChar w:fldCharType="begin"/>
          </w:r>
          <w:r>
            <w:instrText xml:space="preserve"> PAGEREF _Toc109121651 \h </w:instrText>
          </w:r>
          <w:r>
            <w:fldChar w:fldCharType="separate"/>
          </w:r>
          <w:r>
            <w:t>- 24 -</w:t>
          </w:r>
          <w:r>
            <w:fldChar w:fldCharType="end"/>
          </w:r>
          <w:r>
            <w:fldChar w:fldCharType="end"/>
          </w:r>
        </w:p>
        <w:p w14:paraId="5C049B08">
          <w:pPr>
            <w:pStyle w:val="18"/>
            <w:ind w:left="1120" w:firstLine="480"/>
            <w:rPr>
              <w:rFonts w:asciiTheme="minorHAnsi" w:hAnsiTheme="minorHAnsi" w:eastAsiaTheme="minorEastAsia"/>
              <w:sz w:val="21"/>
            </w:rPr>
          </w:pPr>
          <w:r>
            <w:fldChar w:fldCharType="begin"/>
          </w:r>
          <w:r>
            <w:instrText xml:space="preserve"> HYPERLINK \l "_Toc109121652" </w:instrText>
          </w:r>
          <w:r>
            <w:fldChar w:fldCharType="separate"/>
          </w:r>
          <w:r>
            <w:rPr>
              <w:rStyle w:val="36"/>
              <w:rFonts w:cs="Times New Roman"/>
            </w:rPr>
            <w:t>5.4.2</w:t>
          </w:r>
          <w:r>
            <w:rPr>
              <w:rStyle w:val="36"/>
              <w:rFonts w:hint="eastAsia" w:cs="Times New Roman"/>
            </w:rPr>
            <w:t xml:space="preserve"> 现行水价</w:t>
          </w:r>
          <w:r>
            <w:tab/>
          </w:r>
          <w:r>
            <w:fldChar w:fldCharType="begin"/>
          </w:r>
          <w:r>
            <w:instrText xml:space="preserve"> PAGEREF _Toc109121652 \h </w:instrText>
          </w:r>
          <w:r>
            <w:fldChar w:fldCharType="separate"/>
          </w:r>
          <w:r>
            <w:t>- 25 -</w:t>
          </w:r>
          <w:r>
            <w:fldChar w:fldCharType="end"/>
          </w:r>
          <w:r>
            <w:fldChar w:fldCharType="end"/>
          </w:r>
        </w:p>
        <w:p w14:paraId="7FEBDB24">
          <w:pPr>
            <w:pStyle w:val="18"/>
            <w:ind w:left="1120" w:firstLine="480"/>
            <w:rPr>
              <w:rFonts w:asciiTheme="minorHAnsi" w:hAnsiTheme="minorHAnsi" w:eastAsiaTheme="minorEastAsia"/>
              <w:sz w:val="21"/>
            </w:rPr>
          </w:pPr>
          <w:r>
            <w:fldChar w:fldCharType="begin"/>
          </w:r>
          <w:r>
            <w:instrText xml:space="preserve"> HYPERLINK \l "_Toc109121653" </w:instrText>
          </w:r>
          <w:r>
            <w:fldChar w:fldCharType="separate"/>
          </w:r>
          <w:r>
            <w:rPr>
              <w:rStyle w:val="36"/>
              <w:rFonts w:cs="Times New Roman"/>
            </w:rPr>
            <w:t>5.4.3</w:t>
          </w:r>
          <w:r>
            <w:rPr>
              <w:rStyle w:val="36"/>
              <w:rFonts w:hint="eastAsia" w:cs="Times New Roman"/>
            </w:rPr>
            <w:t xml:space="preserve"> 水价承受能力调查</w:t>
          </w:r>
          <w:r>
            <w:tab/>
          </w:r>
          <w:r>
            <w:fldChar w:fldCharType="begin"/>
          </w:r>
          <w:r>
            <w:instrText xml:space="preserve"> PAGEREF _Toc109121653 \h </w:instrText>
          </w:r>
          <w:r>
            <w:fldChar w:fldCharType="separate"/>
          </w:r>
          <w:r>
            <w:t>- 25 -</w:t>
          </w:r>
          <w:r>
            <w:fldChar w:fldCharType="end"/>
          </w:r>
          <w:r>
            <w:fldChar w:fldCharType="end"/>
          </w:r>
        </w:p>
        <w:p w14:paraId="7D66B509">
          <w:pPr>
            <w:pStyle w:val="18"/>
            <w:ind w:left="1120" w:firstLine="480"/>
            <w:rPr>
              <w:rFonts w:asciiTheme="minorHAnsi" w:hAnsiTheme="minorHAnsi" w:eastAsiaTheme="minorEastAsia"/>
              <w:sz w:val="21"/>
            </w:rPr>
          </w:pPr>
          <w:r>
            <w:fldChar w:fldCharType="begin"/>
          </w:r>
          <w:r>
            <w:instrText xml:space="preserve"> HYPERLINK \l "_Toc109121654" </w:instrText>
          </w:r>
          <w:r>
            <w:fldChar w:fldCharType="separate"/>
          </w:r>
          <w:r>
            <w:rPr>
              <w:rStyle w:val="36"/>
              <w:rFonts w:cs="Times New Roman"/>
            </w:rPr>
            <w:t>5.4.4</w:t>
          </w:r>
          <w:r>
            <w:rPr>
              <w:rStyle w:val="36"/>
              <w:rFonts w:hint="eastAsia" w:cs="Times New Roman"/>
            </w:rPr>
            <w:t xml:space="preserve"> 供水水价确定</w:t>
          </w:r>
          <w:r>
            <w:tab/>
          </w:r>
          <w:r>
            <w:fldChar w:fldCharType="begin"/>
          </w:r>
          <w:r>
            <w:instrText xml:space="preserve"> PAGEREF _Toc109121654 \h </w:instrText>
          </w:r>
          <w:r>
            <w:fldChar w:fldCharType="separate"/>
          </w:r>
          <w:r>
            <w:t>- 26 -</w:t>
          </w:r>
          <w:r>
            <w:fldChar w:fldCharType="end"/>
          </w:r>
          <w:r>
            <w:fldChar w:fldCharType="end"/>
          </w:r>
        </w:p>
        <w:p w14:paraId="0AE82CEC">
          <w:pPr>
            <w:pStyle w:val="27"/>
            <w:ind w:left="560" w:firstLine="480"/>
            <w:rPr>
              <w:rFonts w:asciiTheme="minorHAnsi" w:hAnsiTheme="minorHAnsi" w:eastAsiaTheme="minorEastAsia"/>
              <w:sz w:val="21"/>
            </w:rPr>
          </w:pPr>
          <w:r>
            <w:fldChar w:fldCharType="begin"/>
          </w:r>
          <w:r>
            <w:instrText xml:space="preserve"> HYPERLINK \l "_Toc109121655" </w:instrText>
          </w:r>
          <w:r>
            <w:fldChar w:fldCharType="separate"/>
          </w:r>
          <w:r>
            <w:rPr>
              <w:rStyle w:val="36"/>
              <w:rFonts w:ascii="Times New Roman" w:hAnsi="Times New Roman" w:cs="Times New Roman"/>
            </w:rPr>
            <w:t>5.5</w:t>
          </w:r>
          <w:r>
            <w:rPr>
              <w:rStyle w:val="36"/>
              <w:rFonts w:hint="eastAsia" w:ascii="Times New Roman" w:hAnsi="Times New Roman" w:cs="Times New Roman"/>
            </w:rPr>
            <w:t xml:space="preserve"> 农民用水协会建设</w:t>
          </w:r>
          <w:r>
            <w:tab/>
          </w:r>
          <w:r>
            <w:fldChar w:fldCharType="begin"/>
          </w:r>
          <w:r>
            <w:instrText xml:space="preserve"> PAGEREF _Toc109121655 \h </w:instrText>
          </w:r>
          <w:r>
            <w:fldChar w:fldCharType="separate"/>
          </w:r>
          <w:r>
            <w:t>- 26 -</w:t>
          </w:r>
          <w:r>
            <w:fldChar w:fldCharType="end"/>
          </w:r>
          <w:r>
            <w:fldChar w:fldCharType="end"/>
          </w:r>
        </w:p>
        <w:p w14:paraId="06D9F4CB">
          <w:pPr>
            <w:pStyle w:val="18"/>
            <w:ind w:left="1120" w:firstLine="480"/>
            <w:rPr>
              <w:rFonts w:asciiTheme="minorHAnsi" w:hAnsiTheme="minorHAnsi" w:eastAsiaTheme="minorEastAsia"/>
              <w:sz w:val="21"/>
            </w:rPr>
          </w:pPr>
          <w:r>
            <w:fldChar w:fldCharType="begin"/>
          </w:r>
          <w:r>
            <w:instrText xml:space="preserve"> HYPERLINK \l "_Toc109121656" </w:instrText>
          </w:r>
          <w:r>
            <w:fldChar w:fldCharType="separate"/>
          </w:r>
          <w:r>
            <w:rPr>
              <w:rStyle w:val="36"/>
              <w:rFonts w:cs="Times New Roman"/>
            </w:rPr>
            <w:t>5.5.1</w:t>
          </w:r>
          <w:r>
            <w:rPr>
              <w:rStyle w:val="36"/>
              <w:rFonts w:hint="eastAsia" w:cs="Times New Roman"/>
            </w:rPr>
            <w:t xml:space="preserve"> 农民用水协会性质</w:t>
          </w:r>
          <w:r>
            <w:tab/>
          </w:r>
          <w:r>
            <w:fldChar w:fldCharType="begin"/>
          </w:r>
          <w:r>
            <w:instrText xml:space="preserve"> PAGEREF _Toc109121656 \h </w:instrText>
          </w:r>
          <w:r>
            <w:fldChar w:fldCharType="separate"/>
          </w:r>
          <w:r>
            <w:t>- 26 -</w:t>
          </w:r>
          <w:r>
            <w:fldChar w:fldCharType="end"/>
          </w:r>
          <w:r>
            <w:fldChar w:fldCharType="end"/>
          </w:r>
        </w:p>
        <w:p w14:paraId="2EF337E3">
          <w:pPr>
            <w:pStyle w:val="18"/>
            <w:ind w:left="1120" w:firstLine="480"/>
            <w:rPr>
              <w:rFonts w:asciiTheme="minorHAnsi" w:hAnsiTheme="minorHAnsi" w:eastAsiaTheme="minorEastAsia"/>
              <w:sz w:val="21"/>
            </w:rPr>
          </w:pPr>
          <w:r>
            <w:fldChar w:fldCharType="begin"/>
          </w:r>
          <w:r>
            <w:instrText xml:space="preserve"> HYPERLINK \l "_Toc109121657" </w:instrText>
          </w:r>
          <w:r>
            <w:fldChar w:fldCharType="separate"/>
          </w:r>
          <w:r>
            <w:rPr>
              <w:rStyle w:val="36"/>
              <w:rFonts w:cs="Times New Roman"/>
            </w:rPr>
            <w:t>5.5.2</w:t>
          </w:r>
          <w:r>
            <w:rPr>
              <w:rStyle w:val="36"/>
              <w:rFonts w:hint="eastAsia" w:cs="Times New Roman"/>
            </w:rPr>
            <w:t xml:space="preserve"> 用水协会组建程序</w:t>
          </w:r>
          <w:r>
            <w:tab/>
          </w:r>
          <w:r>
            <w:fldChar w:fldCharType="begin"/>
          </w:r>
          <w:r>
            <w:instrText xml:space="preserve"> PAGEREF _Toc109121657 \h </w:instrText>
          </w:r>
          <w:r>
            <w:fldChar w:fldCharType="separate"/>
          </w:r>
          <w:r>
            <w:t>- 27 -</w:t>
          </w:r>
          <w:r>
            <w:fldChar w:fldCharType="end"/>
          </w:r>
          <w:r>
            <w:fldChar w:fldCharType="end"/>
          </w:r>
        </w:p>
        <w:p w14:paraId="193FB344">
          <w:pPr>
            <w:pStyle w:val="18"/>
            <w:ind w:left="1120" w:firstLine="480"/>
            <w:rPr>
              <w:rFonts w:asciiTheme="minorHAnsi" w:hAnsiTheme="minorHAnsi" w:eastAsiaTheme="minorEastAsia"/>
              <w:sz w:val="21"/>
            </w:rPr>
          </w:pPr>
          <w:r>
            <w:fldChar w:fldCharType="begin"/>
          </w:r>
          <w:r>
            <w:instrText xml:space="preserve"> HYPERLINK \l "_Toc109121658" </w:instrText>
          </w:r>
          <w:r>
            <w:fldChar w:fldCharType="separate"/>
          </w:r>
          <w:r>
            <w:rPr>
              <w:rStyle w:val="36"/>
              <w:rFonts w:cs="Times New Roman"/>
            </w:rPr>
            <w:t>5.5.3</w:t>
          </w:r>
          <w:r>
            <w:rPr>
              <w:rStyle w:val="36"/>
              <w:rFonts w:hint="eastAsia" w:cs="Times New Roman"/>
            </w:rPr>
            <w:t xml:space="preserve"> 用水协会能力建设</w:t>
          </w:r>
          <w:r>
            <w:tab/>
          </w:r>
          <w:r>
            <w:fldChar w:fldCharType="begin"/>
          </w:r>
          <w:r>
            <w:instrText xml:space="preserve"> PAGEREF _Toc109121658 \h </w:instrText>
          </w:r>
          <w:r>
            <w:fldChar w:fldCharType="separate"/>
          </w:r>
          <w:r>
            <w:t>- 31 -</w:t>
          </w:r>
          <w:r>
            <w:fldChar w:fldCharType="end"/>
          </w:r>
          <w:r>
            <w:fldChar w:fldCharType="end"/>
          </w:r>
        </w:p>
        <w:p w14:paraId="1445AE04">
          <w:pPr>
            <w:pStyle w:val="27"/>
            <w:ind w:left="560" w:firstLine="480"/>
            <w:rPr>
              <w:rFonts w:asciiTheme="minorHAnsi" w:hAnsiTheme="minorHAnsi" w:eastAsiaTheme="minorEastAsia"/>
              <w:sz w:val="21"/>
            </w:rPr>
          </w:pPr>
          <w:r>
            <w:fldChar w:fldCharType="begin"/>
          </w:r>
          <w:r>
            <w:instrText xml:space="preserve"> HYPERLINK \l "_Toc109121659" </w:instrText>
          </w:r>
          <w:r>
            <w:fldChar w:fldCharType="separate"/>
          </w:r>
          <w:r>
            <w:rPr>
              <w:rStyle w:val="36"/>
              <w:rFonts w:ascii="Times New Roman" w:hAnsi="Times New Roman" w:cs="Times New Roman"/>
            </w:rPr>
            <w:t>5.6</w:t>
          </w:r>
          <w:r>
            <w:rPr>
              <w:rStyle w:val="36"/>
              <w:rFonts w:hint="eastAsia" w:ascii="Times New Roman" w:hAnsi="Times New Roman" w:cs="Times New Roman"/>
            </w:rPr>
            <w:t xml:space="preserve"> 建立农业用水精准补贴机制和节水奖励机制</w:t>
          </w:r>
          <w:r>
            <w:tab/>
          </w:r>
          <w:r>
            <w:fldChar w:fldCharType="begin"/>
          </w:r>
          <w:r>
            <w:instrText xml:space="preserve"> PAGEREF _Toc109121659 \h </w:instrText>
          </w:r>
          <w:r>
            <w:fldChar w:fldCharType="separate"/>
          </w:r>
          <w:r>
            <w:t>- 32 -</w:t>
          </w:r>
          <w:r>
            <w:fldChar w:fldCharType="end"/>
          </w:r>
          <w:r>
            <w:fldChar w:fldCharType="end"/>
          </w:r>
        </w:p>
        <w:p w14:paraId="349D42D4">
          <w:pPr>
            <w:pStyle w:val="18"/>
            <w:ind w:left="1120" w:firstLine="480"/>
            <w:rPr>
              <w:rFonts w:asciiTheme="minorHAnsi" w:hAnsiTheme="minorHAnsi" w:eastAsiaTheme="minorEastAsia"/>
              <w:sz w:val="21"/>
            </w:rPr>
          </w:pPr>
          <w:r>
            <w:fldChar w:fldCharType="begin"/>
          </w:r>
          <w:r>
            <w:instrText xml:space="preserve"> HYPERLINK \l "_Toc109121660" </w:instrText>
          </w:r>
          <w:r>
            <w:fldChar w:fldCharType="separate"/>
          </w:r>
          <w:r>
            <w:rPr>
              <w:rStyle w:val="36"/>
              <w:rFonts w:cs="Times New Roman"/>
            </w:rPr>
            <w:t>5.6.1</w:t>
          </w:r>
          <w:r>
            <w:rPr>
              <w:rStyle w:val="36"/>
              <w:rFonts w:hint="eastAsia" w:cs="Times New Roman"/>
            </w:rPr>
            <w:t xml:space="preserve"> 奖补资金来源</w:t>
          </w:r>
          <w:r>
            <w:tab/>
          </w:r>
          <w:r>
            <w:fldChar w:fldCharType="begin"/>
          </w:r>
          <w:r>
            <w:instrText xml:space="preserve"> PAGEREF _Toc109121660 \h </w:instrText>
          </w:r>
          <w:r>
            <w:fldChar w:fldCharType="separate"/>
          </w:r>
          <w:r>
            <w:t>- 32 -</w:t>
          </w:r>
          <w:r>
            <w:fldChar w:fldCharType="end"/>
          </w:r>
          <w:r>
            <w:fldChar w:fldCharType="end"/>
          </w:r>
        </w:p>
        <w:p w14:paraId="5FD7DCB2">
          <w:pPr>
            <w:pStyle w:val="18"/>
            <w:ind w:left="1120" w:firstLine="480"/>
            <w:rPr>
              <w:rFonts w:asciiTheme="minorHAnsi" w:hAnsiTheme="minorHAnsi" w:eastAsiaTheme="minorEastAsia"/>
              <w:sz w:val="21"/>
            </w:rPr>
          </w:pPr>
          <w:r>
            <w:fldChar w:fldCharType="begin"/>
          </w:r>
          <w:r>
            <w:instrText xml:space="preserve"> HYPERLINK \l "_Toc109121661" </w:instrText>
          </w:r>
          <w:r>
            <w:fldChar w:fldCharType="separate"/>
          </w:r>
          <w:r>
            <w:rPr>
              <w:rStyle w:val="36"/>
              <w:rFonts w:cs="Times New Roman"/>
            </w:rPr>
            <w:t>5.6.2</w:t>
          </w:r>
          <w:r>
            <w:rPr>
              <w:rStyle w:val="36"/>
              <w:rFonts w:hint="eastAsia" w:cs="Times New Roman"/>
            </w:rPr>
            <w:t xml:space="preserve"> 补贴奖励对象</w:t>
          </w:r>
          <w:r>
            <w:tab/>
          </w:r>
          <w:r>
            <w:fldChar w:fldCharType="begin"/>
          </w:r>
          <w:r>
            <w:instrText xml:space="preserve"> PAGEREF _Toc109121661 \h </w:instrText>
          </w:r>
          <w:r>
            <w:fldChar w:fldCharType="separate"/>
          </w:r>
          <w:r>
            <w:t>- 32 -</w:t>
          </w:r>
          <w:r>
            <w:fldChar w:fldCharType="end"/>
          </w:r>
          <w:r>
            <w:fldChar w:fldCharType="end"/>
          </w:r>
        </w:p>
        <w:p w14:paraId="6ACAB17E">
          <w:pPr>
            <w:pStyle w:val="18"/>
            <w:ind w:left="1120" w:firstLine="480"/>
            <w:rPr>
              <w:rFonts w:asciiTheme="minorHAnsi" w:hAnsiTheme="minorHAnsi" w:eastAsiaTheme="minorEastAsia"/>
              <w:sz w:val="21"/>
            </w:rPr>
          </w:pPr>
          <w:r>
            <w:fldChar w:fldCharType="begin"/>
          </w:r>
          <w:r>
            <w:instrText xml:space="preserve"> HYPERLINK \l "_Toc109121662" </w:instrText>
          </w:r>
          <w:r>
            <w:fldChar w:fldCharType="separate"/>
          </w:r>
          <w:r>
            <w:rPr>
              <w:rStyle w:val="36"/>
              <w:rFonts w:cs="Times New Roman"/>
            </w:rPr>
            <w:t>5.6.3</w:t>
          </w:r>
          <w:r>
            <w:rPr>
              <w:rStyle w:val="36"/>
              <w:rFonts w:hint="eastAsia" w:cs="Times New Roman"/>
            </w:rPr>
            <w:t xml:space="preserve"> 奖补标准及方式</w:t>
          </w:r>
          <w:r>
            <w:tab/>
          </w:r>
          <w:r>
            <w:fldChar w:fldCharType="begin"/>
          </w:r>
          <w:r>
            <w:instrText xml:space="preserve"> PAGEREF _Toc109121662 \h </w:instrText>
          </w:r>
          <w:r>
            <w:fldChar w:fldCharType="separate"/>
          </w:r>
          <w:r>
            <w:t>- 32 -</w:t>
          </w:r>
          <w:r>
            <w:fldChar w:fldCharType="end"/>
          </w:r>
          <w:r>
            <w:fldChar w:fldCharType="end"/>
          </w:r>
        </w:p>
        <w:p w14:paraId="21FED717">
          <w:pPr>
            <w:pStyle w:val="24"/>
            <w:ind w:firstLine="562"/>
            <w:rPr>
              <w:rFonts w:asciiTheme="minorHAnsi" w:hAnsiTheme="minorHAnsi" w:eastAsiaTheme="minorEastAsia"/>
              <w:b w:val="0"/>
              <w:sz w:val="21"/>
            </w:rPr>
          </w:pPr>
          <w:r>
            <w:fldChar w:fldCharType="begin"/>
          </w:r>
          <w:r>
            <w:instrText xml:space="preserve"> HYPERLINK \l "_Toc109121663" </w:instrText>
          </w:r>
          <w:r>
            <w:fldChar w:fldCharType="separate"/>
          </w:r>
          <w:r>
            <w:rPr>
              <w:rStyle w:val="36"/>
              <w:rFonts w:cs="Times New Roman"/>
            </w:rPr>
            <w:t>6</w:t>
          </w:r>
          <w:r>
            <w:rPr>
              <w:rStyle w:val="36"/>
              <w:rFonts w:hint="eastAsia" w:cs="Times New Roman"/>
            </w:rPr>
            <w:t xml:space="preserve"> 投资概算</w:t>
          </w:r>
          <w:r>
            <w:tab/>
          </w:r>
          <w:r>
            <w:fldChar w:fldCharType="begin"/>
          </w:r>
          <w:r>
            <w:instrText xml:space="preserve"> PAGEREF _Toc109121663 \h </w:instrText>
          </w:r>
          <w:r>
            <w:fldChar w:fldCharType="separate"/>
          </w:r>
          <w:r>
            <w:t>- 34 -</w:t>
          </w:r>
          <w:r>
            <w:fldChar w:fldCharType="end"/>
          </w:r>
          <w:r>
            <w:fldChar w:fldCharType="end"/>
          </w:r>
        </w:p>
        <w:p w14:paraId="2B85CA8C">
          <w:pPr>
            <w:pStyle w:val="27"/>
            <w:ind w:left="560" w:firstLine="480"/>
            <w:rPr>
              <w:rFonts w:asciiTheme="minorHAnsi" w:hAnsiTheme="minorHAnsi" w:eastAsiaTheme="minorEastAsia"/>
              <w:sz w:val="21"/>
            </w:rPr>
          </w:pPr>
          <w:r>
            <w:fldChar w:fldCharType="begin"/>
          </w:r>
          <w:r>
            <w:instrText xml:space="preserve"> HYPERLINK \l "_Toc109121664" </w:instrText>
          </w:r>
          <w:r>
            <w:fldChar w:fldCharType="separate"/>
          </w:r>
          <w:r>
            <w:rPr>
              <w:rStyle w:val="36"/>
              <w:rFonts w:ascii="Times New Roman" w:hAnsi="Times New Roman" w:cs="Times New Roman"/>
            </w:rPr>
            <w:t>6.1</w:t>
          </w:r>
          <w:r>
            <w:rPr>
              <w:rStyle w:val="36"/>
              <w:rFonts w:hint="eastAsia" w:ascii="Times New Roman" w:hAnsi="Times New Roman" w:cs="Times New Roman"/>
            </w:rPr>
            <w:t xml:space="preserve"> 编制依据</w:t>
          </w:r>
          <w:r>
            <w:tab/>
          </w:r>
          <w:r>
            <w:fldChar w:fldCharType="begin"/>
          </w:r>
          <w:r>
            <w:instrText xml:space="preserve"> PAGEREF _Toc109121664 \h </w:instrText>
          </w:r>
          <w:r>
            <w:fldChar w:fldCharType="separate"/>
          </w:r>
          <w:r>
            <w:t>- 34 -</w:t>
          </w:r>
          <w:r>
            <w:fldChar w:fldCharType="end"/>
          </w:r>
          <w:r>
            <w:fldChar w:fldCharType="end"/>
          </w:r>
        </w:p>
        <w:p w14:paraId="6613B901">
          <w:pPr>
            <w:pStyle w:val="27"/>
            <w:ind w:left="560" w:firstLine="480"/>
            <w:rPr>
              <w:rFonts w:asciiTheme="minorHAnsi" w:hAnsiTheme="minorHAnsi" w:eastAsiaTheme="minorEastAsia"/>
              <w:sz w:val="21"/>
            </w:rPr>
          </w:pPr>
          <w:r>
            <w:fldChar w:fldCharType="begin"/>
          </w:r>
          <w:r>
            <w:instrText xml:space="preserve"> HYPERLINK \l "_Toc109121665" </w:instrText>
          </w:r>
          <w:r>
            <w:fldChar w:fldCharType="separate"/>
          </w:r>
          <w:r>
            <w:rPr>
              <w:rStyle w:val="36"/>
              <w:rFonts w:ascii="Times New Roman" w:hAnsi="Times New Roman" w:cs="Times New Roman"/>
            </w:rPr>
            <w:t>6.2</w:t>
          </w:r>
          <w:r>
            <w:rPr>
              <w:rStyle w:val="36"/>
              <w:rFonts w:hint="eastAsia" w:ascii="Times New Roman" w:hAnsi="Times New Roman" w:cs="Times New Roman"/>
            </w:rPr>
            <w:t xml:space="preserve"> 资金筹措</w:t>
          </w:r>
          <w:r>
            <w:tab/>
          </w:r>
          <w:r>
            <w:fldChar w:fldCharType="begin"/>
          </w:r>
          <w:r>
            <w:instrText xml:space="preserve"> PAGEREF _Toc109121665 \h </w:instrText>
          </w:r>
          <w:r>
            <w:fldChar w:fldCharType="separate"/>
          </w:r>
          <w:r>
            <w:t>- 35 -</w:t>
          </w:r>
          <w:r>
            <w:fldChar w:fldCharType="end"/>
          </w:r>
          <w:r>
            <w:fldChar w:fldCharType="end"/>
          </w:r>
        </w:p>
        <w:p w14:paraId="0E43606D">
          <w:pPr>
            <w:pStyle w:val="24"/>
            <w:ind w:firstLine="562"/>
            <w:rPr>
              <w:rFonts w:asciiTheme="minorHAnsi" w:hAnsiTheme="minorHAnsi" w:eastAsiaTheme="minorEastAsia"/>
              <w:b w:val="0"/>
              <w:sz w:val="21"/>
            </w:rPr>
          </w:pPr>
          <w:r>
            <w:fldChar w:fldCharType="begin"/>
          </w:r>
          <w:r>
            <w:instrText xml:space="preserve"> HYPERLINK \l "_Toc109121666" </w:instrText>
          </w:r>
          <w:r>
            <w:fldChar w:fldCharType="separate"/>
          </w:r>
          <w:r>
            <w:rPr>
              <w:rStyle w:val="36"/>
              <w:rFonts w:cs="Times New Roman"/>
            </w:rPr>
            <w:t>7</w:t>
          </w:r>
          <w:r>
            <w:rPr>
              <w:rStyle w:val="36"/>
              <w:rFonts w:hint="eastAsia" w:cs="Times New Roman"/>
            </w:rPr>
            <w:t xml:space="preserve"> 效益分析</w:t>
          </w:r>
          <w:r>
            <w:tab/>
          </w:r>
          <w:r>
            <w:fldChar w:fldCharType="begin"/>
          </w:r>
          <w:r>
            <w:instrText xml:space="preserve"> PAGEREF _Toc109121666 \h </w:instrText>
          </w:r>
          <w:r>
            <w:fldChar w:fldCharType="separate"/>
          </w:r>
          <w:r>
            <w:t>- 36 -</w:t>
          </w:r>
          <w:r>
            <w:fldChar w:fldCharType="end"/>
          </w:r>
          <w:r>
            <w:fldChar w:fldCharType="end"/>
          </w:r>
        </w:p>
        <w:p w14:paraId="04233335">
          <w:pPr>
            <w:pStyle w:val="27"/>
            <w:ind w:left="560" w:firstLine="480"/>
            <w:rPr>
              <w:rFonts w:asciiTheme="minorHAnsi" w:hAnsiTheme="minorHAnsi" w:eastAsiaTheme="minorEastAsia"/>
              <w:sz w:val="21"/>
            </w:rPr>
          </w:pPr>
          <w:r>
            <w:fldChar w:fldCharType="begin"/>
          </w:r>
          <w:r>
            <w:instrText xml:space="preserve"> HYPERLINK \l "_Toc109121667" </w:instrText>
          </w:r>
          <w:r>
            <w:fldChar w:fldCharType="separate"/>
          </w:r>
          <w:r>
            <w:rPr>
              <w:rStyle w:val="36"/>
              <w:rFonts w:ascii="Times New Roman" w:hAnsi="Times New Roman" w:cs="Times New Roman"/>
            </w:rPr>
            <w:t>7.1</w:t>
          </w:r>
          <w:r>
            <w:rPr>
              <w:rStyle w:val="36"/>
              <w:rFonts w:hint="eastAsia" w:ascii="Times New Roman" w:hAnsi="Times New Roman" w:cs="Times New Roman"/>
            </w:rPr>
            <w:t xml:space="preserve"> 经济效益</w:t>
          </w:r>
          <w:r>
            <w:tab/>
          </w:r>
          <w:r>
            <w:fldChar w:fldCharType="begin"/>
          </w:r>
          <w:r>
            <w:instrText xml:space="preserve"> PAGEREF _Toc109121667 \h </w:instrText>
          </w:r>
          <w:r>
            <w:fldChar w:fldCharType="separate"/>
          </w:r>
          <w:r>
            <w:t>- 36 -</w:t>
          </w:r>
          <w:r>
            <w:fldChar w:fldCharType="end"/>
          </w:r>
          <w:r>
            <w:fldChar w:fldCharType="end"/>
          </w:r>
        </w:p>
        <w:p w14:paraId="2E9F1F7A">
          <w:pPr>
            <w:pStyle w:val="27"/>
            <w:ind w:left="560" w:firstLine="480"/>
            <w:rPr>
              <w:rFonts w:asciiTheme="minorHAnsi" w:hAnsiTheme="minorHAnsi" w:eastAsiaTheme="minorEastAsia"/>
              <w:sz w:val="21"/>
            </w:rPr>
          </w:pPr>
          <w:r>
            <w:fldChar w:fldCharType="begin"/>
          </w:r>
          <w:r>
            <w:instrText xml:space="preserve"> HYPERLINK \l "_Toc109121668" </w:instrText>
          </w:r>
          <w:r>
            <w:fldChar w:fldCharType="separate"/>
          </w:r>
          <w:r>
            <w:rPr>
              <w:rStyle w:val="36"/>
              <w:rFonts w:ascii="Times New Roman" w:hAnsi="Times New Roman" w:cs="Times New Roman"/>
            </w:rPr>
            <w:t>7.2</w:t>
          </w:r>
          <w:r>
            <w:rPr>
              <w:rStyle w:val="36"/>
              <w:rFonts w:hint="eastAsia" w:ascii="Times New Roman" w:hAnsi="Times New Roman" w:cs="Times New Roman"/>
            </w:rPr>
            <w:t xml:space="preserve"> 环境效益</w:t>
          </w:r>
          <w:r>
            <w:tab/>
          </w:r>
          <w:r>
            <w:fldChar w:fldCharType="begin"/>
          </w:r>
          <w:r>
            <w:instrText xml:space="preserve"> PAGEREF _Toc109121668 \h </w:instrText>
          </w:r>
          <w:r>
            <w:fldChar w:fldCharType="separate"/>
          </w:r>
          <w:r>
            <w:t>- 36 -</w:t>
          </w:r>
          <w:r>
            <w:fldChar w:fldCharType="end"/>
          </w:r>
          <w:r>
            <w:fldChar w:fldCharType="end"/>
          </w:r>
        </w:p>
        <w:p w14:paraId="76210B22">
          <w:pPr>
            <w:pStyle w:val="27"/>
            <w:ind w:left="560" w:firstLine="480"/>
            <w:rPr>
              <w:rFonts w:asciiTheme="minorHAnsi" w:hAnsiTheme="minorHAnsi" w:eastAsiaTheme="minorEastAsia"/>
              <w:sz w:val="21"/>
            </w:rPr>
          </w:pPr>
          <w:r>
            <w:fldChar w:fldCharType="begin"/>
          </w:r>
          <w:r>
            <w:instrText xml:space="preserve"> HYPERLINK \l "_Toc109121669" </w:instrText>
          </w:r>
          <w:r>
            <w:fldChar w:fldCharType="separate"/>
          </w:r>
          <w:r>
            <w:rPr>
              <w:rStyle w:val="36"/>
              <w:rFonts w:ascii="Times New Roman" w:hAnsi="Times New Roman" w:cs="Times New Roman"/>
            </w:rPr>
            <w:t>7.3</w:t>
          </w:r>
          <w:r>
            <w:rPr>
              <w:rStyle w:val="36"/>
              <w:rFonts w:hint="eastAsia" w:ascii="Times New Roman" w:hAnsi="Times New Roman" w:cs="Times New Roman"/>
            </w:rPr>
            <w:t xml:space="preserve"> 社会效益</w:t>
          </w:r>
          <w:r>
            <w:tab/>
          </w:r>
          <w:r>
            <w:fldChar w:fldCharType="begin"/>
          </w:r>
          <w:r>
            <w:instrText xml:space="preserve"> PAGEREF _Toc109121669 \h </w:instrText>
          </w:r>
          <w:r>
            <w:fldChar w:fldCharType="separate"/>
          </w:r>
          <w:r>
            <w:t>- 37 -</w:t>
          </w:r>
          <w:r>
            <w:fldChar w:fldCharType="end"/>
          </w:r>
          <w:r>
            <w:fldChar w:fldCharType="end"/>
          </w:r>
        </w:p>
        <w:p w14:paraId="290AF8C0">
          <w:pPr>
            <w:pStyle w:val="24"/>
            <w:ind w:firstLine="562"/>
            <w:rPr>
              <w:rFonts w:asciiTheme="minorHAnsi" w:hAnsiTheme="minorHAnsi" w:eastAsiaTheme="minorEastAsia"/>
              <w:b w:val="0"/>
              <w:sz w:val="21"/>
            </w:rPr>
          </w:pPr>
          <w:r>
            <w:fldChar w:fldCharType="begin"/>
          </w:r>
          <w:r>
            <w:instrText xml:space="preserve"> HYPERLINK \l "_Toc109121670" </w:instrText>
          </w:r>
          <w:r>
            <w:fldChar w:fldCharType="separate"/>
          </w:r>
          <w:r>
            <w:rPr>
              <w:rStyle w:val="36"/>
              <w:rFonts w:cs="Times New Roman"/>
            </w:rPr>
            <w:t>8</w:t>
          </w:r>
          <w:r>
            <w:rPr>
              <w:rStyle w:val="36"/>
              <w:rFonts w:hint="eastAsia" w:cs="Times New Roman"/>
            </w:rPr>
            <w:t xml:space="preserve"> 保障措施</w:t>
          </w:r>
          <w:r>
            <w:tab/>
          </w:r>
          <w:r>
            <w:fldChar w:fldCharType="begin"/>
          </w:r>
          <w:r>
            <w:instrText xml:space="preserve"> PAGEREF _Toc109121670 \h </w:instrText>
          </w:r>
          <w:r>
            <w:fldChar w:fldCharType="separate"/>
          </w:r>
          <w:r>
            <w:t>- 38 -</w:t>
          </w:r>
          <w:r>
            <w:fldChar w:fldCharType="end"/>
          </w:r>
          <w:r>
            <w:fldChar w:fldCharType="end"/>
          </w:r>
        </w:p>
        <w:p w14:paraId="2A6CEA7C">
          <w:pPr>
            <w:pStyle w:val="27"/>
            <w:ind w:left="560" w:firstLine="480"/>
            <w:rPr>
              <w:rFonts w:asciiTheme="minorHAnsi" w:hAnsiTheme="minorHAnsi" w:eastAsiaTheme="minorEastAsia"/>
              <w:sz w:val="21"/>
            </w:rPr>
          </w:pPr>
          <w:r>
            <w:fldChar w:fldCharType="begin"/>
          </w:r>
          <w:r>
            <w:instrText xml:space="preserve"> HYPERLINK \l "_Toc109121671" </w:instrText>
          </w:r>
          <w:r>
            <w:fldChar w:fldCharType="separate"/>
          </w:r>
          <w:r>
            <w:rPr>
              <w:rStyle w:val="36"/>
              <w:rFonts w:ascii="Times New Roman" w:hAnsi="Times New Roman" w:cs="Times New Roman"/>
            </w:rPr>
            <w:t>8.1</w:t>
          </w:r>
          <w:r>
            <w:rPr>
              <w:rStyle w:val="36"/>
              <w:rFonts w:hint="eastAsia" w:ascii="Times New Roman" w:hAnsi="Times New Roman" w:cs="Times New Roman"/>
            </w:rPr>
            <w:t xml:space="preserve"> 加强组织领导，落实改革任务</w:t>
          </w:r>
          <w:r>
            <w:tab/>
          </w:r>
          <w:r>
            <w:fldChar w:fldCharType="begin"/>
          </w:r>
          <w:r>
            <w:instrText xml:space="preserve"> PAGEREF _Toc109121671 \h </w:instrText>
          </w:r>
          <w:r>
            <w:fldChar w:fldCharType="separate"/>
          </w:r>
          <w:r>
            <w:t>- 38 -</w:t>
          </w:r>
          <w:r>
            <w:fldChar w:fldCharType="end"/>
          </w:r>
          <w:r>
            <w:fldChar w:fldCharType="end"/>
          </w:r>
        </w:p>
        <w:p w14:paraId="305E9117">
          <w:pPr>
            <w:pStyle w:val="27"/>
            <w:ind w:left="560" w:firstLine="480"/>
            <w:rPr>
              <w:rFonts w:asciiTheme="minorHAnsi" w:hAnsiTheme="minorHAnsi" w:eastAsiaTheme="minorEastAsia"/>
              <w:sz w:val="21"/>
            </w:rPr>
          </w:pPr>
          <w:r>
            <w:fldChar w:fldCharType="begin"/>
          </w:r>
          <w:r>
            <w:instrText xml:space="preserve"> HYPERLINK \l "_Toc109121672" </w:instrText>
          </w:r>
          <w:r>
            <w:fldChar w:fldCharType="separate"/>
          </w:r>
          <w:r>
            <w:rPr>
              <w:rStyle w:val="36"/>
              <w:rFonts w:ascii="Times New Roman" w:hAnsi="Times New Roman" w:cs="Times New Roman"/>
            </w:rPr>
            <w:t>8.2</w:t>
          </w:r>
          <w:r>
            <w:rPr>
              <w:rStyle w:val="36"/>
              <w:rFonts w:hint="eastAsia" w:ascii="Times New Roman" w:hAnsi="Times New Roman" w:cs="Times New Roman"/>
            </w:rPr>
            <w:t xml:space="preserve"> 落实改革资金，确保改革实施</w:t>
          </w:r>
          <w:r>
            <w:tab/>
          </w:r>
          <w:r>
            <w:fldChar w:fldCharType="begin"/>
          </w:r>
          <w:r>
            <w:instrText xml:space="preserve"> PAGEREF _Toc109121672 \h </w:instrText>
          </w:r>
          <w:r>
            <w:fldChar w:fldCharType="separate"/>
          </w:r>
          <w:r>
            <w:t>- 38 -</w:t>
          </w:r>
          <w:r>
            <w:fldChar w:fldCharType="end"/>
          </w:r>
          <w:r>
            <w:fldChar w:fldCharType="end"/>
          </w:r>
        </w:p>
        <w:p w14:paraId="427FE7C3">
          <w:pPr>
            <w:pStyle w:val="27"/>
            <w:ind w:left="560" w:firstLine="480"/>
            <w:rPr>
              <w:rFonts w:asciiTheme="minorHAnsi" w:hAnsiTheme="minorHAnsi" w:eastAsiaTheme="minorEastAsia"/>
              <w:sz w:val="21"/>
            </w:rPr>
          </w:pPr>
          <w:r>
            <w:fldChar w:fldCharType="begin"/>
          </w:r>
          <w:r>
            <w:instrText xml:space="preserve"> HYPERLINK \l "_Toc109121673" </w:instrText>
          </w:r>
          <w:r>
            <w:fldChar w:fldCharType="separate"/>
          </w:r>
          <w:r>
            <w:rPr>
              <w:rStyle w:val="36"/>
              <w:rFonts w:ascii="Times New Roman" w:hAnsi="Times New Roman" w:cs="Times New Roman"/>
            </w:rPr>
            <w:t>8.3</w:t>
          </w:r>
          <w:r>
            <w:rPr>
              <w:rStyle w:val="36"/>
              <w:rFonts w:hint="eastAsia" w:ascii="Times New Roman" w:hAnsi="Times New Roman" w:cs="Times New Roman"/>
            </w:rPr>
            <w:t xml:space="preserve"> 加强改革宣传，推广节水技术</w:t>
          </w:r>
          <w:r>
            <w:tab/>
          </w:r>
          <w:r>
            <w:fldChar w:fldCharType="begin"/>
          </w:r>
          <w:r>
            <w:instrText xml:space="preserve"> PAGEREF _Toc109121673 \h </w:instrText>
          </w:r>
          <w:r>
            <w:fldChar w:fldCharType="separate"/>
          </w:r>
          <w:r>
            <w:t>- 39 -</w:t>
          </w:r>
          <w:r>
            <w:fldChar w:fldCharType="end"/>
          </w:r>
          <w:r>
            <w:fldChar w:fldCharType="end"/>
          </w:r>
        </w:p>
        <w:p w14:paraId="3D907DB6">
          <w:pPr>
            <w:pStyle w:val="27"/>
            <w:ind w:left="560" w:firstLine="480"/>
            <w:rPr>
              <w:rFonts w:asciiTheme="minorHAnsi" w:hAnsiTheme="minorHAnsi" w:eastAsiaTheme="minorEastAsia"/>
              <w:sz w:val="21"/>
            </w:rPr>
          </w:pPr>
          <w:r>
            <w:fldChar w:fldCharType="begin"/>
          </w:r>
          <w:r>
            <w:instrText xml:space="preserve"> HYPERLINK \l "_Toc109121674" </w:instrText>
          </w:r>
          <w:r>
            <w:fldChar w:fldCharType="separate"/>
          </w:r>
          <w:r>
            <w:rPr>
              <w:rStyle w:val="36"/>
              <w:rFonts w:ascii="Times New Roman" w:hAnsi="Times New Roman" w:cs="Times New Roman"/>
            </w:rPr>
            <w:t>8.4</w:t>
          </w:r>
          <w:r>
            <w:rPr>
              <w:rStyle w:val="36"/>
              <w:rFonts w:hint="eastAsia" w:ascii="Times New Roman" w:hAnsi="Times New Roman" w:cs="Times New Roman"/>
            </w:rPr>
            <w:t xml:space="preserve"> 建立考核机制，确保改革成效</w:t>
          </w:r>
          <w:r>
            <w:tab/>
          </w:r>
          <w:r>
            <w:fldChar w:fldCharType="begin"/>
          </w:r>
          <w:r>
            <w:instrText xml:space="preserve"> PAGEREF _Toc109121674 \h </w:instrText>
          </w:r>
          <w:r>
            <w:fldChar w:fldCharType="separate"/>
          </w:r>
          <w:r>
            <w:t>- 39 -</w:t>
          </w:r>
          <w:r>
            <w:fldChar w:fldCharType="end"/>
          </w:r>
          <w:r>
            <w:fldChar w:fldCharType="end"/>
          </w:r>
        </w:p>
        <w:p w14:paraId="7A673F5B">
          <w:pPr>
            <w:ind w:firstLine="562"/>
            <w:rPr>
              <w:rFonts w:cs="Times New Roman"/>
            </w:rPr>
          </w:pPr>
          <w:r>
            <w:rPr>
              <w:rFonts w:cs="Times New Roman"/>
              <w:b/>
              <w:bCs/>
              <w:lang w:val="zh-CN"/>
            </w:rPr>
            <w:fldChar w:fldCharType="end"/>
          </w:r>
        </w:p>
      </w:sdtContent>
    </w:sdt>
    <w:p w14:paraId="60F4B1BA">
      <w:pPr>
        <w:snapToGrid w:val="0"/>
        <w:ind w:firstLine="480"/>
        <w:rPr>
          <w:rFonts w:cs="Times New Roman"/>
          <w:sz w:val="24"/>
          <w:szCs w:val="24"/>
        </w:rPr>
      </w:pPr>
    </w:p>
    <w:p w14:paraId="0798BB24">
      <w:pPr>
        <w:ind w:firstLine="0" w:firstLineChars="0"/>
        <w:rPr>
          <w:rFonts w:cs="Times New Roman"/>
        </w:rPr>
        <w:sectPr>
          <w:footerReference r:id="rId11" w:type="default"/>
          <w:pgSz w:w="11906" w:h="16838"/>
          <w:pgMar w:top="1440" w:right="1800" w:bottom="1440" w:left="1800" w:header="851" w:footer="992" w:gutter="0"/>
          <w:pgNumType w:fmt="upperRoman" w:start="1"/>
          <w:cols w:space="425" w:num="1"/>
          <w:docGrid w:type="lines" w:linePitch="312" w:charSpace="0"/>
        </w:sectPr>
      </w:pPr>
    </w:p>
    <w:p w14:paraId="7246748E">
      <w:pPr>
        <w:ind w:firstLine="0" w:firstLineChars="0"/>
        <w:jc w:val="center"/>
        <w:rPr>
          <w:rFonts w:cs="Times New Roman"/>
          <w:b/>
          <w:szCs w:val="28"/>
        </w:rPr>
      </w:pPr>
      <w:r>
        <w:rPr>
          <w:rFonts w:cs="Times New Roman"/>
          <w:b/>
          <w:szCs w:val="28"/>
        </w:rPr>
        <w:t>前  言</w:t>
      </w:r>
    </w:p>
    <w:p w14:paraId="4871F673">
      <w:pPr>
        <w:ind w:firstLine="560"/>
        <w:rPr>
          <w:rFonts w:cs="Times New Roman"/>
        </w:rPr>
      </w:pPr>
      <w:r>
        <w:rPr>
          <w:rFonts w:cs="Times New Roman"/>
        </w:rPr>
        <w:t>水通过水利工程调蓄、输送到田间灌溉农作物，本身就具有了商品属性。农业水费是为补偿农业供水单位生产成本而设立的一种经营性收费。农民的农业水费支出与购买种子、化肥、农药等费用一起，构成了农业生产费用。但是，社会上对农业水费的认识不完全一致，农民还没有把水费 支出与农业生产中购买种子、化肥等同等对待，特别是国家实行农业“四 补贴”后，农民对缴纳农业水费的积极性下降，部分农民甚至有了抵制情 绪，致使仅占供水成本40%左右的农业水价得不到及时调整，部分地区农业水费实缴率也有所下降，灌溉工程日常维护费用严重短缺，大多数供水单位运转日益困难，一定程度上影响了灌溉工程效益的正常发挥。推进农业水价综合改革十分紧迫和必须。</w:t>
      </w:r>
    </w:p>
    <w:p w14:paraId="35E07EE3">
      <w:pPr>
        <w:ind w:firstLine="560"/>
        <w:rPr>
          <w:rFonts w:cs="Times New Roman"/>
        </w:rPr>
      </w:pPr>
      <w:r>
        <w:rPr>
          <w:rFonts w:cs="Times New Roman"/>
        </w:rPr>
        <w:t>在各地不断探索、推进农业水价改革的基础上，2014年发展改革委、财政部、水利部、农业部联合在全国27个省（自治区、直辖市）80个县开展农业水价综合改革试点，各地结合实际，在明晰农户用水权、健全水价、形成机制、推进农田水利设施产权制度改革、落实灌排工程运行管理费用财政适当补助政策、创新工程管护机制和农民用水合作组织多元化发展等方面进行了有益探索，有效促进了试点地区农业节水、农户增收、经济发展，也为下一步全面开展农业水价综合改革积累了经验、探明了方向。</w:t>
      </w:r>
    </w:p>
    <w:p w14:paraId="490B5573">
      <w:pPr>
        <w:ind w:firstLine="560"/>
        <w:rPr>
          <w:rFonts w:cs="Times New Roman"/>
        </w:rPr>
        <w:sectPr>
          <w:headerReference r:id="rId12" w:type="default"/>
          <w:footerReference r:id="rId13" w:type="default"/>
          <w:pgSz w:w="12240" w:h="15840"/>
          <w:pgMar w:top="1440" w:right="1803" w:bottom="1440" w:left="1803" w:header="720" w:footer="720" w:gutter="0"/>
          <w:pgNumType w:fmt="lowerRoman" w:start="1"/>
          <w:cols w:space="0" w:num="1"/>
          <w:docGrid w:linePitch="312" w:charSpace="0"/>
        </w:sectPr>
      </w:pPr>
      <w:r>
        <w:rPr>
          <w:rFonts w:cs="Times New Roman"/>
        </w:rPr>
        <w:t>2015年发布的中央一号文件对农业很多领域做出改革部署，推进农业水价综合改革就是其中一项。在保证农民基本用水需求的同时，建立多水多花钱，少用水少花钱，不用水得补贴的机制。既不在总体上增加农民负担，又促进节约用水。推进农业水价综合改革，积极推广水价改革和水权交易的成功经验，建立农业灌溉用水总量控制和定额管理制度，加强农业用水计量，合理调整农业水价，建立精准补贴机制。</w:t>
      </w:r>
    </w:p>
    <w:p w14:paraId="7C0B7CCD">
      <w:pPr>
        <w:pStyle w:val="2"/>
        <w:rPr>
          <w:rFonts w:cs="Times New Roman"/>
        </w:rPr>
      </w:pPr>
      <w:bookmarkStart w:id="0" w:name="_Toc109121620"/>
      <w:r>
        <w:rPr>
          <w:rFonts w:cs="Times New Roman"/>
        </w:rPr>
        <w:t>综合说明</w:t>
      </w:r>
      <w:bookmarkEnd w:id="0"/>
    </w:p>
    <w:p w14:paraId="0437003F">
      <w:pPr>
        <w:pStyle w:val="3"/>
        <w:rPr>
          <w:rFonts w:ascii="Times New Roman" w:hAnsi="Times New Roman" w:cs="Times New Roman"/>
        </w:rPr>
      </w:pPr>
      <w:bookmarkStart w:id="1" w:name="_Toc109121621"/>
      <w:r>
        <w:rPr>
          <w:rFonts w:ascii="Times New Roman" w:hAnsi="Times New Roman" w:cs="Times New Roman"/>
        </w:rPr>
        <w:t>项目概况</w:t>
      </w:r>
      <w:bookmarkEnd w:id="1"/>
    </w:p>
    <w:p w14:paraId="44FA3487">
      <w:pPr>
        <w:ind w:firstLine="560"/>
        <w:rPr>
          <w:rFonts w:cs="Times New Roman"/>
        </w:rPr>
      </w:pPr>
      <w:r>
        <w:rPr>
          <w:rFonts w:cs="Times New Roman"/>
        </w:rPr>
        <w:t>项目名称：云南省昆明市富民县农业水价综合改革实施方案</w:t>
      </w:r>
    </w:p>
    <w:p w14:paraId="6A4AE40A">
      <w:pPr>
        <w:ind w:firstLine="560"/>
        <w:rPr>
          <w:rFonts w:cs="Times New Roman"/>
        </w:rPr>
      </w:pPr>
      <w:r>
        <w:rPr>
          <w:rFonts w:cs="Times New Roman"/>
        </w:rPr>
        <w:t>委托单位：富民县水务局</w:t>
      </w:r>
    </w:p>
    <w:p w14:paraId="1C11D8FA">
      <w:pPr>
        <w:pStyle w:val="3"/>
        <w:rPr>
          <w:rFonts w:ascii="Times New Roman" w:hAnsi="Times New Roman" w:cs="Times New Roman"/>
        </w:rPr>
      </w:pPr>
      <w:bookmarkStart w:id="2" w:name="_Toc109121622"/>
      <w:r>
        <w:rPr>
          <w:rFonts w:ascii="Times New Roman" w:hAnsi="Times New Roman" w:cs="Times New Roman"/>
        </w:rPr>
        <w:t>项目背景</w:t>
      </w:r>
      <w:bookmarkEnd w:id="2"/>
    </w:p>
    <w:p w14:paraId="33FEF75F">
      <w:pPr>
        <w:ind w:firstLine="560"/>
        <w:rPr>
          <w:rFonts w:cs="Times New Roman"/>
        </w:rPr>
      </w:pPr>
      <w:r>
        <w:rPr>
          <w:rFonts w:cs="Times New Roman"/>
        </w:rPr>
        <w:t>我国水资源总量居世界第四位，仅次于巴西、俄罗斯和加拿大。但是我国人均水资源占有量为仅为世界平均水平的1/4，居世界第121位，被列为世界上13个贫水国之一。在这种水资源匮乏的状况下，用于灌溉的农业用水却占了70%。全国拥有5.2亿亩灌溉面积，占农田总面积的41%，生产了占总产量75%的粮食和95%以上的其它作物，显然，灌溉工程在现代农业和农村经济发展中的地位和作用是显而易见的。</w:t>
      </w:r>
    </w:p>
    <w:p w14:paraId="0A041E7A">
      <w:pPr>
        <w:ind w:firstLine="560"/>
        <w:rPr>
          <w:rFonts w:cs="Times New Roman"/>
        </w:rPr>
      </w:pPr>
      <w:r>
        <w:rPr>
          <w:rFonts w:cs="Times New Roman"/>
        </w:rPr>
        <w:t>2019年3月6日，水利部在北京部署安排2019-2020年全国重点中型灌区节水配套改造工作，要求各地于2020年底基本完成重点中型灌区节水配套改造任务，解决影响灌区正常运行的“卡脖子”问题。据统计，我国农田灌溉水有效利用系数只有0.542，远低于0.7—0.8的世界先进水平，节水潜力巨大。</w:t>
      </w:r>
    </w:p>
    <w:p w14:paraId="796EAC5D">
      <w:pPr>
        <w:ind w:firstLine="560"/>
        <w:rPr>
          <w:rFonts w:cs="Times New Roman"/>
        </w:rPr>
      </w:pPr>
      <w:r>
        <w:rPr>
          <w:rFonts w:cs="Times New Roman"/>
        </w:rPr>
        <w:t>农业水价综合改革以综合手段提升农业用水效率，减少农业用水总量和强度，有利于缓解我国用水紧张的态势，保障国家水安全，因此国家大力推进农业水价综合改革。日前，国家发改委发布《关于加大力度推进农业水价综合改革工作的通知》，提出要切实把农业水价综合改革作为农业节水工作的“牛鼻子”来抓，扎实有序推进农业水价综合改革取得实效。</w:t>
      </w:r>
    </w:p>
    <w:p w14:paraId="0A87F589">
      <w:pPr>
        <w:ind w:firstLine="560"/>
        <w:rPr>
          <w:rFonts w:cs="Times New Roman"/>
        </w:rPr>
      </w:pPr>
      <w:r>
        <w:rPr>
          <w:rFonts w:cs="Times New Roman"/>
        </w:rPr>
        <w:t>为进一步完善农业灌溉取用水规范化、合理化，开展落实到具体水源，明确水权，颁发用水权证，实行用水总量控制，结合当地产业结构和自然降水等气象因素，合理确定灌区用水定额标准。同时对已建成的农田灌溉工程验收后及时移交灌区管理维护，管护主体主要为乡政府、村委会及村组，鼓励管理单位建立管护机制，收取一定费用，达到“以水养水”为目的，对农业水价综合改革刻不容缓。为了进一步推动富民县农业综合水价改革，提高农业用水效率，完善灌区取水规范化、合理化，受富民县水务局委托，特编制本方案。</w:t>
      </w:r>
    </w:p>
    <w:p w14:paraId="1F3D199E">
      <w:pPr>
        <w:ind w:firstLine="560"/>
        <w:rPr>
          <w:rFonts w:cs="Times New Roman"/>
        </w:rPr>
        <w:sectPr>
          <w:footerReference r:id="rId14" w:type="default"/>
          <w:pgSz w:w="12240" w:h="15840"/>
          <w:pgMar w:top="1440" w:right="1803" w:bottom="1440" w:left="1803" w:header="720" w:footer="720" w:gutter="0"/>
          <w:pgNumType w:fmt="numberInDash" w:start="1"/>
          <w:cols w:space="0" w:num="1"/>
          <w:docGrid w:linePitch="312" w:charSpace="0"/>
        </w:sectPr>
      </w:pPr>
    </w:p>
    <w:p w14:paraId="6D6C3000">
      <w:pPr>
        <w:pStyle w:val="2"/>
        <w:rPr>
          <w:rFonts w:cs="Times New Roman"/>
        </w:rPr>
      </w:pPr>
      <w:bookmarkStart w:id="3" w:name="_Toc109121623"/>
      <w:r>
        <w:rPr>
          <w:rFonts w:cs="Times New Roman"/>
        </w:rPr>
        <w:t>基本情况</w:t>
      </w:r>
      <w:bookmarkEnd w:id="3"/>
    </w:p>
    <w:p w14:paraId="465183C4">
      <w:pPr>
        <w:pStyle w:val="3"/>
        <w:rPr>
          <w:rFonts w:ascii="Times New Roman" w:hAnsi="Times New Roman" w:cs="Times New Roman"/>
        </w:rPr>
      </w:pPr>
      <w:bookmarkStart w:id="4" w:name="_Toc109121624"/>
      <w:r>
        <w:rPr>
          <w:rFonts w:ascii="Times New Roman" w:hAnsi="Times New Roman" w:cs="Times New Roman"/>
        </w:rPr>
        <w:t>自然条件</w:t>
      </w:r>
      <w:bookmarkEnd w:id="4"/>
    </w:p>
    <w:p w14:paraId="25C2DA1E">
      <w:pPr>
        <w:pStyle w:val="73"/>
        <w:rPr>
          <w:rFonts w:cs="Times New Roman"/>
        </w:rPr>
      </w:pPr>
      <w:bookmarkStart w:id="5" w:name="_Toc109121625"/>
      <w:r>
        <w:rPr>
          <w:rFonts w:cs="Times New Roman"/>
        </w:rPr>
        <w:t>地理位置</w:t>
      </w:r>
      <w:bookmarkEnd w:id="5"/>
    </w:p>
    <w:p w14:paraId="694E9671">
      <w:pPr>
        <w:ind w:firstLine="560"/>
        <w:rPr>
          <w:rFonts w:cs="Times New Roman"/>
        </w:rPr>
      </w:pPr>
      <w:r>
        <w:rPr>
          <w:rFonts w:cs="Times New Roman"/>
        </w:rPr>
        <w:t>昆明市富民县（以下简称富民县）位于昆明市的西北部，东经102°21'~102°47'、北纬25°08'~25°36'之间，管辖总面积993km</w:t>
      </w:r>
      <w:r>
        <w:rPr>
          <w:rFonts w:cs="Times New Roman"/>
          <w:vertAlign w:val="superscript"/>
        </w:rPr>
        <w:t>2</w:t>
      </w:r>
      <w:r>
        <w:rPr>
          <w:rFonts w:cs="Times New Roman"/>
        </w:rPr>
        <w:t>。东邻嵩明县，南接五华区、西山区，西与禄丰、武定县接壤，北与禄劝县相连。境内群山环绕，河山纵横，螳螂川蜿流其间，昆武高速、108国道、轿子山旅游专线穿境而过，交通便捷。县境呈东西最大横距44.2km，南北最大纵距51.6km近似矩形，坝区面积占全县总面积的12.5%，山区和半山区占87.5%。县城永定街道平均海拔约1681m，距昆明市区约23km。富民县自古为川藏、滇北入滇中之要津，素有“滇北锁钥”之称。</w:t>
      </w:r>
    </w:p>
    <w:p w14:paraId="593C133C">
      <w:pPr>
        <w:ind w:firstLine="0" w:firstLineChars="0"/>
        <w:jc w:val="center"/>
        <w:rPr>
          <w:rFonts w:cs="Times New Roman"/>
        </w:rPr>
      </w:pPr>
    </w:p>
    <w:p w14:paraId="5FDC8513">
      <w:pPr>
        <w:ind w:firstLine="0" w:firstLineChars="0"/>
        <w:jc w:val="center"/>
        <w:rPr>
          <w:rFonts w:cs="Times New Roman"/>
        </w:rPr>
      </w:pPr>
      <w:r>
        <w:rPr>
          <w:rFonts w:cs="Times New Roman"/>
        </w:rPr>
        <w:drawing>
          <wp:inline distT="0" distB="0" distL="0" distR="0">
            <wp:extent cx="5483860" cy="7781925"/>
            <wp:effectExtent l="0" t="0" r="2540" b="0"/>
            <wp:docPr id="22" name="图片 22" descr="C:\Users\GIGA\Desktop\t01306df01de48dc9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GIGA\Desktop\t01306df01de48dc9be.jpg"/>
                    <pic:cNvPicPr>
                      <a:picLocks noChangeAspect="1" noChangeArrowheads="1"/>
                    </pic:cNvPicPr>
                  </pic:nvPicPr>
                  <pic:blipFill>
                    <a:blip r:embed="rId20" cstate="print">
                      <a:extLst>
                        <a:ext uri="{28A0092B-C50C-407E-A947-70E740481C1C}">
                          <a14:useLocalDpi xmlns:a14="http://schemas.microsoft.com/office/drawing/2010/main" val="0"/>
                        </a:ext>
                      </a:extLst>
                    </a:blip>
                    <a:srcRect b="2506"/>
                    <a:stretch>
                      <a:fillRect/>
                    </a:stretch>
                  </pic:blipFill>
                  <pic:spPr>
                    <a:xfrm>
                      <a:off x="0" y="0"/>
                      <a:ext cx="5482590" cy="7779921"/>
                    </a:xfrm>
                    <a:prstGeom prst="rect">
                      <a:avLst/>
                    </a:prstGeom>
                    <a:noFill/>
                    <a:ln>
                      <a:noFill/>
                    </a:ln>
                  </pic:spPr>
                </pic:pic>
              </a:graphicData>
            </a:graphic>
          </wp:inline>
        </w:drawing>
      </w:r>
    </w:p>
    <w:p w14:paraId="525197C9">
      <w:pPr>
        <w:pStyle w:val="77"/>
        <w:rPr>
          <w:rFonts w:ascii="Times New Roman" w:hAnsi="Times New Roman" w:cs="Times New Roman"/>
        </w:rPr>
      </w:pPr>
      <w:r>
        <w:rPr>
          <w:rFonts w:ascii="Times New Roman" w:hAnsi="Times New Roman" w:cs="Times New Roman"/>
        </w:rPr>
        <w:t>富民县地理位置图</w:t>
      </w:r>
    </w:p>
    <w:p w14:paraId="4A2DB431">
      <w:pPr>
        <w:pStyle w:val="73"/>
        <w:rPr>
          <w:rFonts w:cs="Times New Roman"/>
        </w:rPr>
      </w:pPr>
      <w:bookmarkStart w:id="6" w:name="_Toc109121626"/>
      <w:r>
        <w:rPr>
          <w:rFonts w:cs="Times New Roman"/>
        </w:rPr>
        <w:t>地形地貌</w:t>
      </w:r>
      <w:bookmarkEnd w:id="6"/>
    </w:p>
    <w:p w14:paraId="60454ED9">
      <w:pPr>
        <w:ind w:firstLine="560"/>
        <w:rPr>
          <w:rFonts w:cs="Times New Roman"/>
        </w:rPr>
      </w:pPr>
      <w:r>
        <w:rPr>
          <w:rFonts w:cs="Times New Roman"/>
        </w:rPr>
        <w:t>富民县山区多坝区少，地势西高北低，盆岭相间。主山多为南北走向，县城西部金铜盆山峰海拔2817m，为全县最高峰，中部望海山海拔2672m，居高峰之二。全县最低海拔1455m，位于东村镇沙坪村北。县境东部的东大山、打猎山，南部的天马山、风摆山，西部的玉屏山、老青山、白龙梁子、大青山，北部的大牯子山、大黑山等，海拔均在2400m至2600m之间。望海山山脉在县境中部南北延伸，把县境分为东北部龙泉河流域的散旦镇、款庄镇、东村镇，西部螳螂川流域的永定街道、罗免镇、赤鹫镇。全县有大小坝子18个，最大的富民县城坝子面积为23km</w:t>
      </w:r>
      <w:r>
        <w:rPr>
          <w:rFonts w:cs="Times New Roman"/>
          <w:vertAlign w:val="superscript"/>
        </w:rPr>
        <w:t>2</w:t>
      </w:r>
      <w:r>
        <w:rPr>
          <w:rFonts w:cs="Times New Roman"/>
        </w:rPr>
        <w:t>。</w:t>
      </w:r>
    </w:p>
    <w:p w14:paraId="2832FAFC">
      <w:pPr>
        <w:pStyle w:val="73"/>
        <w:rPr>
          <w:rFonts w:cs="Times New Roman"/>
        </w:rPr>
      </w:pPr>
      <w:bookmarkStart w:id="7" w:name="_Toc109121627"/>
      <w:r>
        <w:rPr>
          <w:rFonts w:cs="Times New Roman"/>
        </w:rPr>
        <w:t>水文气象特征</w:t>
      </w:r>
      <w:bookmarkEnd w:id="7"/>
    </w:p>
    <w:p w14:paraId="214F76C6">
      <w:pPr>
        <w:ind w:firstLine="560"/>
        <w:rPr>
          <w:rFonts w:cs="Times New Roman"/>
        </w:rPr>
      </w:pPr>
      <w:r>
        <w:rPr>
          <w:rFonts w:cs="Times New Roman"/>
        </w:rPr>
        <w:t>富民县气候为典型的低纬度高原亚热带季风气候，常年多西南风，风速2.1mls，大部分地区冬无严寒、夏无酷暑，春早春暖，雨热同季，多年平均气温是15.8°C，7月均温21.2℃，1月平均气温8.3℃。</w:t>
      </w:r>
    </w:p>
    <w:p w14:paraId="6BF9C6EE">
      <w:pPr>
        <w:ind w:firstLine="560"/>
        <w:rPr>
          <w:rFonts w:cs="Times New Roman"/>
        </w:rPr>
      </w:pPr>
      <w:r>
        <w:rPr>
          <w:rFonts w:cs="Times New Roman"/>
        </w:rPr>
        <w:t>最高气温33.4℃，最低气温-7℃，历年平均相对湿度72%。年均雨日136天，霜日63天，雾日10天，日照2287小时。县境内降水中等，年际降水不平衡，年内降水变幅大，冬春少雨，夏秋湿润，每年5—10月为雨季，降水量占全年降雨总量的87.9%，11月至次年4月为干季，降水量只占12.1%，多年平均降雨量856mm。多年平均蒸发量1942.4mm，干旱指数1.1-1.7。</w:t>
      </w:r>
    </w:p>
    <w:p w14:paraId="3E315B9A">
      <w:pPr>
        <w:ind w:firstLine="560"/>
        <w:rPr>
          <w:rFonts w:cs="Times New Roman"/>
        </w:rPr>
      </w:pPr>
      <w:r>
        <w:rPr>
          <w:rFonts w:cs="Times New Roman"/>
        </w:rPr>
        <w:t>富民县属长江水系，普渡河流域，县境内除螳螂川干流外，流域面积大于100km</w:t>
      </w:r>
      <w:r>
        <w:rPr>
          <w:rFonts w:cs="Times New Roman"/>
          <w:vertAlign w:val="superscript"/>
        </w:rPr>
        <w:t>2</w:t>
      </w:r>
      <w:r>
        <w:rPr>
          <w:rFonts w:cs="Times New Roman"/>
        </w:rPr>
        <w:t>以上的支流仅有龙纳河、大营河、龙泉河、木板河。根据2019年昆明市水资源公报数据显示，全县水资源总量12.83亿m</w:t>
      </w:r>
      <w:r>
        <w:rPr>
          <w:rFonts w:cs="Times New Roman"/>
          <w:vertAlign w:val="superscript"/>
        </w:rPr>
        <w:t>3</w:t>
      </w:r>
      <w:r>
        <w:rPr>
          <w:rFonts w:cs="Times New Roman"/>
        </w:rPr>
        <w:t>，水资源开发利用率26%，人均占有水资源量1789m</w:t>
      </w:r>
      <w:r>
        <w:rPr>
          <w:rFonts w:cs="Times New Roman"/>
          <w:vertAlign w:val="superscript"/>
        </w:rPr>
        <w:t>3</w:t>
      </w:r>
      <w:r>
        <w:rPr>
          <w:rFonts w:cs="Times New Roman"/>
        </w:rPr>
        <w:t>。富民县水资源时空分布不均，境内多年平均降雨量为856mm，1-5月是降雨量最少、蒸发量最大的月份，也是全县用水矛盾最为突出的时段。6-10月降雨量占全年的80%以上。水资源开发利用率低，资源型、工程型、水质型缺水，加剧经济社会发展用水需求和水资源开发利用、节约保护的矛盾。按照国际公认标准，富民县已属重度缺水地区，如何提高水资源对全县经济社会发展的支撑和保障能力将显得更加迫切和重要。</w:t>
      </w:r>
    </w:p>
    <w:p w14:paraId="1A50BE74">
      <w:pPr>
        <w:pStyle w:val="3"/>
        <w:rPr>
          <w:rFonts w:ascii="Times New Roman" w:hAnsi="Times New Roman" w:cs="Times New Roman"/>
        </w:rPr>
      </w:pPr>
      <w:bookmarkStart w:id="8" w:name="_Toc109121628"/>
      <w:r>
        <w:rPr>
          <w:rFonts w:ascii="Times New Roman" w:hAnsi="Times New Roman" w:cs="Times New Roman"/>
        </w:rPr>
        <w:t>社会经济</w:t>
      </w:r>
      <w:bookmarkEnd w:id="8"/>
    </w:p>
    <w:p w14:paraId="235A4DD0">
      <w:pPr>
        <w:ind w:firstLine="560"/>
        <w:rPr>
          <w:rFonts w:cs="Times New Roman"/>
          <w:kern w:val="0"/>
          <w:szCs w:val="28"/>
        </w:rPr>
      </w:pPr>
      <w:r>
        <w:rPr>
          <w:rFonts w:cs="Times New Roman"/>
          <w:kern w:val="0"/>
          <w:szCs w:val="28"/>
        </w:rPr>
        <w:t>富民县全县辖5镇2街道，2021年全县常住人口14.95万人，其中，城镇7.89万人，城镇化率为52.77%，人口自然增长率为3.28‰。</w:t>
      </w:r>
    </w:p>
    <w:p w14:paraId="45673376">
      <w:pPr>
        <w:ind w:firstLine="560"/>
        <w:rPr>
          <w:rFonts w:cs="Times New Roman"/>
          <w:kern w:val="0"/>
          <w:szCs w:val="28"/>
        </w:rPr>
      </w:pPr>
      <w:r>
        <w:rPr>
          <w:rFonts w:cs="Times New Roman"/>
          <w:kern w:val="0"/>
          <w:szCs w:val="28"/>
        </w:rPr>
        <w:t>根据地区生产总值统一核算结果，2020年，实现地区生产总值（GDP）105.73亿元，按不变价格计算，同比增长2.5%。其中，第一产业实现增加值16.10亿元，增长6.1%；第二产业实现增加值40.55亿元，下降1.7%；第三产业实现增加值49.08亿元，增长6.0%；第一产业增加值占地区生产总值的比重为15.2%，第二产业增加值比重为38.4%，第三产业增加值比重为46.4%；按常住人口计算，人均生产总值68654元，增长8.9%；非公经济实现增加值66.90亿元，下降3.1%，占GDP的比重为63.3%。</w:t>
      </w:r>
    </w:p>
    <w:p w14:paraId="7A2EC9D1">
      <w:pPr>
        <w:ind w:firstLine="560"/>
        <w:rPr>
          <w:rFonts w:cs="Times New Roman"/>
        </w:rPr>
      </w:pPr>
      <w:r>
        <w:rPr>
          <w:rFonts w:cs="Times New Roman"/>
          <w:kern w:val="0"/>
          <w:szCs w:val="28"/>
        </w:rPr>
        <w:t>全年财政总收入11.47亿元，同比增长7.7%。其中，一般公共预算收入6.02亿元，增长3.7%。在一般公共预算收入中，税收收入5.33亿元，增长10.2%，其中，增值税2.80亿元，增长3.3%；企业所得税0.36亿元，增长15.9%；个人所得税0.07亿元，增长37.7%。</w:t>
      </w:r>
    </w:p>
    <w:p w14:paraId="72A954DD">
      <w:pPr>
        <w:pStyle w:val="3"/>
        <w:rPr>
          <w:rFonts w:ascii="Times New Roman" w:hAnsi="Times New Roman" w:cs="Times New Roman"/>
        </w:rPr>
      </w:pPr>
      <w:bookmarkStart w:id="9" w:name="_Toc109121629"/>
      <w:r>
        <w:rPr>
          <w:rFonts w:ascii="Times New Roman" w:hAnsi="Times New Roman" w:cs="Times New Roman"/>
        </w:rPr>
        <w:t>农田水利现状</w:t>
      </w:r>
      <w:bookmarkEnd w:id="9"/>
    </w:p>
    <w:p w14:paraId="4559B914">
      <w:pPr>
        <w:pStyle w:val="73"/>
        <w:rPr>
          <w:rFonts w:cs="Times New Roman"/>
        </w:rPr>
      </w:pPr>
      <w:bookmarkStart w:id="10" w:name="_Toc109121630"/>
      <w:r>
        <w:rPr>
          <w:rFonts w:cs="Times New Roman"/>
        </w:rPr>
        <w:t>工程设施现状</w:t>
      </w:r>
      <w:bookmarkEnd w:id="10"/>
    </w:p>
    <w:p w14:paraId="1B7FCB52">
      <w:pPr>
        <w:ind w:firstLine="560"/>
        <w:rPr>
          <w:rFonts w:cs="Times New Roman"/>
        </w:rPr>
      </w:pPr>
      <w:r>
        <w:rPr>
          <w:rFonts w:cs="Times New Roman"/>
        </w:rPr>
        <w:t>全县共建成小(一)型水库7座，小（二）型水库23座，一万立方米以上坝塘89座和各类小坝塘253座。建成每秒0.3立方米流量以上的沟渠21条，建成每秒0.1-0.3</w:t>
      </w:r>
      <w:r>
        <w:rPr>
          <w:rFonts w:hint="eastAsia" w:cs="Times New Roman"/>
        </w:rPr>
        <w:t>m</w:t>
      </w:r>
      <w:r>
        <w:rPr>
          <w:rFonts w:hint="eastAsia" w:cs="Times New Roman"/>
          <w:vertAlign w:val="superscript"/>
        </w:rPr>
        <w:t>3</w:t>
      </w:r>
      <w:r>
        <w:rPr>
          <w:rFonts w:cs="Times New Roman"/>
        </w:rPr>
        <w:t>流量的沟渠23条，小沟渠261条；建成与骨干水利工程相配套的小型水电站4座，装机容量1065kw。初步形成了蓄、引、提、灌、排配套。防洪、供水等多功能的水利工程体系，使我县的水利化程度得到提高，为县域经济的发展做出了重大贡献。</w:t>
      </w:r>
    </w:p>
    <w:p w14:paraId="045B8188">
      <w:pPr>
        <w:ind w:firstLine="560"/>
        <w:rPr>
          <w:rFonts w:cs="Times New Roman" w:eastAsiaTheme="minorEastAsia"/>
          <w:szCs w:val="28"/>
        </w:rPr>
      </w:pPr>
      <w:r>
        <w:rPr>
          <w:rFonts w:cs="Times New Roman" w:eastAsiaTheme="minorEastAsia"/>
          <w:szCs w:val="28"/>
        </w:rPr>
        <w:t>2019年富民县农田建设项目新建高标准农田1.28万亩，其中高效节水灌溉项目0.46万亩，建设泵站1座，输水管道40余</w:t>
      </w:r>
      <w:r>
        <w:rPr>
          <w:rFonts w:hint="eastAsia" w:cs="Times New Roman" w:eastAsiaTheme="minorEastAsia"/>
          <w:szCs w:val="28"/>
        </w:rPr>
        <w:t>km</w:t>
      </w:r>
      <w:r>
        <w:rPr>
          <w:rFonts w:cs="Times New Roman" w:eastAsiaTheme="minorEastAsia"/>
          <w:szCs w:val="28"/>
        </w:rPr>
        <w:t>；国家高原云果产业园2000亩（高效节水），建设泵站1座，1000</w:t>
      </w:r>
      <w:r>
        <w:rPr>
          <w:rFonts w:hint="eastAsia" w:cs="Times New Roman" w:eastAsiaTheme="minorEastAsia"/>
          <w:szCs w:val="28"/>
        </w:rPr>
        <w:t>m</w:t>
      </w:r>
      <w:r>
        <w:rPr>
          <w:rFonts w:hint="eastAsia" w:cs="Times New Roman" w:eastAsiaTheme="minorEastAsia"/>
          <w:szCs w:val="28"/>
          <w:vertAlign w:val="superscript"/>
        </w:rPr>
        <w:t>3</w:t>
      </w:r>
      <w:r>
        <w:rPr>
          <w:rFonts w:cs="Times New Roman" w:eastAsiaTheme="minorEastAsia"/>
          <w:szCs w:val="28"/>
        </w:rPr>
        <w:t>水池1座，输水管道9</w:t>
      </w:r>
      <w:r>
        <w:rPr>
          <w:rFonts w:hint="eastAsia" w:cs="Times New Roman" w:eastAsiaTheme="minorEastAsia"/>
          <w:szCs w:val="28"/>
        </w:rPr>
        <w:t>km</w:t>
      </w:r>
      <w:r>
        <w:rPr>
          <w:rFonts w:cs="Times New Roman" w:eastAsiaTheme="minorEastAsia"/>
          <w:szCs w:val="28"/>
        </w:rPr>
        <w:t>。富民县2020年高标准农田建设项目新建高标准农田1.85万亩，项目投资2775万元。其中项目建设泵站5个；款庄镇马街小庄、多宜建设水池4个。</w:t>
      </w:r>
    </w:p>
    <w:p w14:paraId="0BB4871F">
      <w:pPr>
        <w:pStyle w:val="73"/>
        <w:rPr>
          <w:rFonts w:cs="Times New Roman"/>
        </w:rPr>
      </w:pPr>
      <w:bookmarkStart w:id="11" w:name="_Toc109121631"/>
      <w:r>
        <w:rPr>
          <w:rFonts w:cs="Times New Roman"/>
        </w:rPr>
        <w:t>运行管理现状</w:t>
      </w:r>
      <w:bookmarkEnd w:id="11"/>
    </w:p>
    <w:p w14:paraId="7B02C4D2">
      <w:pPr>
        <w:ind w:firstLine="560"/>
        <w:rPr>
          <w:rFonts w:cs="Times New Roman" w:eastAsiaTheme="minorEastAsia"/>
          <w:szCs w:val="28"/>
        </w:rPr>
      </w:pPr>
      <w:r>
        <w:rPr>
          <w:rFonts w:cs="Times New Roman" w:eastAsiaTheme="minorEastAsia"/>
          <w:szCs w:val="28"/>
        </w:rPr>
        <w:t>富民县农业水价改革在白地山山区小水网改革试点项目基础上，完成富民县赤鹫镇平地片区山区小水网建设试点项目、东村中民山区小水网建设项目现建立制度注册成立了用水合作组织。</w:t>
      </w:r>
    </w:p>
    <w:p w14:paraId="41A9EBE9">
      <w:pPr>
        <w:ind w:firstLine="560"/>
        <w:rPr>
          <w:rFonts w:cs="Times New Roman" w:eastAsiaTheme="minorEastAsia"/>
          <w:szCs w:val="28"/>
        </w:rPr>
      </w:pPr>
      <w:r>
        <w:rPr>
          <w:rFonts w:cs="Times New Roman" w:eastAsiaTheme="minorEastAsia"/>
          <w:szCs w:val="28"/>
        </w:rPr>
        <w:t>通过集雨、引流、储水等方式，采取新建汇流沟、集水坝、沉沙池、蓄水池、管道、供水计量设施及灌桩等工程措施，形成互联互通的网状供水系统，确保实现农村的长期稳定供水。在项目区灌溉管道上安装了智能NFC卡，水费征收实现水费预付制管理。水费的征收由合作社负责统一收取，用水户预缴水费，由合作社财务人员预存至用水户NFC卡账户，并开据专用发票（收据）。小型水利工程互连互通功能，提高了水资源的利用率，通过工程建设和机制创建，改善解决了当地耕地灌溉及人饮用水条件，调整了种植结构，利用优越的地理位置，引导产业转型升级，为当地经济的发展奠定了坚实的基础。</w:t>
      </w:r>
    </w:p>
    <w:p w14:paraId="298A1447">
      <w:pPr>
        <w:ind w:firstLine="560"/>
        <w:rPr>
          <w:rFonts w:cs="Times New Roman"/>
        </w:rPr>
        <w:sectPr>
          <w:pgSz w:w="12240" w:h="15840"/>
          <w:pgMar w:top="1440" w:right="1803" w:bottom="1440" w:left="1803" w:header="720" w:footer="720" w:gutter="0"/>
          <w:pgNumType w:fmt="numberInDash"/>
          <w:cols w:space="0" w:num="1"/>
          <w:docGrid w:linePitch="312" w:charSpace="0"/>
        </w:sectPr>
      </w:pPr>
    </w:p>
    <w:p w14:paraId="1E838DEC">
      <w:pPr>
        <w:pStyle w:val="2"/>
        <w:rPr>
          <w:rFonts w:cs="Times New Roman"/>
        </w:rPr>
      </w:pPr>
      <w:bookmarkStart w:id="12" w:name="_Toc109121632"/>
      <w:r>
        <w:rPr>
          <w:rFonts w:cs="Times New Roman"/>
        </w:rPr>
        <w:t>改革的必要性</w:t>
      </w:r>
      <w:bookmarkEnd w:id="12"/>
    </w:p>
    <w:p w14:paraId="44B88576">
      <w:pPr>
        <w:pStyle w:val="3"/>
        <w:rPr>
          <w:rFonts w:ascii="Times New Roman" w:hAnsi="Times New Roman" w:cs="Times New Roman"/>
        </w:rPr>
      </w:pPr>
      <w:bookmarkStart w:id="13" w:name="_Toc109121633"/>
      <w:r>
        <w:rPr>
          <w:rFonts w:ascii="Times New Roman" w:hAnsi="Times New Roman" w:cs="Times New Roman"/>
        </w:rPr>
        <w:t>存在的问题</w:t>
      </w:r>
      <w:bookmarkEnd w:id="13"/>
    </w:p>
    <w:p w14:paraId="604A1617">
      <w:pPr>
        <w:ind w:firstLine="560"/>
        <w:rPr>
          <w:rFonts w:cs="Times New Roman" w:eastAsiaTheme="minorEastAsia"/>
          <w:szCs w:val="28"/>
        </w:rPr>
      </w:pPr>
      <w:r>
        <w:rPr>
          <w:rFonts w:cs="Times New Roman" w:eastAsiaTheme="minorEastAsia"/>
          <w:szCs w:val="28"/>
        </w:rPr>
        <w:t>（1）各部门没有形成协调联动机制，专靠水务部门推进农业水价综合改革工作难度较大。</w:t>
      </w:r>
    </w:p>
    <w:p w14:paraId="13495A1A">
      <w:pPr>
        <w:ind w:firstLine="560"/>
        <w:rPr>
          <w:rFonts w:cs="Times New Roman" w:eastAsiaTheme="minorEastAsia"/>
          <w:szCs w:val="28"/>
        </w:rPr>
      </w:pPr>
      <w:r>
        <w:rPr>
          <w:rFonts w:cs="Times New Roman" w:eastAsiaTheme="minorEastAsia"/>
          <w:szCs w:val="28"/>
        </w:rPr>
        <w:t>（2）我县农业水利基础设施依然薄弱，多数小型灌区计量设施不配套、灌溉渠系不健全，导致工程效益不明显。</w:t>
      </w:r>
    </w:p>
    <w:p w14:paraId="08C56B90">
      <w:pPr>
        <w:ind w:firstLine="560"/>
        <w:rPr>
          <w:rFonts w:cs="Times New Roman" w:eastAsiaTheme="minorEastAsia"/>
          <w:szCs w:val="28"/>
        </w:rPr>
      </w:pPr>
      <w:r>
        <w:rPr>
          <w:rFonts w:cs="Times New Roman" w:eastAsiaTheme="minorEastAsia"/>
          <w:szCs w:val="28"/>
        </w:rPr>
        <w:t>（3）群众节水意识薄弱，农业灌水方式单一化、传统化严重，加之农民群众承受能力弱，水商品意识淡薄，难以实现按成本水价向灌区供水收取水费，导致农业水价综合改革工作难以开展。</w:t>
      </w:r>
    </w:p>
    <w:p w14:paraId="4329FEA3">
      <w:pPr>
        <w:ind w:firstLine="560"/>
        <w:rPr>
          <w:rFonts w:cs="Times New Roman" w:eastAsiaTheme="minorEastAsia"/>
          <w:szCs w:val="28"/>
        </w:rPr>
      </w:pPr>
      <w:r>
        <w:rPr>
          <w:rFonts w:cs="Times New Roman" w:eastAsiaTheme="minorEastAsia"/>
          <w:szCs w:val="28"/>
        </w:rPr>
        <w:t>（4）运行机制不健全，运行管理落后</w:t>
      </w:r>
    </w:p>
    <w:p w14:paraId="3D83E7EF">
      <w:pPr>
        <w:ind w:firstLine="560"/>
        <w:rPr>
          <w:rFonts w:cs="Times New Roman" w:eastAsiaTheme="minorEastAsia"/>
          <w:szCs w:val="28"/>
        </w:rPr>
      </w:pPr>
      <w:r>
        <w:rPr>
          <w:rFonts w:cs="Times New Roman" w:eastAsiaTheme="minorEastAsia"/>
          <w:szCs w:val="28"/>
        </w:rPr>
        <w:t>运营管理机制落后，以往灌溉工程具体管理人员一般都从本村村民中临时挑选，作兼职管理。管理人员大多文化水平不高，对他们又缺乏必要的专业培训，导致管理水平较低，对工程长期发挥效益不利。</w:t>
      </w:r>
    </w:p>
    <w:p w14:paraId="7F4D2D8D">
      <w:pPr>
        <w:ind w:firstLine="560"/>
        <w:rPr>
          <w:rFonts w:cs="Times New Roman" w:eastAsiaTheme="minorEastAsia"/>
          <w:szCs w:val="28"/>
        </w:rPr>
      </w:pPr>
      <w:r>
        <w:rPr>
          <w:rFonts w:cs="Times New Roman" w:eastAsiaTheme="minorEastAsia"/>
          <w:szCs w:val="28"/>
        </w:rPr>
        <w:t>（5）水价机制不活，节水意识差</w:t>
      </w:r>
    </w:p>
    <w:p w14:paraId="3D017C25">
      <w:pPr>
        <w:ind w:firstLine="560"/>
        <w:rPr>
          <w:rFonts w:cs="Times New Roman" w:eastAsiaTheme="minorEastAsia"/>
          <w:szCs w:val="28"/>
        </w:rPr>
      </w:pPr>
      <w:r>
        <w:rPr>
          <w:rFonts w:cs="Times New Roman" w:eastAsiaTheme="minorEastAsia"/>
          <w:szCs w:val="28"/>
        </w:rPr>
        <w:t>现行供水价格未完全确定，无法反映水资源的紧缺状况，农业灌溉普遍存在大水漫灌和无偿供水的现象。由于农业水费价格未确定，根本无法维持水管单位的正常运行，工程运行管理经费不足，导致工程效能低下，制约工程的正常运行和灌溉效益发挥。</w:t>
      </w:r>
    </w:p>
    <w:p w14:paraId="5811CC5B">
      <w:pPr>
        <w:pStyle w:val="3"/>
        <w:rPr>
          <w:rFonts w:ascii="Times New Roman" w:hAnsi="Times New Roman" w:cs="Times New Roman"/>
        </w:rPr>
      </w:pPr>
      <w:bookmarkStart w:id="14" w:name="_Toc109121634"/>
      <w:r>
        <w:rPr>
          <w:rFonts w:ascii="Times New Roman" w:hAnsi="Times New Roman" w:cs="Times New Roman"/>
        </w:rPr>
        <w:t>改革的必要性</w:t>
      </w:r>
      <w:bookmarkEnd w:id="14"/>
    </w:p>
    <w:p w14:paraId="446CE2B2">
      <w:pPr>
        <w:ind w:firstLine="560"/>
        <w:rPr>
          <w:rFonts w:cs="Times New Roman" w:eastAsiaTheme="minorEastAsia"/>
          <w:szCs w:val="28"/>
        </w:rPr>
      </w:pPr>
      <w:r>
        <w:rPr>
          <w:rFonts w:cs="Times New Roman" w:eastAsiaTheme="minorEastAsia"/>
          <w:szCs w:val="28"/>
        </w:rPr>
        <w:t>（1）进行农业水价改革，是公平负担和科学用水的需要</w:t>
      </w:r>
    </w:p>
    <w:p w14:paraId="45D40666">
      <w:pPr>
        <w:ind w:firstLine="560"/>
        <w:rPr>
          <w:rFonts w:cs="Times New Roman" w:eastAsiaTheme="minorEastAsia"/>
          <w:szCs w:val="28"/>
        </w:rPr>
      </w:pPr>
      <w:r>
        <w:rPr>
          <w:rFonts w:cs="Times New Roman" w:eastAsiaTheme="minorEastAsia"/>
          <w:szCs w:val="28"/>
        </w:rPr>
        <w:t>水利工程供水价格按照补偿成本、合理收益、优质优价、公平负担的原则制定，并根据供水成本、费用及市场供求变化情况适时调整，实行按方计量或按亩收费，从根本上解决了农业用水上的“大锅饭”问题，使农民公正、公开、合理负担水费，增强了农民的节水观念，便于激发农民节水的主观能动性，增强农民的参与意识和自我管理能力，提高农民科学用水水平。</w:t>
      </w:r>
    </w:p>
    <w:p w14:paraId="540D4A6E">
      <w:pPr>
        <w:ind w:firstLine="560"/>
        <w:rPr>
          <w:rFonts w:cs="Times New Roman" w:eastAsiaTheme="minorEastAsia"/>
          <w:szCs w:val="28"/>
        </w:rPr>
      </w:pPr>
      <w:r>
        <w:rPr>
          <w:rFonts w:cs="Times New Roman" w:eastAsiaTheme="minorEastAsia"/>
          <w:szCs w:val="28"/>
        </w:rPr>
        <w:t>（2）进行农业水价改革，是计量征费和科学管水的需要</w:t>
      </w:r>
    </w:p>
    <w:p w14:paraId="0127FE17">
      <w:pPr>
        <w:ind w:firstLine="560"/>
        <w:rPr>
          <w:rFonts w:cs="Times New Roman" w:eastAsiaTheme="minorEastAsia"/>
          <w:szCs w:val="28"/>
        </w:rPr>
      </w:pPr>
      <w:r>
        <w:rPr>
          <w:rFonts w:cs="Times New Roman" w:eastAsiaTheme="minorEastAsia"/>
          <w:szCs w:val="28"/>
        </w:rPr>
        <w:t>通过水价改革，农业用水按年亩平均收费和计量收费（按方收费），是科学管水的方向、前提和必要手段，是发展质量效益型农业和实现农业现代化的实际步骤，是优化配置水资源的根本措施，只有进行水价改革，才能实现农业供水由粗放经营向精细化管理的转变，进而实现真正意义上的科学管水。</w:t>
      </w:r>
    </w:p>
    <w:p w14:paraId="20F20E9F">
      <w:pPr>
        <w:ind w:firstLine="560"/>
        <w:rPr>
          <w:rFonts w:cs="Times New Roman" w:eastAsiaTheme="minorEastAsia"/>
          <w:szCs w:val="28"/>
        </w:rPr>
      </w:pPr>
      <w:r>
        <w:rPr>
          <w:rFonts w:cs="Times New Roman" w:eastAsiaTheme="minorEastAsia"/>
          <w:szCs w:val="28"/>
        </w:rPr>
        <w:t>（3）进行农业水价改革，是水资源永续利用、农业生产可持续发展的需要</w:t>
      </w:r>
    </w:p>
    <w:p w14:paraId="0DB60841">
      <w:pPr>
        <w:ind w:firstLine="560"/>
        <w:rPr>
          <w:rFonts w:cs="Times New Roman" w:eastAsiaTheme="minorEastAsia"/>
          <w:szCs w:val="28"/>
        </w:rPr>
      </w:pPr>
      <w:r>
        <w:rPr>
          <w:rFonts w:cs="Times New Roman" w:eastAsiaTheme="minorEastAsia"/>
          <w:szCs w:val="28"/>
        </w:rPr>
        <w:t>长期以来，由于水利工程年久失修，水资源严重浪费加剧了水资源紧缺的矛盾，给我县经济和社会发展敲响了警钟。通过水价改革，将农业水利工程供水价格纳入商品价格范畴进行管理，按市场经济规律将农业用水商品化，可以极大地增强农民的节水意识，促使农民采取工程措施节水，最大限度地提高水资源利用率，发挥现有水资源的作用和效益，减少水资源浪费，实现水资源的合理利用、永续利用。</w:t>
      </w:r>
    </w:p>
    <w:p w14:paraId="463327DF">
      <w:pPr>
        <w:ind w:firstLine="560"/>
        <w:rPr>
          <w:rFonts w:cs="Times New Roman" w:eastAsiaTheme="minorEastAsia"/>
          <w:szCs w:val="28"/>
        </w:rPr>
      </w:pPr>
      <w:r>
        <w:rPr>
          <w:rFonts w:cs="Times New Roman" w:eastAsiaTheme="minorEastAsia"/>
          <w:szCs w:val="28"/>
        </w:rPr>
        <w:t>（4）进行农业水价改革，是加强水利工程建设，改善农业生产条件的需要</w:t>
      </w:r>
    </w:p>
    <w:p w14:paraId="13DED5A5">
      <w:pPr>
        <w:ind w:firstLine="560"/>
        <w:rPr>
          <w:rFonts w:cs="Times New Roman" w:eastAsiaTheme="minorEastAsia"/>
          <w:szCs w:val="28"/>
        </w:rPr>
      </w:pPr>
      <w:r>
        <w:rPr>
          <w:rFonts w:cs="Times New Roman" w:eastAsiaTheme="minorEastAsia"/>
          <w:szCs w:val="28"/>
        </w:rPr>
        <w:t>按照“提投并举”的方针，在提高水价的同时加大对农田水利和节水灌溉工程的资金投入，以加快灌区渠系和计量设施改造，逐步实现渠道衬砌和计量收费，是国家农业产业政策的重点支持项目。水价改革将改善供水行业和单位的财务状况及经济效益，有利于吸引各类资本投资，促进供水行业投资多元化。率先进行农业水价改革，为争取国家和上级有关部门的政策和资金支持创造了机遇、提供了条件。只有率先完成农业水价改革，才能增强供水企业的自我积累和自我投入能力，才能更多地争取上级的扶持与支持，从而加大农田水利工程的投入力度，加快农田水利工程建设的步伐，从根本上改善农业生产条件。</w:t>
      </w:r>
    </w:p>
    <w:p w14:paraId="26DE59AD">
      <w:pPr>
        <w:ind w:firstLine="560"/>
        <w:rPr>
          <w:rFonts w:cs="Times New Roman" w:eastAsiaTheme="minorEastAsia"/>
          <w:szCs w:val="28"/>
        </w:rPr>
      </w:pPr>
      <w:r>
        <w:rPr>
          <w:rFonts w:cs="Times New Roman" w:eastAsiaTheme="minorEastAsia"/>
          <w:szCs w:val="28"/>
        </w:rPr>
        <w:t>（5）进行农业水价改革，是合理调节三者利益关系，充分调动各方积极性的需要</w:t>
      </w:r>
    </w:p>
    <w:p w14:paraId="41DF190F">
      <w:pPr>
        <w:ind w:firstLine="560"/>
        <w:rPr>
          <w:rFonts w:cs="Times New Roman"/>
        </w:rPr>
      </w:pPr>
      <w:r>
        <w:rPr>
          <w:rFonts w:cs="Times New Roman" w:eastAsiaTheme="minorEastAsia"/>
          <w:szCs w:val="28"/>
        </w:rPr>
        <w:t>按照合理补偿和合理负担相统一的原则，在认真进行成本测算和充分考虑农民经济承受能力的前提下，积极稳妥地推进农业水价改革，利用价格杠杆有效调节国家、企业、农民三者利益关系，是利用经济手段实现科学管水、用水的治本之策，符合市场经济规律和各方长远根本利益。</w:t>
      </w:r>
    </w:p>
    <w:p w14:paraId="76A0DC30">
      <w:pPr>
        <w:ind w:firstLine="560"/>
        <w:rPr>
          <w:rFonts w:cs="Times New Roman"/>
        </w:rPr>
      </w:pPr>
    </w:p>
    <w:p w14:paraId="36CB710C">
      <w:pPr>
        <w:ind w:firstLine="560"/>
        <w:rPr>
          <w:rFonts w:cs="Times New Roman"/>
        </w:rPr>
        <w:sectPr>
          <w:pgSz w:w="12240" w:h="15840"/>
          <w:pgMar w:top="1440" w:right="1803" w:bottom="1440" w:left="1803" w:header="720" w:footer="720" w:gutter="0"/>
          <w:pgNumType w:fmt="numberInDash"/>
          <w:cols w:space="0" w:num="1"/>
          <w:docGrid w:linePitch="312" w:charSpace="0"/>
        </w:sectPr>
      </w:pPr>
    </w:p>
    <w:p w14:paraId="18BCD16F">
      <w:pPr>
        <w:pStyle w:val="2"/>
        <w:rPr>
          <w:rFonts w:cs="Times New Roman"/>
        </w:rPr>
      </w:pPr>
      <w:bookmarkStart w:id="15" w:name="_Toc109121635"/>
      <w:r>
        <w:rPr>
          <w:rFonts w:cs="Times New Roman"/>
        </w:rPr>
        <w:t>改革目标与任务</w:t>
      </w:r>
      <w:bookmarkEnd w:id="15"/>
    </w:p>
    <w:p w14:paraId="2F1C29AA">
      <w:pPr>
        <w:pStyle w:val="3"/>
        <w:rPr>
          <w:rFonts w:ascii="Times New Roman" w:hAnsi="Times New Roman" w:cs="Times New Roman"/>
        </w:rPr>
      </w:pPr>
      <w:bookmarkStart w:id="16" w:name="_Toc109121636"/>
      <w:r>
        <w:rPr>
          <w:rFonts w:ascii="Times New Roman" w:hAnsi="Times New Roman" w:cs="Times New Roman"/>
        </w:rPr>
        <w:t>指导思想</w:t>
      </w:r>
      <w:bookmarkEnd w:id="16"/>
    </w:p>
    <w:p w14:paraId="0AC4E382">
      <w:pPr>
        <w:ind w:firstLine="560"/>
        <w:rPr>
          <w:rFonts w:cs="Times New Roman"/>
        </w:rPr>
      </w:pPr>
      <w:r>
        <w:rPr>
          <w:rFonts w:cs="Times New Roman"/>
        </w:rPr>
        <w:t>以党的十八大、十八届三中全会精神、中央关于保障水安全的决策部署以及2014年中央一号文件《中共中央、国务院关于全面深化农村改革，加快推进农业现代化的若干意见》为指导，按《国家发展和改革委员会</w:t>
      </w:r>
      <w:r>
        <w:rPr>
          <w:rFonts w:cs="Times New Roman"/>
          <w:spacing w:val="-18"/>
        </w:rPr>
        <w:t>、</w:t>
      </w:r>
      <w:r>
        <w:rPr>
          <w:rFonts w:cs="Times New Roman"/>
        </w:rPr>
        <w:t>财政部、水利部、农业部关于印发深化农业水价综合改革试点方案的通知》（</w:t>
      </w:r>
      <w:r>
        <w:rPr>
          <w:rFonts w:cs="Times New Roman"/>
          <w:spacing w:val="31"/>
        </w:rPr>
        <w:t>发改价格〔</w:t>
      </w:r>
      <w:r>
        <w:rPr>
          <w:rFonts w:cs="Times New Roman"/>
          <w:spacing w:val="-10"/>
        </w:rPr>
        <w:t>2014</w:t>
      </w:r>
      <w:r>
        <w:rPr>
          <w:rFonts w:cs="Times New Roman"/>
          <w:spacing w:val="40"/>
        </w:rPr>
        <w:t>〕</w:t>
      </w:r>
      <w:r>
        <w:rPr>
          <w:rFonts w:cs="Times New Roman"/>
        </w:rPr>
        <w:t>2271号）</w:t>
      </w:r>
      <w:r>
        <w:rPr>
          <w:rFonts w:cs="Times New Roman"/>
          <w:spacing w:val="-12"/>
        </w:rPr>
        <w:t>要求，以明晰水权、定额管理为前提，以配</w:t>
      </w:r>
      <w:r>
        <w:rPr>
          <w:rFonts w:cs="Times New Roman"/>
        </w:rPr>
        <w:t>套完善供水计量设施为基础，以强化水费征收为手段，以发展农民用水合 作组织为保障，按照有利于促进节约用水、有利于农田水利工程良性运行、有利于发挥水价经济杠杆作用的要求，创新体制机制，全面推进农业水价综合改革，农业供水价格逐步调整到补偿成本费用的水平，提高农业</w:t>
      </w:r>
      <w:r>
        <w:rPr>
          <w:rFonts w:cs="Times New Roman"/>
          <w:spacing w:val="-18"/>
        </w:rPr>
        <w:t>用</w:t>
      </w:r>
      <w:r>
        <w:rPr>
          <w:rFonts w:cs="Times New Roman"/>
        </w:rPr>
        <w:t>水效率和效益，实现水资源可持续利用。</w:t>
      </w:r>
    </w:p>
    <w:p w14:paraId="663C1453">
      <w:pPr>
        <w:ind w:firstLine="560"/>
        <w:rPr>
          <w:rFonts w:cs="Times New Roman"/>
        </w:rPr>
      </w:pPr>
      <w:r>
        <w:rPr>
          <w:rFonts w:cs="Times New Roman"/>
        </w:rPr>
        <w:t>总书记提出的十六字治水方针“节水优先、空间均衡、系统治理、两手发力”，认真落实党中央、国务院和政府的决策部署，牢固树立“创新、协调、绿色、开放、共享”的发展理念，围绕保障国家粮食安全和水安全。落实节水优先战略方针，加强供给侧改革和农业用水管理需求，坚持政府和市场协同发力，因地制宜，综合施策，以明晰水权、定额管理未前提，以完善农田水利工程体系为基础，已健全农业水价形成机制为核心，已创新体制机制为动力，逐步建立农业灌溉用水总量控制和定额管理制度，促进农业节水增效和农田水利工程良性运行，助推农业现代化建设。</w:t>
      </w:r>
    </w:p>
    <w:p w14:paraId="01797BDA">
      <w:pPr>
        <w:pStyle w:val="3"/>
        <w:rPr>
          <w:rFonts w:ascii="Times New Roman" w:hAnsi="Times New Roman" w:cs="Times New Roman"/>
        </w:rPr>
      </w:pPr>
      <w:bookmarkStart w:id="17" w:name="_Toc109121637"/>
      <w:r>
        <w:rPr>
          <w:rFonts w:ascii="Times New Roman" w:hAnsi="Times New Roman" w:cs="Times New Roman"/>
        </w:rPr>
        <w:t>基本原则</w:t>
      </w:r>
      <w:bookmarkEnd w:id="17"/>
    </w:p>
    <w:p w14:paraId="13B8E3A4">
      <w:pPr>
        <w:ind w:firstLine="560"/>
        <w:rPr>
          <w:rFonts w:cs="Times New Roman"/>
          <w:szCs w:val="28"/>
        </w:rPr>
      </w:pPr>
      <w:r>
        <w:rPr>
          <w:rFonts w:cs="Times New Roman"/>
          <w:szCs w:val="28"/>
        </w:rPr>
        <w:t>（1）坚持综合施策</w:t>
      </w:r>
    </w:p>
    <w:p w14:paraId="327A4E55">
      <w:pPr>
        <w:ind w:firstLine="560"/>
        <w:rPr>
          <w:rFonts w:cs="Times New Roman"/>
          <w:szCs w:val="28"/>
        </w:rPr>
      </w:pPr>
      <w:r>
        <w:rPr>
          <w:rFonts w:cs="Times New Roman"/>
          <w:szCs w:val="28"/>
        </w:rPr>
        <w:t>加强农业水价综合改革与水权制度改革、农田水利建设管理机制创新、投融资机制改革等其他相关改革的紧密衔接。综合运用工程配套、管理创新、价格调整、财政奖补、技术推广、结构优化等举措统筹推进改革。</w:t>
      </w:r>
    </w:p>
    <w:p w14:paraId="1F055555">
      <w:pPr>
        <w:ind w:firstLine="560"/>
        <w:rPr>
          <w:rFonts w:cs="Times New Roman"/>
          <w:szCs w:val="28"/>
        </w:rPr>
      </w:pPr>
      <w:r>
        <w:rPr>
          <w:rFonts w:cs="Times New Roman"/>
          <w:szCs w:val="28"/>
        </w:rPr>
        <w:t>（2）坚持两手发力</w:t>
      </w:r>
    </w:p>
    <w:p w14:paraId="6773F51E">
      <w:pPr>
        <w:ind w:firstLine="560"/>
        <w:rPr>
          <w:rFonts w:cs="Times New Roman"/>
          <w:szCs w:val="28"/>
        </w:rPr>
      </w:pPr>
      <w:r>
        <w:rPr>
          <w:rFonts w:cs="Times New Roman"/>
          <w:szCs w:val="28"/>
        </w:rPr>
        <w:t>既要使市场在资源配置中起决定性作用，促进农业节水，也要更好地发挥政府作用，保障粮食等主要农作物合理用水需求，总体上不增加农民负担。</w:t>
      </w:r>
    </w:p>
    <w:p w14:paraId="6373FCEA">
      <w:pPr>
        <w:ind w:firstLine="560"/>
        <w:rPr>
          <w:rFonts w:cs="Times New Roman"/>
          <w:szCs w:val="28"/>
        </w:rPr>
      </w:pPr>
      <w:r>
        <w:rPr>
          <w:rFonts w:cs="Times New Roman"/>
          <w:szCs w:val="28"/>
        </w:rPr>
        <w:t>（3）坚持多方联动</w:t>
      </w:r>
    </w:p>
    <w:p w14:paraId="37E2AEC1">
      <w:pPr>
        <w:ind w:firstLine="560"/>
        <w:rPr>
          <w:rFonts w:cs="Times New Roman"/>
          <w:szCs w:val="28"/>
        </w:rPr>
      </w:pPr>
      <w:r>
        <w:rPr>
          <w:rFonts w:cs="Times New Roman"/>
          <w:szCs w:val="28"/>
        </w:rPr>
        <w:t>农业水价综合改革涉及面广，要坚持县政府主导，发改局、财政局、水务局、农业局、国土资源局等各相关部门协调配合，多方联动，合力推进改革。</w:t>
      </w:r>
    </w:p>
    <w:p w14:paraId="0B967915">
      <w:pPr>
        <w:ind w:firstLine="560"/>
        <w:rPr>
          <w:rFonts w:cs="Times New Roman"/>
          <w:szCs w:val="28"/>
        </w:rPr>
      </w:pPr>
      <w:r>
        <w:rPr>
          <w:rFonts w:cs="Times New Roman"/>
          <w:szCs w:val="28"/>
        </w:rPr>
        <w:t>（4）坚持供需统筹</w:t>
      </w:r>
    </w:p>
    <w:p w14:paraId="01438653">
      <w:pPr>
        <w:ind w:firstLine="560"/>
        <w:rPr>
          <w:rFonts w:cs="Times New Roman"/>
          <w:szCs w:val="28"/>
        </w:rPr>
      </w:pPr>
      <w:r>
        <w:rPr>
          <w:rFonts w:cs="Times New Roman"/>
          <w:szCs w:val="28"/>
        </w:rPr>
        <w:t>既要强化供水管理，健全运行机制，提高供水保障能力和服务水平，也要突出用水需求管理，全面提高农业用水精细化管理水平，促进农业用水方式由粗放式向集约高效转变。</w:t>
      </w:r>
    </w:p>
    <w:p w14:paraId="4F8FAF70">
      <w:pPr>
        <w:ind w:firstLine="560"/>
        <w:rPr>
          <w:rFonts w:cs="Times New Roman"/>
          <w:szCs w:val="28"/>
        </w:rPr>
      </w:pPr>
      <w:r>
        <w:rPr>
          <w:rFonts w:cs="Times New Roman"/>
          <w:szCs w:val="28"/>
        </w:rPr>
        <w:t>（5）坚持因地制宜</w:t>
      </w:r>
    </w:p>
    <w:p w14:paraId="1EEC1663">
      <w:pPr>
        <w:ind w:firstLine="560"/>
        <w:rPr>
          <w:rFonts w:cs="Times New Roman"/>
          <w:szCs w:val="28"/>
        </w:rPr>
      </w:pPr>
      <w:r>
        <w:rPr>
          <w:rFonts w:cs="Times New Roman"/>
          <w:szCs w:val="28"/>
        </w:rPr>
        <w:t>根据自身水源情况、农田水利工程现状和经济发展水平，结合土地流转、农业经营方式转变，尊重农民意愿，充分调研论证，科学制定符合当地实际的、切实可行的改革模式。</w:t>
      </w:r>
    </w:p>
    <w:p w14:paraId="7A7A4C58">
      <w:pPr>
        <w:ind w:firstLine="560"/>
        <w:rPr>
          <w:rFonts w:cs="Times New Roman"/>
          <w:szCs w:val="28"/>
        </w:rPr>
      </w:pPr>
      <w:r>
        <w:rPr>
          <w:rFonts w:cs="Times New Roman"/>
          <w:szCs w:val="28"/>
        </w:rPr>
        <w:t>（6）坚持市场导向的原则</w:t>
      </w:r>
    </w:p>
    <w:p w14:paraId="1AB76F50">
      <w:pPr>
        <w:ind w:firstLine="560"/>
        <w:rPr>
          <w:rFonts w:cs="Times New Roman"/>
          <w:szCs w:val="28"/>
        </w:rPr>
      </w:pPr>
      <w:r>
        <w:rPr>
          <w:rFonts w:cs="Times New Roman"/>
          <w:szCs w:val="28"/>
        </w:rPr>
        <w:t>通过价格杠杆，促进农业结构调整和农业节水，保障工程良性运行，引导民间资本积极参与工程建设和运行管护。</w:t>
      </w:r>
    </w:p>
    <w:p w14:paraId="4420E97D">
      <w:pPr>
        <w:ind w:firstLine="560"/>
        <w:rPr>
          <w:rFonts w:cs="Times New Roman"/>
          <w:szCs w:val="28"/>
        </w:rPr>
      </w:pPr>
      <w:r>
        <w:rPr>
          <w:rFonts w:cs="Times New Roman"/>
          <w:szCs w:val="28"/>
        </w:rPr>
        <w:t>（7）坚持积极稳妥的原则</w:t>
      </w:r>
    </w:p>
    <w:p w14:paraId="5677DA54">
      <w:pPr>
        <w:ind w:firstLine="560"/>
        <w:rPr>
          <w:rFonts w:cs="Times New Roman"/>
          <w:szCs w:val="28"/>
        </w:rPr>
      </w:pPr>
      <w:r>
        <w:rPr>
          <w:rFonts w:cs="Times New Roman"/>
          <w:szCs w:val="28"/>
        </w:rPr>
        <w:t>正确处理当前和长远、改革和稳定等关系，既要考虑农业用水效率和工程良性运行，又要兼顾农民的承受能力。把握好水价调整的节奏和力度，在保持稳定的前提下，进一步完善水价制度，促进水价改革，保障农田水利工程良性运行。</w:t>
      </w:r>
    </w:p>
    <w:p w14:paraId="6B2299BB">
      <w:pPr>
        <w:ind w:firstLine="560"/>
        <w:rPr>
          <w:rFonts w:cs="Times New Roman"/>
          <w:szCs w:val="28"/>
        </w:rPr>
      </w:pPr>
      <w:r>
        <w:rPr>
          <w:rFonts w:cs="Times New Roman"/>
          <w:szCs w:val="28"/>
        </w:rPr>
        <w:t>（8）坚持有利于水资源节约保护的原则</w:t>
      </w:r>
    </w:p>
    <w:p w14:paraId="6787A090">
      <w:pPr>
        <w:ind w:firstLine="560"/>
        <w:rPr>
          <w:rFonts w:cs="Times New Roman"/>
          <w:szCs w:val="28"/>
        </w:rPr>
      </w:pPr>
      <w:r>
        <w:rPr>
          <w:rFonts w:cs="Times New Roman"/>
          <w:szCs w:val="28"/>
        </w:rPr>
        <w:t>改革的各项措施兼顾水资源的优化配置和可持续利用，坚持节约用水，降低农民水费负担，注重调动各农业用水主体节水的积极性和主动性。</w:t>
      </w:r>
    </w:p>
    <w:p w14:paraId="114D0162">
      <w:pPr>
        <w:pStyle w:val="3"/>
        <w:rPr>
          <w:rFonts w:ascii="Times New Roman" w:hAnsi="Times New Roman" w:cs="Times New Roman"/>
        </w:rPr>
      </w:pPr>
      <w:bookmarkStart w:id="18" w:name="_Toc109121638"/>
      <w:r>
        <w:rPr>
          <w:rFonts w:ascii="Times New Roman" w:hAnsi="Times New Roman" w:cs="Times New Roman"/>
        </w:rPr>
        <w:t>改革目标</w:t>
      </w:r>
      <w:bookmarkEnd w:id="18"/>
    </w:p>
    <w:p w14:paraId="3EEDDE69">
      <w:pPr>
        <w:ind w:firstLine="560"/>
        <w:rPr>
          <w:rFonts w:cs="Times New Roman"/>
        </w:rPr>
      </w:pPr>
      <w:r>
        <w:rPr>
          <w:rFonts w:cs="Times New Roman"/>
        </w:rPr>
        <w:t>通过农业水价综合改革，力争到2024年底，农业用水户的节水意识明显提高，农业用水总量控制和定额管理普遍推行；有效灌溉面积范围内初步建立科学合理的农业水价形成机制，农业用水价格基本反映或逐步提高到工程运行维护成本水平；基本建立农业用水精准补贴和节水奖励机制；积极推行农田水利工程标准化管理，基本实现农田水利工程的良性运行。</w:t>
      </w:r>
    </w:p>
    <w:p w14:paraId="67FD4A8A">
      <w:pPr>
        <w:ind w:firstLine="560"/>
        <w:rPr>
          <w:rFonts w:cs="Times New Roman"/>
        </w:rPr>
      </w:pPr>
      <w:r>
        <w:rPr>
          <w:rFonts w:cs="Times New Roman"/>
        </w:rPr>
        <w:t>1、项目区全面推行总量控制、定额管理。</w:t>
      </w:r>
    </w:p>
    <w:p w14:paraId="27D01A78">
      <w:pPr>
        <w:ind w:firstLine="556"/>
        <w:rPr>
          <w:rFonts w:cs="Times New Roman"/>
        </w:rPr>
      </w:pPr>
      <w:r>
        <w:rPr>
          <w:rFonts w:cs="Times New Roman"/>
          <w:spacing w:val="-1"/>
        </w:rPr>
        <w:t xml:space="preserve">2、建立健全水价形成机制，推行差别水价。建立科学的水价机制， </w:t>
      </w:r>
      <w:r>
        <w:rPr>
          <w:rFonts w:cs="Times New Roman"/>
        </w:rPr>
        <w:t>项目区水价达到运营成本水平；实行分类价格政策，分粮食作物和经济作物实行不同供水价格。在定额管理基础上，推行超定额累进加价制度，促进农业节水。</w:t>
      </w:r>
    </w:p>
    <w:p w14:paraId="506EAC25">
      <w:pPr>
        <w:ind w:firstLine="556"/>
        <w:rPr>
          <w:rFonts w:cs="Times New Roman"/>
        </w:rPr>
      </w:pPr>
      <w:r>
        <w:rPr>
          <w:rFonts w:cs="Times New Roman"/>
          <w:spacing w:val="-1"/>
        </w:rPr>
        <w:t>3、建立农业节水精准补贴机制和节水奖励机制。政府财政安排资金</w:t>
      </w:r>
      <w:r>
        <w:rPr>
          <w:rFonts w:cs="Times New Roman"/>
        </w:rPr>
        <w:t>对项目区农户水费进行补助；通过实行差别水价、累进加价、农业水资源费等渠道筹集资金，建立节水奖励基金，鼓励推广滴灌、垄膜沟播等节水技术，对节水用户进行补贴，提高农户节水效益和积极性。</w:t>
      </w:r>
    </w:p>
    <w:p w14:paraId="799E9DF9">
      <w:pPr>
        <w:ind w:firstLine="556"/>
        <w:rPr>
          <w:rFonts w:cs="Times New Roman"/>
        </w:rPr>
      </w:pPr>
      <w:r>
        <w:rPr>
          <w:rFonts w:cs="Times New Roman"/>
          <w:spacing w:val="-1"/>
        </w:rPr>
        <w:t>4、鼓励社会资金投入水利建设。按照“非禁即入”原则，政府制定</w:t>
      </w:r>
      <w:r>
        <w:rPr>
          <w:rFonts w:cs="Times New Roman"/>
        </w:rPr>
        <w:t>管理经营、水价等方面的优惠政策，吸引种植大户、企业等投资兴建水利工程，拓宽水利投资渠道。</w:t>
      </w:r>
    </w:p>
    <w:p w14:paraId="11DEE10D">
      <w:pPr>
        <w:pStyle w:val="3"/>
        <w:rPr>
          <w:rFonts w:ascii="Times New Roman" w:hAnsi="Times New Roman" w:cs="Times New Roman"/>
        </w:rPr>
      </w:pPr>
      <w:bookmarkStart w:id="19" w:name="_Toc109121639"/>
      <w:r>
        <w:rPr>
          <w:rFonts w:ascii="Times New Roman" w:hAnsi="Times New Roman" w:cs="Times New Roman"/>
        </w:rPr>
        <w:t>改革任务及范围</w:t>
      </w:r>
      <w:bookmarkEnd w:id="19"/>
    </w:p>
    <w:p w14:paraId="3A9803E1">
      <w:pPr>
        <w:pStyle w:val="73"/>
        <w:rPr>
          <w:rFonts w:cs="Times New Roman"/>
        </w:rPr>
      </w:pPr>
      <w:bookmarkStart w:id="20" w:name="_Toc109121640"/>
      <w:r>
        <w:rPr>
          <w:rFonts w:cs="Times New Roman"/>
        </w:rPr>
        <w:t>改革任务</w:t>
      </w:r>
      <w:bookmarkEnd w:id="20"/>
    </w:p>
    <w:p w14:paraId="78D9F878">
      <w:pPr>
        <w:ind w:firstLine="560"/>
        <w:rPr>
          <w:rFonts w:cs="Times New Roman"/>
        </w:rPr>
      </w:pPr>
      <w:r>
        <w:rPr>
          <w:rFonts w:cs="Times New Roman"/>
        </w:rPr>
        <w:t>根据国家与省级有关农业水价综合改革的要求，本次改革任务包括：高标准农田建设及高效节水灌溉项目建设、完善配套供水计量设施、建立农业水价形成机制、建立农业用水精准补贴机制与节水奖励机制、加强农业终端用水管理、实施农业用水总量控制与定额管理、推广农业节水技术、推进其它各项配套改革等。</w:t>
      </w:r>
    </w:p>
    <w:p w14:paraId="4B383879">
      <w:pPr>
        <w:pStyle w:val="73"/>
        <w:rPr>
          <w:rFonts w:cs="Times New Roman"/>
        </w:rPr>
      </w:pPr>
      <w:bookmarkStart w:id="21" w:name="_Toc109121641"/>
      <w:r>
        <w:rPr>
          <w:rFonts w:cs="Times New Roman"/>
        </w:rPr>
        <w:t>改革范围</w:t>
      </w:r>
      <w:bookmarkEnd w:id="21"/>
    </w:p>
    <w:p w14:paraId="41482DC1">
      <w:pPr>
        <w:ind w:firstLine="560"/>
        <w:rPr>
          <w:rFonts w:cs="Times New Roman"/>
        </w:rPr>
      </w:pPr>
      <w:r>
        <w:rPr>
          <w:rFonts w:cs="Times New Roman"/>
        </w:rPr>
        <w:t>农业水价改革总面积为全县有效灌溉面积，根据《昆明市发展和改革委员会等四部门关于下达昆明市农业水价综合改革2022年度实施计划（第一批）的通知》，富民县改革总面积8.67万亩，现状富民县完成改革面积6.09万亩，其中2017年完成农业水价综合改革面积1万亩；2018年完成农业水价综合改革面积1万亩；2019年完成农业水价综合改革面积1.28万亩，2020年完成农业水价综合改革面积1.85万亩，2021年完成农业水价综合改革面积0.96万亩。改革范围涉及7个街道（乡镇），由于富民县未有大中型灌区，改革面积均为小型灌区。实现供水计量面积达3.85万亩，占已完成改革面积的61.20%。</w:t>
      </w:r>
    </w:p>
    <w:p w14:paraId="2D27B51E">
      <w:pPr>
        <w:ind w:firstLine="560"/>
        <w:rPr>
          <w:rFonts w:cs="Times New Roman"/>
        </w:rPr>
      </w:pPr>
      <w:r>
        <w:rPr>
          <w:rFonts w:cs="Times New Roman"/>
        </w:rPr>
        <w:t>现状富民县剩余改革面积2.58万亩。2022年至2024年农业水价综合改革实施方案主要围绕剩余2.58万亩有效灌溉面积进行改革。</w:t>
      </w:r>
    </w:p>
    <w:p w14:paraId="074E0F38">
      <w:pPr>
        <w:pStyle w:val="3"/>
        <w:rPr>
          <w:rFonts w:ascii="Times New Roman" w:hAnsi="Times New Roman" w:cs="Times New Roman"/>
        </w:rPr>
      </w:pPr>
      <w:bookmarkStart w:id="22" w:name="_Toc109121642"/>
      <w:r>
        <w:rPr>
          <w:rFonts w:ascii="Times New Roman" w:hAnsi="Times New Roman" w:cs="Times New Roman"/>
        </w:rPr>
        <w:t>实施计划</w:t>
      </w:r>
      <w:bookmarkEnd w:id="22"/>
    </w:p>
    <w:p w14:paraId="4F7EBD42">
      <w:pPr>
        <w:ind w:firstLine="560"/>
        <w:rPr>
          <w:rFonts w:cs="Times New Roman"/>
        </w:rPr>
      </w:pPr>
      <w:r>
        <w:rPr>
          <w:rFonts w:cs="Times New Roman"/>
        </w:rPr>
        <w:t>2022年富民县水价改革项目区选择在富民县东村镇祖库片区、杜朗片区、中民片区、石桥片区和赤鹫镇普黑泥片区，总面积0.84万亩，共计5个区域。该5个片区农田水利建设管理工作扎实、地表水灌区骨干工程和末级渠系工程状况良好。</w:t>
      </w:r>
    </w:p>
    <w:p w14:paraId="265B9095">
      <w:pPr>
        <w:ind w:firstLine="560"/>
        <w:rPr>
          <w:rFonts w:cs="Times New Roman"/>
        </w:rPr>
      </w:pPr>
      <w:r>
        <w:rPr>
          <w:rFonts w:cs="Times New Roman"/>
        </w:rPr>
        <w:t>2023年及2024年剩余改革总面积为1.74万亩，实施地点根据上报有效灌溉面积范围确定，确保改革面积完成。</w:t>
      </w:r>
    </w:p>
    <w:p w14:paraId="50D2E082">
      <w:pPr>
        <w:ind w:firstLine="560"/>
        <w:rPr>
          <w:rFonts w:cs="Times New Roman"/>
          <w:szCs w:val="24"/>
        </w:rPr>
      </w:pPr>
      <w:r>
        <w:rPr>
          <w:rFonts w:cs="Times New Roman"/>
          <w:szCs w:val="24"/>
        </w:rPr>
        <w:t>（一）夯实农业水价改革工程基础</w:t>
      </w:r>
    </w:p>
    <w:p w14:paraId="331C7D52">
      <w:pPr>
        <w:ind w:firstLine="560"/>
        <w:rPr>
          <w:rFonts w:cs="Times New Roman"/>
          <w:szCs w:val="24"/>
        </w:rPr>
      </w:pPr>
      <w:r>
        <w:rPr>
          <w:rFonts w:cs="Times New Roman"/>
          <w:szCs w:val="24"/>
        </w:rPr>
        <w:t>水务部门对改革范围内现有农田水利工程基本状况、计量设施的情况进行摸底，有针对性地安排供水体系建设。</w:t>
      </w:r>
    </w:p>
    <w:p w14:paraId="1BDD0BA7">
      <w:pPr>
        <w:ind w:firstLine="560"/>
        <w:rPr>
          <w:rFonts w:cs="Times New Roman"/>
          <w:szCs w:val="24"/>
        </w:rPr>
      </w:pPr>
      <w:r>
        <w:rPr>
          <w:rFonts w:cs="Times New Roman"/>
          <w:szCs w:val="24"/>
        </w:rPr>
        <w:t>（1）配套供水计量设施。在公共财政投资新（改、扩）建的农田水利工程（包括水务部门以外的其他部门建设的水利设施）项目实施过程中，必须同时同步建设灌溉计量设施，尚未配备计量设施的已建工程要通过改造补足配齐。合理确定供水计量控制层级，骨干工程全部实现斗口及以下计量供水；小型灌区和末级渠系根据管理需要细化计量单元，末级渠系的分界点必须设置供水计量设施，末端计量到斗渠口。按照经济适用、满足取用水管理和计量收费需要的原则，因地制宜灵活采用当地群众易于接受的测水量水方式和方法。小型灌区可采用“以时折水”“以亩折水”等计量方式。灌区骨干工程一般由管理机构负责供水计量，末级渠系控制范围可由基层水管单位或农村基层用水组织计量。</w:t>
      </w:r>
    </w:p>
    <w:p w14:paraId="4C13A01E">
      <w:pPr>
        <w:ind w:firstLine="560"/>
        <w:rPr>
          <w:rFonts w:cs="Times New Roman"/>
          <w:szCs w:val="24"/>
        </w:rPr>
      </w:pPr>
      <w:r>
        <w:rPr>
          <w:rFonts w:cs="Times New Roman"/>
          <w:szCs w:val="24"/>
        </w:rPr>
        <w:t>（2）完善农田灌溉工程体系。以县农田水利建设规划为依据，整合涉农资金，统筹农田水利、水利工程维修养护、灌区节水改造、高标准农田建设等项目，建设和完善各型渠系。针对不同地区、各类型灌区工程设施短板，突出重点，完善末级渠系和田间配套工程，畅通农田灌溉“最后一公里”。各型水库灌区，注重工程设计，配套建设输水渠系及节水灌溉工程，推广自流管道灌溉、田间软管或喷灌、滴灌、微灌等高效节水灌溉设施。</w:t>
      </w:r>
    </w:p>
    <w:p w14:paraId="6D01F53C">
      <w:pPr>
        <w:ind w:firstLine="560"/>
        <w:rPr>
          <w:rFonts w:cs="Times New Roman"/>
          <w:szCs w:val="24"/>
        </w:rPr>
      </w:pPr>
      <w:r>
        <w:rPr>
          <w:rFonts w:cs="Times New Roman"/>
          <w:szCs w:val="24"/>
        </w:rPr>
        <w:t>（3）推广节水技术和措施。依托末级渠系节水改造、节水灌溉配套工程建设和农业结构调整，推广应用各类农业节水措施，实现农业用水精细化管理。各地根据水资源条件和粮食作物、经济作物不同特点，广泛应用渠道防渗、渠改管和智能水表等新工艺、新设备，大力推广管灌、喷灌、滴灌、渗灌等高效节水技术。采用田间土地整平技术和深松整地、覆盖保摘等措施，提升天然降水利用效率。</w:t>
      </w:r>
    </w:p>
    <w:p w14:paraId="2E0D845D">
      <w:pPr>
        <w:ind w:firstLine="560"/>
        <w:rPr>
          <w:rFonts w:cs="Times New Roman"/>
          <w:szCs w:val="24"/>
        </w:rPr>
      </w:pPr>
      <w:r>
        <w:rPr>
          <w:rFonts w:cs="Times New Roman"/>
          <w:szCs w:val="24"/>
        </w:rPr>
        <w:t>（二）建立农业初始水权制度</w:t>
      </w:r>
    </w:p>
    <w:p w14:paraId="5002BB7B">
      <w:pPr>
        <w:ind w:firstLine="560"/>
        <w:rPr>
          <w:rFonts w:cs="Times New Roman"/>
          <w:szCs w:val="24"/>
        </w:rPr>
      </w:pPr>
      <w:r>
        <w:rPr>
          <w:rFonts w:cs="Times New Roman"/>
          <w:szCs w:val="24"/>
        </w:rPr>
        <w:t>探索建立水权交易制度，制定农业初始水权分配方案，将水权交易纳入公共资源交易平台，最大限度地释放农业水价综合改革的活力。</w:t>
      </w:r>
    </w:p>
    <w:p w14:paraId="2C6E5BF5">
      <w:pPr>
        <w:ind w:firstLine="560"/>
        <w:rPr>
          <w:rFonts w:cs="Times New Roman"/>
          <w:szCs w:val="24"/>
        </w:rPr>
      </w:pPr>
      <w:r>
        <w:rPr>
          <w:rFonts w:cs="Times New Roman"/>
          <w:szCs w:val="24"/>
        </w:rPr>
        <w:t>（1）合理制定农业用水控制指标。依据本区域水源总量情况、农业灌溉用水定额、产业发展水平和历年用水量确定农业用水总量控制指标并逐级进行分解。将农业用水总量控制指标分解到灌区斗渠、农渠等工程单元或乡镇、村集体、农村基层用水组织等用水主体，具备条件的可分解到具体用水户或地块，明确农业用水主体的用水总量控制指标。</w:t>
      </w:r>
    </w:p>
    <w:p w14:paraId="32A7CFE9">
      <w:pPr>
        <w:ind w:firstLine="560"/>
        <w:rPr>
          <w:rFonts w:cs="Times New Roman"/>
          <w:szCs w:val="24"/>
        </w:rPr>
      </w:pPr>
      <w:r>
        <w:rPr>
          <w:rFonts w:cs="Times New Roman"/>
          <w:szCs w:val="24"/>
        </w:rPr>
        <w:t>（2）明确农业初始水权。根据用水总量控制指标，核定用户灌溉用水量，在保障合理灌溉用水的基础上，按照适度从紧的原则，分配给工程单元或终端用水主体，明确其获得的农业初始水权，向用户(用水单位或个人）颁发注明了“水源、水量、用途、期限、转让条件”的水权证书，明确用水权利和义务。水权证书采取动态管理，期间因许可水量发生变化、土地流转或土地用途发生变化而导致农业水权转移变化的，须经发证单位调整并重新核发。</w:t>
      </w:r>
    </w:p>
    <w:p w14:paraId="11A5D7D5">
      <w:pPr>
        <w:ind w:firstLine="560"/>
        <w:rPr>
          <w:rFonts w:cs="Times New Roman"/>
          <w:szCs w:val="24"/>
        </w:rPr>
      </w:pPr>
      <w:r>
        <w:rPr>
          <w:rFonts w:cs="Times New Roman"/>
          <w:szCs w:val="24"/>
        </w:rPr>
        <w:t>（3）建立水权交易制度。鼓励用水户节约用水，允许农业水权流转，在有条件的地区,节余水量可以转让交易。土地承包经营权流转时，农业水权一并流转使用。探索将水权交易纳入公共资源交易平台，在不影响粮食生产基本用水的前提下，保障用水户获得节水收益。政府或其授权的水行政主管部门、灌区管理单位可予以回购。在满足区域内农业用水前提下，可将节水量跨区域、跨行业转让。县水务局负责制定本行政区域内农业水权交易规则并监督实施。</w:t>
      </w:r>
    </w:p>
    <w:p w14:paraId="7927E68C">
      <w:pPr>
        <w:ind w:firstLine="560"/>
        <w:rPr>
          <w:rFonts w:cs="Times New Roman"/>
          <w:szCs w:val="24"/>
        </w:rPr>
      </w:pPr>
      <w:r>
        <w:rPr>
          <w:rFonts w:cs="Times New Roman"/>
          <w:szCs w:val="24"/>
        </w:rPr>
        <w:t>（三）健全农业水价形成机制</w:t>
      </w:r>
    </w:p>
    <w:p w14:paraId="40EF96BE">
      <w:pPr>
        <w:ind w:firstLine="560"/>
        <w:rPr>
          <w:rFonts w:cs="Times New Roman"/>
          <w:szCs w:val="24"/>
        </w:rPr>
      </w:pPr>
      <w:r>
        <w:rPr>
          <w:rFonts w:cs="Times New Roman"/>
          <w:szCs w:val="24"/>
        </w:rPr>
        <w:t>按照有利于促进农业节水和农田水利工程良性运行的要求，进一步完善农业水价政策和制度;按照分级、分类、分档制定农业水价，规范农业用水定价调价行为。</w:t>
      </w:r>
    </w:p>
    <w:p w14:paraId="548F0002">
      <w:pPr>
        <w:ind w:firstLine="560"/>
        <w:rPr>
          <w:rFonts w:cs="Times New Roman"/>
          <w:szCs w:val="24"/>
        </w:rPr>
      </w:pPr>
      <w:r>
        <w:rPr>
          <w:rFonts w:cs="Times New Roman"/>
          <w:szCs w:val="24"/>
        </w:rPr>
        <w:t>（1）分级制定农业水价。农业水价按照《云南省政府定价目录》规定实行分级管理。灌区骨干工程农业水价原则上实行政府定价，具备条件的可以实行协商定价；灌区末级渠系、小型灌区以及社会资本投资兴建的供水工程，鼓励实行协商定价，也可以实行政府定价。实行政府定价的，按照价格管理权限由价格主管部门按程序进行成本监审，综合考虑供水成本、水资源稀缺程度以及用户承受能力，合理制定供水工程各环节水价。实行协商定价的，由供需双方在平等自愿的基础上，按照有利于促进节水、保障工程良性运行和农业生产发展的原则确定。</w:t>
      </w:r>
    </w:p>
    <w:p w14:paraId="09A27E5E">
      <w:pPr>
        <w:ind w:firstLine="560"/>
        <w:rPr>
          <w:rFonts w:cs="Times New Roman"/>
          <w:szCs w:val="24"/>
        </w:rPr>
      </w:pPr>
      <w:r>
        <w:rPr>
          <w:rFonts w:cs="Times New Roman"/>
          <w:szCs w:val="24"/>
        </w:rPr>
        <w:t>（2）积极实行分类水价。根据国家、区域农业发展政策，区别粮食作物、经济作物、养殖业等用水类型，区分缺水程度、供水来源，实行分类水价。经济作物和养殖业用水价格要高于其他用水类型。粮食作物用水价格应达到运行维护成本水平，经济作物和养殖业用水价格应达到完全成本水平。</w:t>
      </w:r>
    </w:p>
    <w:p w14:paraId="7F31BCAE">
      <w:pPr>
        <w:ind w:firstLine="560"/>
        <w:rPr>
          <w:rFonts w:cs="Times New Roman"/>
          <w:szCs w:val="24"/>
        </w:rPr>
      </w:pPr>
      <w:r>
        <w:rPr>
          <w:rFonts w:cs="Times New Roman"/>
          <w:szCs w:val="24"/>
        </w:rPr>
        <w:t>（3）逐步推行分档水价。积极创造条件，区分农业用水定额与用量、供给与需求的不同档次，实行不同水价。实行农业用水定额管理，以定额内用水量作为基准，按照“多用水多付费”的原则，确定阶梯和加价幅度，推行超定额累进加价，促进农业节水，保障供水工程能够维持基本运行。</w:t>
      </w:r>
    </w:p>
    <w:p w14:paraId="5B30A827">
      <w:pPr>
        <w:ind w:firstLine="560"/>
        <w:rPr>
          <w:rFonts w:cs="Times New Roman"/>
          <w:szCs w:val="24"/>
        </w:rPr>
      </w:pPr>
      <w:r>
        <w:rPr>
          <w:rFonts w:cs="Times New Roman"/>
          <w:szCs w:val="24"/>
        </w:rPr>
        <w:t>（4）完善定价调价机制。围绕农业水价综合改革目标，完善农业供水价格管理办法，建立配套完善的农业水价定价调价机制。在制定本区域具体调价机制时，要增强农业水价定价调价机制科学性、规范性和透明度，结合本地农田水利工程设施建设和用水管理等情况，充分听取和吸收各方面意见，科学合理地制定和调整农业供水价格。坚持价格调整、利益调节、合理补偿相结合，与财政税收改革、农业综合改革、水利管理体制改革相协调，把握调价时机、力度和节奏，确保调整后的农业水价可接受、可实施。</w:t>
      </w:r>
    </w:p>
    <w:p w14:paraId="3665C1E1">
      <w:pPr>
        <w:ind w:firstLine="560"/>
        <w:rPr>
          <w:rFonts w:cs="Times New Roman"/>
          <w:szCs w:val="24"/>
        </w:rPr>
      </w:pPr>
      <w:r>
        <w:rPr>
          <w:rFonts w:cs="Times New Roman"/>
          <w:szCs w:val="24"/>
        </w:rPr>
        <w:t>（四）建立农业用水精准补贴与节水奖励机制</w:t>
      </w:r>
    </w:p>
    <w:p w14:paraId="68A8F857">
      <w:pPr>
        <w:ind w:firstLine="560"/>
        <w:rPr>
          <w:rFonts w:cs="Times New Roman"/>
          <w:szCs w:val="24"/>
        </w:rPr>
      </w:pPr>
      <w:r>
        <w:rPr>
          <w:rFonts w:cs="Times New Roman"/>
          <w:szCs w:val="24"/>
        </w:rPr>
        <w:t>按照“定额内用水总体上不增加农民负担”和“有利于调动农民参与改革及节约用水的积极性”的原则，结合我县实际，制定农业用水精准补贴和节水奖励办法。</w:t>
      </w:r>
    </w:p>
    <w:p w14:paraId="022B048A">
      <w:pPr>
        <w:ind w:firstLine="560"/>
        <w:rPr>
          <w:rFonts w:cs="Times New Roman"/>
          <w:szCs w:val="24"/>
        </w:rPr>
      </w:pPr>
      <w:r>
        <w:rPr>
          <w:rFonts w:cs="Times New Roman"/>
          <w:szCs w:val="24"/>
        </w:rPr>
        <w:t>（1）实行农业用水精准补贴。建立与节水成效、调价幅度、财力状况相匹配的农业用水精准补贴机制。定额内用水不增加负担，超定额用水不予补助。</w:t>
      </w:r>
    </w:p>
    <w:p w14:paraId="36968715">
      <w:pPr>
        <w:ind w:firstLine="560"/>
        <w:rPr>
          <w:rFonts w:cs="Times New Roman"/>
          <w:szCs w:val="24"/>
        </w:rPr>
      </w:pPr>
      <w:r>
        <w:rPr>
          <w:rFonts w:cs="Times New Roman"/>
          <w:szCs w:val="24"/>
        </w:rPr>
        <w:t>（2）建立农业节水奖励机制。建立易于操作、用户普遍接受的奖励机制。</w:t>
      </w:r>
    </w:p>
    <w:p w14:paraId="4CB8F1A9">
      <w:pPr>
        <w:ind w:firstLine="560"/>
        <w:rPr>
          <w:rFonts w:cs="Times New Roman"/>
          <w:szCs w:val="24"/>
          <w:highlight w:val="yellow"/>
        </w:rPr>
      </w:pPr>
    </w:p>
    <w:p w14:paraId="0FB4CBF0">
      <w:pPr>
        <w:ind w:firstLine="560"/>
        <w:rPr>
          <w:rFonts w:cs="Times New Roman"/>
        </w:rPr>
      </w:pPr>
    </w:p>
    <w:p w14:paraId="06028609">
      <w:pPr>
        <w:ind w:firstLine="560"/>
        <w:rPr>
          <w:rFonts w:cs="Times New Roman"/>
        </w:rPr>
        <w:sectPr>
          <w:pgSz w:w="12240" w:h="15840"/>
          <w:pgMar w:top="1440" w:right="1803" w:bottom="1440" w:left="1803" w:header="720" w:footer="720" w:gutter="0"/>
          <w:pgNumType w:fmt="numberInDash"/>
          <w:cols w:space="0" w:num="1"/>
          <w:docGrid w:linePitch="312" w:charSpace="0"/>
        </w:sectPr>
      </w:pPr>
    </w:p>
    <w:p w14:paraId="7F07F3D4">
      <w:pPr>
        <w:pStyle w:val="2"/>
        <w:rPr>
          <w:rFonts w:cs="Times New Roman"/>
        </w:rPr>
      </w:pPr>
      <w:bookmarkStart w:id="23" w:name="_Toc109121643"/>
      <w:r>
        <w:rPr>
          <w:rFonts w:cs="Times New Roman"/>
        </w:rPr>
        <w:t>改革措施</w:t>
      </w:r>
      <w:bookmarkEnd w:id="23"/>
    </w:p>
    <w:p w14:paraId="38111848">
      <w:pPr>
        <w:pStyle w:val="3"/>
        <w:rPr>
          <w:rFonts w:ascii="Times New Roman" w:hAnsi="Times New Roman" w:cs="Times New Roman"/>
        </w:rPr>
      </w:pPr>
      <w:bookmarkStart w:id="24" w:name="_Toc109121644"/>
      <w:r>
        <w:rPr>
          <w:rFonts w:ascii="Times New Roman" w:hAnsi="Times New Roman" w:cs="Times New Roman"/>
        </w:rPr>
        <w:t>高标准农田建设</w:t>
      </w:r>
      <w:bookmarkEnd w:id="24"/>
    </w:p>
    <w:p w14:paraId="66CD5A77">
      <w:pPr>
        <w:ind w:firstLine="560"/>
        <w:rPr>
          <w:rFonts w:cs="Times New Roman"/>
        </w:rPr>
      </w:pPr>
      <w:r>
        <w:rPr>
          <w:rFonts w:cs="Times New Roman"/>
        </w:rPr>
        <w:t>2022年高标准农田建设项目位于富民县东村镇祖库村、杜朗村、中民村、石桥村和赤鹫镇普黑泥村。工程建设总规模8400亩，其中高标准农田建设项目分为东村镇祖库(高标准农田)片区、东村镇中民石桥片区、东村镇杜朗片区和赤鹫镇普黑泥片区4个片区，建设规模为6700亩；高效节水灌溉建设项目为东村镇祖库（高效节水）片区，建设规模为1700亩。各片区主要建设内容为：</w:t>
      </w:r>
    </w:p>
    <w:p w14:paraId="7F2BB973">
      <w:pPr>
        <w:ind w:firstLine="560"/>
        <w:rPr>
          <w:rFonts w:cs="Times New Roman"/>
        </w:rPr>
      </w:pPr>
      <w:r>
        <w:rPr>
          <w:rFonts w:cs="Times New Roman"/>
        </w:rPr>
        <w:t>（1）东村镇祖库（高效节水）片区：新建6个100m</w:t>
      </w:r>
      <w:r>
        <w:rPr>
          <w:rFonts w:cs="Times New Roman"/>
          <w:vertAlign w:val="superscript"/>
        </w:rPr>
        <w:t>3</w:t>
      </w:r>
      <w:r>
        <w:rPr>
          <w:rFonts w:cs="Times New Roman"/>
        </w:rPr>
        <w:t>水池、2个200m</w:t>
      </w:r>
      <w:r>
        <w:rPr>
          <w:rFonts w:cs="Times New Roman"/>
          <w:vertAlign w:val="superscript"/>
        </w:rPr>
        <w:t>3</w:t>
      </w:r>
      <w:r>
        <w:rPr>
          <w:rFonts w:cs="Times New Roman"/>
        </w:rPr>
        <w:t>水池；新建8条输水管，总长为3738.59m；新建4条机耕路，总长为1794.70m；土壤改良工程344亩；项目标志牌1座（含地标25块）。</w:t>
      </w:r>
    </w:p>
    <w:p w14:paraId="796187A2">
      <w:pPr>
        <w:ind w:firstLine="560"/>
        <w:rPr>
          <w:rFonts w:cs="Times New Roman"/>
        </w:rPr>
      </w:pPr>
      <w:r>
        <w:rPr>
          <w:rFonts w:cs="Times New Roman"/>
        </w:rPr>
        <w:t>（2）东村镇祖库（高标准农田）片区：新建6条机耕路，总长为5170.90m；土壤改良工程330亩；项目标志牌1座(含地标10块)。</w:t>
      </w:r>
    </w:p>
    <w:p w14:paraId="78672143">
      <w:pPr>
        <w:ind w:firstLine="560"/>
        <w:rPr>
          <w:rFonts w:cs="Times New Roman"/>
        </w:rPr>
      </w:pPr>
      <w:r>
        <w:rPr>
          <w:rFonts w:cs="Times New Roman"/>
        </w:rPr>
        <w:t>（3）东村镇杜朗（高标准农田）片区：新建2条1.0m*1.0m排水沟，总长为659.65m；改建6条0.3m*0.4m灌溉渠，总长为1204.1m；新建4条机耕路，总长为2657.74m；土壤改良工程240亩；项目标志牌1座（含地标15块）。</w:t>
      </w:r>
    </w:p>
    <w:p w14:paraId="549D5506">
      <w:pPr>
        <w:ind w:firstLine="560"/>
        <w:rPr>
          <w:rFonts w:cs="Times New Roman"/>
        </w:rPr>
      </w:pPr>
      <w:r>
        <w:rPr>
          <w:rFonts w:cs="Times New Roman"/>
        </w:rPr>
        <w:t>（4）东村镇中民石桥（高标准农田）片区：新建1条防洪灌溉沟，总长为2086m；新建1条DN600螺旋钢管输水管，总长为28m；新建6处取水坝，修复3处总长193m灌溉沟，修建1处倒虹吸；土壤改良工程470亩；项目标志牌1座(含地标5块)。</w:t>
      </w:r>
    </w:p>
    <w:p w14:paraId="116C0296">
      <w:pPr>
        <w:ind w:firstLine="560"/>
        <w:rPr>
          <w:rFonts w:cs="Times New Roman"/>
        </w:rPr>
      </w:pPr>
      <w:r>
        <w:rPr>
          <w:rFonts w:cs="Times New Roman"/>
        </w:rPr>
        <w:t>（5）赤鹫镇普黑泥（高标准农田）片区：新建1条1.5m*1.2m防洪沟，总长为390.5m；新建2条2.5m宽生产路，总长为1392.60m；改建3条3.0m宽机耕路，总长为1852m；土壤改良工程200亩；项目标志牌1座（含地标10块）。</w:t>
      </w:r>
    </w:p>
    <w:p w14:paraId="131EA53C">
      <w:pPr>
        <w:ind w:firstLine="560"/>
        <w:rPr>
          <w:rFonts w:cs="Times New Roman"/>
        </w:rPr>
      </w:pPr>
      <w:r>
        <w:rPr>
          <w:rFonts w:cs="Times New Roman"/>
        </w:rPr>
        <w:t>2023年及2024年由农业农村局主导开展剩余1.74万亩高标准农田建设，应根据市级下达指标文件进行改革，有条件情况下超额完成目标任务，确保2024年底完成全县农业水价改革。</w:t>
      </w:r>
    </w:p>
    <w:p w14:paraId="2F074A08">
      <w:pPr>
        <w:pStyle w:val="3"/>
        <w:rPr>
          <w:rFonts w:ascii="Times New Roman" w:hAnsi="Times New Roman" w:cs="Times New Roman"/>
        </w:rPr>
      </w:pPr>
      <w:bookmarkStart w:id="25" w:name="_Toc109121645"/>
      <w:r>
        <w:rPr>
          <w:rFonts w:ascii="Times New Roman" w:hAnsi="Times New Roman" w:cs="Times New Roman"/>
        </w:rPr>
        <w:t>计量设施配套</w:t>
      </w:r>
      <w:bookmarkEnd w:id="25"/>
    </w:p>
    <w:p w14:paraId="7FEA0B9B">
      <w:pPr>
        <w:ind w:firstLine="560"/>
        <w:rPr>
          <w:rFonts w:cs="Times New Roman"/>
        </w:rPr>
      </w:pPr>
      <w:r>
        <w:rPr>
          <w:rFonts w:cs="Times New Roman" w:eastAsiaTheme="minorEastAsia"/>
        </w:rPr>
        <w:t>加快供水计量设施建设，按照因地制宜、经济适用的原则建设适宜的供水计量设施。小型灌区根据灌溉模式、供水条件、管理方式等科学划分计量单元，合理设置计量设施，由农民用水合作组织负责管理和计量。对于现有的农田水利工程，因地制宜配套喷灌、滴灌、管灌等节水设施，尚未配备计量设施的要抓紧改造；对于新建的农田水利工程，同步建设计量设施。</w:t>
      </w:r>
    </w:p>
    <w:p w14:paraId="0331D828">
      <w:pPr>
        <w:ind w:firstLine="560"/>
        <w:rPr>
          <w:rFonts w:cs="Times New Roman"/>
        </w:rPr>
      </w:pPr>
      <w:r>
        <w:rPr>
          <w:rFonts w:cs="Times New Roman"/>
        </w:rPr>
        <w:t>各个改革区域渠首计量率达到100%，重要分水口断面全部实现计量供水。</w:t>
      </w:r>
    </w:p>
    <w:p w14:paraId="5F321755">
      <w:pPr>
        <w:ind w:firstLine="560"/>
        <w:rPr>
          <w:rFonts w:cs="Times New Roman"/>
        </w:rPr>
      </w:pPr>
      <w:r>
        <w:rPr>
          <w:rFonts w:cs="Times New Roman"/>
        </w:rPr>
        <w:t>针对2022年高标准农田建设项目位于富民县东村镇祖库村、杜朗村、中民村、石桥村和赤鹫镇普黑泥村。计量配套设施安装如下：</w:t>
      </w:r>
    </w:p>
    <w:p w14:paraId="78C76435">
      <w:pPr>
        <w:ind w:firstLine="560"/>
        <w:rPr>
          <w:rFonts w:cs="Times New Roman"/>
        </w:rPr>
      </w:pPr>
      <w:r>
        <w:rPr>
          <w:rFonts w:hint="eastAsia" w:cs="Times New Roman"/>
        </w:rPr>
        <w:t>（1）</w:t>
      </w:r>
      <w:r>
        <w:rPr>
          <w:rFonts w:cs="Times New Roman"/>
        </w:rPr>
        <w:t>富民县东村镇祖库高标准农田片区于柿花箐水库放水涵管出口安装外夹式流量</w:t>
      </w:r>
      <w:r>
        <w:rPr>
          <w:rFonts w:hint="eastAsia" w:cs="Times New Roman"/>
        </w:rPr>
        <w:t>仪1套，</w:t>
      </w:r>
      <w:r>
        <w:rPr>
          <w:rFonts w:cs="Times New Roman"/>
        </w:rPr>
        <w:t>具体位置位于</w:t>
      </w:r>
      <w:r>
        <w:rPr>
          <w:rFonts w:hint="eastAsia" w:cs="Times New Roman"/>
        </w:rPr>
        <w:t>102°42′56.57″,25°35′30.86″；放水涵管旁引水管安装</w:t>
      </w:r>
      <w:r>
        <w:rPr>
          <w:rFonts w:cs="Times New Roman"/>
        </w:rPr>
        <w:t>外夹式流量</w:t>
      </w:r>
      <w:r>
        <w:rPr>
          <w:rFonts w:hint="eastAsia" w:cs="Times New Roman"/>
        </w:rPr>
        <w:t>仪1套，</w:t>
      </w:r>
      <w:r>
        <w:rPr>
          <w:rFonts w:cs="Times New Roman"/>
        </w:rPr>
        <w:t>具体位置位于</w:t>
      </w:r>
      <w:r>
        <w:rPr>
          <w:rFonts w:hint="eastAsia" w:cs="Times New Roman"/>
        </w:rPr>
        <w:t>102°42′56.85″,25°35′30.83″。</w:t>
      </w:r>
    </w:p>
    <w:p w14:paraId="3EA9DC7F">
      <w:pPr>
        <w:ind w:firstLine="0" w:firstLineChars="0"/>
        <w:jc w:val="center"/>
        <w:rPr>
          <w:rFonts w:cs="Times New Roman"/>
        </w:rPr>
      </w:pPr>
      <w:r>
        <w:rPr>
          <w:rFonts w:cs="Times New Roman"/>
        </w:rPr>
        <w:drawing>
          <wp:inline distT="0" distB="0" distL="0" distR="0">
            <wp:extent cx="4839335" cy="3629660"/>
            <wp:effectExtent l="0" t="0" r="0" b="8890"/>
            <wp:docPr id="10" name="图片 10" descr="F:\正在进行项目\富民\富民水价改革实施方案现场照片\东村祖库柿花箐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F:\正在进行项目\富民\富民水价改革实施方案现场照片\东村祖库柿花箐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4839269" cy="3629572"/>
                    </a:xfrm>
                    <a:prstGeom prst="rect">
                      <a:avLst/>
                    </a:prstGeom>
                    <a:noFill/>
                    <a:ln>
                      <a:noFill/>
                    </a:ln>
                  </pic:spPr>
                </pic:pic>
              </a:graphicData>
            </a:graphic>
          </wp:inline>
        </w:drawing>
      </w:r>
    </w:p>
    <w:p w14:paraId="6D73F3C1">
      <w:pPr>
        <w:pStyle w:val="77"/>
      </w:pPr>
      <w:r>
        <w:t>柿花箐水库放水涵管出口</w:t>
      </w:r>
    </w:p>
    <w:p w14:paraId="024483C4">
      <w:pPr>
        <w:ind w:firstLine="198" w:firstLineChars="71"/>
        <w:jc w:val="center"/>
        <w:rPr>
          <w:rFonts w:cs="Times New Roman"/>
        </w:rPr>
      </w:pPr>
      <w:r>
        <w:rPr>
          <w:rFonts w:cs="Times New Roman"/>
        </w:rPr>
        <w:drawing>
          <wp:inline distT="0" distB="0" distL="0" distR="0">
            <wp:extent cx="4864735" cy="3648710"/>
            <wp:effectExtent l="0" t="0" r="0" b="8890"/>
            <wp:docPr id="11" name="图片 11" descr="F:\正在进行项目\富民\富民水价改革实施方案现场照片\东村祖库柿花箐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F:\正在进行项目\富民\富民水价改革实施方案现场照片\东村祖库柿花箐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4877019" cy="3657888"/>
                    </a:xfrm>
                    <a:prstGeom prst="rect">
                      <a:avLst/>
                    </a:prstGeom>
                    <a:noFill/>
                    <a:ln>
                      <a:noFill/>
                    </a:ln>
                  </pic:spPr>
                </pic:pic>
              </a:graphicData>
            </a:graphic>
          </wp:inline>
        </w:drawing>
      </w:r>
    </w:p>
    <w:p w14:paraId="35BD0C7C">
      <w:pPr>
        <w:pStyle w:val="77"/>
      </w:pPr>
      <w:r>
        <w:rPr>
          <w:rFonts w:hint="eastAsia"/>
        </w:rPr>
        <w:t>引水管道</w:t>
      </w:r>
    </w:p>
    <w:p w14:paraId="1AFCDD15">
      <w:pPr>
        <w:ind w:firstLine="560"/>
        <w:rPr>
          <w:rFonts w:cs="Times New Roman"/>
        </w:rPr>
      </w:pPr>
      <w:r>
        <w:rPr>
          <w:rFonts w:hint="eastAsia" w:cs="Times New Roman"/>
        </w:rPr>
        <w:t>（2）</w:t>
      </w:r>
      <w:r>
        <w:rPr>
          <w:rFonts w:cs="Times New Roman"/>
        </w:rPr>
        <w:t>东村镇杜朗高标准农田片区取水水源杜朗水库渠首安装计流量仪1套，具体位置位于</w:t>
      </w:r>
      <w:r>
        <w:rPr>
          <w:rFonts w:hint="eastAsia" w:cs="Times New Roman"/>
        </w:rPr>
        <w:t>102°38′49.79891″，25°30′59.13719″，杜朗水库放水涵洞出水口，该出口断面规整，采光条件较好，具备安装条件；4</w:t>
      </w:r>
      <w:r>
        <w:rPr>
          <w:rFonts w:cs="Times New Roman"/>
        </w:rPr>
        <w:t>条重要分水口灌溉沟渠各安装流量仪1套，各点位均具备安装条件，其中</w:t>
      </w:r>
      <w:r>
        <w:rPr>
          <w:rFonts w:hint="eastAsia" w:cs="Times New Roman"/>
        </w:rPr>
        <w:t>1号安装点位：102°38′49.45″,25°30′59.11″，2号安装点位：102°38′49.78″,25°30′59.47″，3号安装点位：102°38′29.54″,25°31′10.93″，4号安装点位102°38′29.97″,25°31′11.64″。</w:t>
      </w:r>
    </w:p>
    <w:p w14:paraId="589432E7">
      <w:pPr>
        <w:ind w:firstLine="0" w:firstLineChars="0"/>
        <w:jc w:val="center"/>
        <w:rPr>
          <w:rFonts w:cs="Times New Roman"/>
        </w:rPr>
      </w:pPr>
      <w:r>
        <w:rPr>
          <w:rFonts w:cs="Times New Roman"/>
        </w:rPr>
        <w:drawing>
          <wp:inline distT="0" distB="0" distL="0" distR="0">
            <wp:extent cx="4847590" cy="3636010"/>
            <wp:effectExtent l="0" t="0" r="0" b="2540"/>
            <wp:docPr id="4" name="图片 4" descr="F:\正在进行项目\富民\富民水价改革实施方案现场照片\东村镇杜朗（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F:\正在进行项目\富民\富民水价改革实施方案现场照片\东村镇杜朗（1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4844839" cy="3633751"/>
                    </a:xfrm>
                    <a:prstGeom prst="rect">
                      <a:avLst/>
                    </a:prstGeom>
                    <a:noFill/>
                    <a:ln>
                      <a:noFill/>
                    </a:ln>
                  </pic:spPr>
                </pic:pic>
              </a:graphicData>
            </a:graphic>
          </wp:inline>
        </w:drawing>
      </w:r>
    </w:p>
    <w:p w14:paraId="2EAE45A5">
      <w:pPr>
        <w:pStyle w:val="77"/>
      </w:pPr>
      <w:r>
        <w:rPr>
          <w:rFonts w:hint="eastAsia"/>
        </w:rPr>
        <w:t>杜朗水库放水涵洞出口</w:t>
      </w:r>
    </w:p>
    <w:p w14:paraId="42744E01">
      <w:pPr>
        <w:ind w:firstLine="0" w:firstLineChars="0"/>
        <w:jc w:val="center"/>
        <w:rPr>
          <w:rFonts w:cs="Times New Roman"/>
        </w:rPr>
      </w:pPr>
      <w:r>
        <w:rPr>
          <w:rFonts w:cs="Times New Roman"/>
        </w:rPr>
        <w:drawing>
          <wp:inline distT="0" distB="0" distL="0" distR="0">
            <wp:extent cx="4502785" cy="3376930"/>
            <wp:effectExtent l="0" t="0" r="0" b="0"/>
            <wp:docPr id="5" name="图片 5" descr="F:\正在进行项目\富民\富民水价改革实施方案现场照片\东村镇杜朗（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F:\正在进行项目\富民\富民水价改革实施方案现场照片\东村镇杜朗（1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4509104" cy="3381939"/>
                    </a:xfrm>
                    <a:prstGeom prst="rect">
                      <a:avLst/>
                    </a:prstGeom>
                    <a:noFill/>
                    <a:ln>
                      <a:noFill/>
                    </a:ln>
                  </pic:spPr>
                </pic:pic>
              </a:graphicData>
            </a:graphic>
          </wp:inline>
        </w:drawing>
      </w:r>
    </w:p>
    <w:p w14:paraId="3F7399FB">
      <w:pPr>
        <w:pStyle w:val="77"/>
      </w:pPr>
      <w:r>
        <w:rPr>
          <w:rFonts w:hint="eastAsia"/>
        </w:rPr>
        <w:t>杜朗片区重要分水口1</w:t>
      </w:r>
    </w:p>
    <w:p w14:paraId="6A4638EE">
      <w:pPr>
        <w:ind w:firstLine="0" w:firstLineChars="0"/>
        <w:jc w:val="center"/>
        <w:rPr>
          <w:rFonts w:cs="Times New Roman"/>
        </w:rPr>
      </w:pPr>
      <w:r>
        <w:rPr>
          <w:rFonts w:cs="Times New Roman"/>
        </w:rPr>
        <w:drawing>
          <wp:inline distT="0" distB="0" distL="0" distR="0">
            <wp:extent cx="4531360" cy="3398520"/>
            <wp:effectExtent l="0" t="0" r="2540" b="0"/>
            <wp:docPr id="6" name="图片 6" descr="F:\正在进行项目\富民\富民水价改革实施方案现场照片\东村镇杜朗（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F:\正在进行项目\富民\富民水价改革实施方案现场照片\东村镇杜朗（1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4536955" cy="3402830"/>
                    </a:xfrm>
                    <a:prstGeom prst="rect">
                      <a:avLst/>
                    </a:prstGeom>
                    <a:noFill/>
                    <a:ln>
                      <a:noFill/>
                    </a:ln>
                  </pic:spPr>
                </pic:pic>
              </a:graphicData>
            </a:graphic>
          </wp:inline>
        </w:drawing>
      </w:r>
    </w:p>
    <w:p w14:paraId="6CAA4093">
      <w:pPr>
        <w:pStyle w:val="77"/>
      </w:pPr>
      <w:r>
        <w:rPr>
          <w:rFonts w:hint="eastAsia"/>
        </w:rPr>
        <w:t>杜朗片区重要分水口2</w:t>
      </w:r>
    </w:p>
    <w:p w14:paraId="35E430C0">
      <w:pPr>
        <w:ind w:firstLine="0" w:firstLineChars="0"/>
        <w:jc w:val="center"/>
        <w:rPr>
          <w:rFonts w:cs="Times New Roman"/>
        </w:rPr>
      </w:pPr>
      <w:r>
        <w:rPr>
          <w:rFonts w:cs="Times New Roman"/>
        </w:rPr>
        <w:drawing>
          <wp:inline distT="0" distB="0" distL="0" distR="0">
            <wp:extent cx="4439285" cy="3329305"/>
            <wp:effectExtent l="0" t="0" r="0" b="4445"/>
            <wp:docPr id="7" name="图片 7" descr="F:\正在进行项目\富民\富民水价改革实施方案现场照片\东村镇杜朗（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F:\正在进行项目\富民\富民水价改革实施方案现场照片\东村镇杜朗（1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4445002" cy="3333862"/>
                    </a:xfrm>
                    <a:prstGeom prst="rect">
                      <a:avLst/>
                    </a:prstGeom>
                    <a:noFill/>
                    <a:ln>
                      <a:noFill/>
                    </a:ln>
                  </pic:spPr>
                </pic:pic>
              </a:graphicData>
            </a:graphic>
          </wp:inline>
        </w:drawing>
      </w:r>
    </w:p>
    <w:p w14:paraId="7E2FD548">
      <w:pPr>
        <w:pStyle w:val="77"/>
      </w:pPr>
      <w:r>
        <w:rPr>
          <w:rFonts w:hint="eastAsia"/>
        </w:rPr>
        <w:t>杜朗片区重要分水口3</w:t>
      </w:r>
    </w:p>
    <w:p w14:paraId="752AEFD4">
      <w:pPr>
        <w:ind w:firstLine="0" w:firstLineChars="0"/>
        <w:jc w:val="center"/>
        <w:rPr>
          <w:rFonts w:cs="Times New Roman"/>
        </w:rPr>
      </w:pPr>
      <w:r>
        <w:rPr>
          <w:rFonts w:cs="Times New Roman"/>
        </w:rPr>
        <w:drawing>
          <wp:inline distT="0" distB="0" distL="0" distR="0">
            <wp:extent cx="4450715" cy="3338195"/>
            <wp:effectExtent l="0" t="0" r="6985" b="0"/>
            <wp:docPr id="8" name="图片 8" descr="F:\正在进行项目\富民\富民水价改革实施方案现场照片\东村镇杜朗（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F:\正在进行项目\富民\富民水价改革实施方案现场照片\东村镇杜朗（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4457259" cy="3343054"/>
                    </a:xfrm>
                    <a:prstGeom prst="rect">
                      <a:avLst/>
                    </a:prstGeom>
                    <a:noFill/>
                    <a:ln>
                      <a:noFill/>
                    </a:ln>
                  </pic:spPr>
                </pic:pic>
              </a:graphicData>
            </a:graphic>
          </wp:inline>
        </w:drawing>
      </w:r>
    </w:p>
    <w:p w14:paraId="6CD84BEC">
      <w:pPr>
        <w:pStyle w:val="77"/>
      </w:pPr>
      <w:r>
        <w:rPr>
          <w:rFonts w:hint="eastAsia"/>
        </w:rPr>
        <w:t>杜朗片区重要分水口4</w:t>
      </w:r>
    </w:p>
    <w:p w14:paraId="7EBB09A2">
      <w:pPr>
        <w:ind w:firstLine="0" w:firstLineChars="0"/>
        <w:rPr>
          <w:rFonts w:cs="Times New Roman"/>
        </w:rPr>
      </w:pPr>
      <w:r>
        <w:rPr>
          <w:rFonts w:cs="Times New Roman"/>
        </w:rPr>
        <w:t>（</w:t>
      </w:r>
      <w:r>
        <w:rPr>
          <w:rFonts w:hint="eastAsia" w:cs="Times New Roman"/>
        </w:rPr>
        <w:t>3</w:t>
      </w:r>
      <w:r>
        <w:rPr>
          <w:rFonts w:cs="Times New Roman"/>
        </w:rPr>
        <w:t>）东村镇中民片区主要于龙潭村附近安装流量仪，具体位置位于</w:t>
      </w:r>
      <w:r>
        <w:rPr>
          <w:rFonts w:hint="eastAsia" w:cs="Times New Roman"/>
        </w:rPr>
        <w:t>102°44′9.16″，25°31′17.11″。</w:t>
      </w:r>
    </w:p>
    <w:p w14:paraId="082F4DF8">
      <w:pPr>
        <w:ind w:firstLine="0" w:firstLineChars="0"/>
        <w:jc w:val="center"/>
        <w:rPr>
          <w:rFonts w:cs="Times New Roman"/>
        </w:rPr>
      </w:pPr>
      <w:r>
        <w:rPr>
          <w:rFonts w:cs="Times New Roman"/>
        </w:rPr>
        <w:drawing>
          <wp:inline distT="0" distB="0" distL="0" distR="0">
            <wp:extent cx="4450715" cy="3338195"/>
            <wp:effectExtent l="0" t="0" r="6985" b="0"/>
            <wp:docPr id="12" name="图片 12" descr="F:\正在进行项目\富民\富民水价改革实施方案现场照片\东村祖库龙潭村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F:\正在进行项目\富民\富民水价改革实施方案现场照片\东村祖库龙潭村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4462480" cy="3346971"/>
                    </a:xfrm>
                    <a:prstGeom prst="rect">
                      <a:avLst/>
                    </a:prstGeom>
                    <a:noFill/>
                    <a:ln>
                      <a:noFill/>
                    </a:ln>
                  </pic:spPr>
                </pic:pic>
              </a:graphicData>
            </a:graphic>
          </wp:inline>
        </w:drawing>
      </w:r>
    </w:p>
    <w:p w14:paraId="4201197A">
      <w:pPr>
        <w:pStyle w:val="77"/>
      </w:pPr>
      <w:r>
        <w:rPr>
          <w:rFonts w:hint="eastAsia"/>
        </w:rPr>
        <w:t>中民片区灌溉水源渠道</w:t>
      </w:r>
    </w:p>
    <w:p w14:paraId="0AEA7334">
      <w:pPr>
        <w:ind w:firstLine="560"/>
        <w:rPr>
          <w:rFonts w:cs="Times New Roman"/>
        </w:rPr>
      </w:pPr>
      <w:r>
        <w:rPr>
          <w:rFonts w:hint="eastAsia" w:cs="Times New Roman"/>
        </w:rPr>
        <w:t>（4）</w:t>
      </w:r>
      <w:r>
        <w:rPr>
          <w:rFonts w:cs="Times New Roman"/>
        </w:rPr>
        <w:t>东村镇</w:t>
      </w:r>
      <w:r>
        <w:rPr>
          <w:rFonts w:hint="eastAsia" w:cs="Times New Roman"/>
        </w:rPr>
        <w:t>石桥</w:t>
      </w:r>
      <w:r>
        <w:rPr>
          <w:rFonts w:cs="Times New Roman"/>
        </w:rPr>
        <w:t>片区主要于</w:t>
      </w:r>
      <w:r>
        <w:rPr>
          <w:rFonts w:hint="eastAsia" w:cs="Times New Roman"/>
        </w:rPr>
        <w:t>石桥</w:t>
      </w:r>
      <w:r>
        <w:rPr>
          <w:rFonts w:cs="Times New Roman"/>
        </w:rPr>
        <w:t>村附近安装流量仪，具体位置位于</w:t>
      </w:r>
      <w:r>
        <w:rPr>
          <w:rFonts w:hint="eastAsia" w:cs="Times New Roman"/>
        </w:rPr>
        <w:t>102°41′9.40″，25°32′16.22″。</w:t>
      </w:r>
    </w:p>
    <w:p w14:paraId="511E9422">
      <w:pPr>
        <w:ind w:firstLine="0" w:firstLineChars="0"/>
        <w:jc w:val="center"/>
        <w:rPr>
          <w:rFonts w:cs="Times New Roman"/>
        </w:rPr>
      </w:pPr>
      <w:r>
        <w:rPr>
          <w:rFonts w:cs="Times New Roman"/>
        </w:rPr>
        <w:drawing>
          <wp:inline distT="0" distB="0" distL="0" distR="0">
            <wp:extent cx="4473575" cy="3355340"/>
            <wp:effectExtent l="0" t="0" r="3175" b="0"/>
            <wp:docPr id="13" name="图片 13" descr="F:\正在进行项目\富民\富民水价改革实施方案现场照片\IMG_20220823_144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F:\正在进行项目\富民\富民水价改革实施方案现场照片\IMG_20220823_14454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4471129" cy="3353458"/>
                    </a:xfrm>
                    <a:prstGeom prst="rect">
                      <a:avLst/>
                    </a:prstGeom>
                    <a:noFill/>
                    <a:ln>
                      <a:noFill/>
                    </a:ln>
                  </pic:spPr>
                </pic:pic>
              </a:graphicData>
            </a:graphic>
          </wp:inline>
        </w:drawing>
      </w:r>
    </w:p>
    <w:p w14:paraId="15417614">
      <w:pPr>
        <w:pStyle w:val="77"/>
      </w:pPr>
      <w:r>
        <w:rPr>
          <w:rFonts w:hint="eastAsia"/>
        </w:rPr>
        <w:t>石桥片区灌溉水源渠道</w:t>
      </w:r>
    </w:p>
    <w:p w14:paraId="2E6DA93A">
      <w:pPr>
        <w:ind w:firstLine="560"/>
        <w:rPr>
          <w:rFonts w:cs="Times New Roman"/>
        </w:rPr>
      </w:pPr>
      <w:r>
        <w:rPr>
          <w:rFonts w:cs="Times New Roman"/>
        </w:rPr>
        <w:t>（</w:t>
      </w:r>
      <w:r>
        <w:rPr>
          <w:rFonts w:hint="eastAsia" w:cs="Times New Roman"/>
        </w:rPr>
        <w:t>5</w:t>
      </w:r>
      <w:r>
        <w:rPr>
          <w:rFonts w:cs="Times New Roman"/>
        </w:rPr>
        <w:t>）赤鹫镇普黑泥高标准农田片区取水水源渠首安装计流量仪1套，配备</w:t>
      </w:r>
      <w:r>
        <w:rPr>
          <w:rFonts w:hint="eastAsia" w:cs="Times New Roman"/>
        </w:rPr>
        <w:t>1</w:t>
      </w:r>
      <w:r>
        <w:rPr>
          <w:rFonts w:cs="Times New Roman"/>
        </w:rPr>
        <w:t>套流速仪用于重要分水口安装。</w:t>
      </w:r>
    </w:p>
    <w:p w14:paraId="6690B057">
      <w:pPr>
        <w:ind w:firstLine="560"/>
        <w:rPr>
          <w:rFonts w:cs="Times New Roman"/>
        </w:rPr>
      </w:pPr>
      <w:r>
        <w:rPr>
          <w:rFonts w:cs="Times New Roman"/>
        </w:rPr>
        <w:t>综上，共需安装流量仪</w:t>
      </w:r>
      <w:r>
        <w:rPr>
          <w:rFonts w:hint="eastAsia" w:cs="Times New Roman"/>
        </w:rPr>
        <w:t>11</w:t>
      </w:r>
      <w:r>
        <w:rPr>
          <w:rFonts w:cs="Times New Roman"/>
        </w:rPr>
        <w:t>套，其中渠道安装</w:t>
      </w:r>
      <w:r>
        <w:rPr>
          <w:rFonts w:hint="eastAsia" w:cs="Times New Roman"/>
        </w:rPr>
        <w:t>9套，管道安装2套</w:t>
      </w:r>
      <w:r>
        <w:rPr>
          <w:rFonts w:cs="Times New Roman"/>
        </w:rPr>
        <w:t>。</w:t>
      </w:r>
    </w:p>
    <w:p w14:paraId="2E4933B9">
      <w:pPr>
        <w:pStyle w:val="3"/>
        <w:rPr>
          <w:rFonts w:ascii="Times New Roman" w:hAnsi="Times New Roman" w:cs="Times New Roman"/>
        </w:rPr>
      </w:pPr>
      <w:bookmarkStart w:id="26" w:name="_Toc109121646"/>
      <w:r>
        <w:rPr>
          <w:rFonts w:ascii="Times New Roman" w:hAnsi="Times New Roman" w:cs="Times New Roman"/>
        </w:rPr>
        <w:t>农业用水总量控制与定额管理</w:t>
      </w:r>
      <w:bookmarkEnd w:id="26"/>
    </w:p>
    <w:p w14:paraId="24CF764D">
      <w:pPr>
        <w:pStyle w:val="73"/>
        <w:rPr>
          <w:rFonts w:cs="Times New Roman"/>
        </w:rPr>
      </w:pPr>
      <w:bookmarkStart w:id="27" w:name="_Toc109121647"/>
      <w:r>
        <w:rPr>
          <w:rFonts w:hint="eastAsia" w:cs="Times New Roman"/>
        </w:rPr>
        <w:t>建立农业水权</w:t>
      </w:r>
      <w:bookmarkEnd w:id="27"/>
    </w:p>
    <w:p w14:paraId="3D45E1FE">
      <w:pPr>
        <w:ind w:firstLine="560"/>
      </w:pPr>
      <w:r>
        <w:rPr>
          <w:rFonts w:ascii="宋体" w:hAnsi="宋体"/>
        </w:rPr>
        <w:t>在水权分配方面，参照《</w:t>
      </w:r>
      <w:r>
        <w:rPr>
          <w:rFonts w:hint="eastAsia" w:ascii="宋体" w:hAnsi="宋体"/>
        </w:rPr>
        <w:t>云南</w:t>
      </w:r>
      <w:r>
        <w:rPr>
          <w:rFonts w:ascii="宋体" w:hAnsi="宋体"/>
        </w:rPr>
        <w:t>省水权交易管理实施办法</w:t>
      </w:r>
      <w:r>
        <w:rPr>
          <w:rFonts w:hint="eastAsia" w:ascii="宋体" w:hAnsi="宋体"/>
        </w:rPr>
        <w:t>（</w:t>
      </w:r>
      <w:r>
        <w:rPr>
          <w:rFonts w:ascii="宋体" w:hAnsi="宋体"/>
        </w:rPr>
        <w:t>暂</w:t>
      </w:r>
      <w:r>
        <w:rPr>
          <w:rFonts w:ascii="宋体" w:hAnsi="宋体"/>
          <w:spacing w:val="60"/>
        </w:rPr>
        <w:t>行</w:t>
      </w:r>
      <w:r>
        <w:rPr>
          <w:rFonts w:hint="eastAsia" w:ascii="宋体" w:hAnsi="宋体"/>
        </w:rPr>
        <w:t>）</w:t>
      </w:r>
      <w:r>
        <w:rPr>
          <w:rFonts w:ascii="宋体" w:hAnsi="宋体"/>
        </w:rPr>
        <w:t>》，以</w:t>
      </w:r>
      <w:r>
        <w:rPr>
          <w:rFonts w:hint="eastAsia" w:ascii="宋体" w:hAnsi="宋体"/>
          <w:spacing w:val="-18"/>
        </w:rPr>
        <w:t>富民</w:t>
      </w:r>
      <w:r>
        <w:rPr>
          <w:rFonts w:ascii="宋体" w:hAnsi="宋体"/>
        </w:rPr>
        <w:t>县可利用水资源量为依据，结合农业灌溉用水量现状，将用水量按照耕地面积分配到村，村用水户协会按照机井控制面积，将用水量分配到井，明晰到农户，并颁发实名制水权证书</w:t>
      </w:r>
      <w:r>
        <w:rPr>
          <w:rFonts w:hint="eastAsia" w:ascii="宋体" w:hAnsi="宋体"/>
        </w:rPr>
        <w:t>。</w:t>
      </w:r>
    </w:p>
    <w:p w14:paraId="18FFD752">
      <w:pPr>
        <w:pStyle w:val="73"/>
        <w:rPr>
          <w:rFonts w:cs="Times New Roman"/>
        </w:rPr>
      </w:pPr>
      <w:bookmarkStart w:id="28" w:name="_Toc109121648"/>
      <w:r>
        <w:rPr>
          <w:rFonts w:cs="Times New Roman"/>
        </w:rPr>
        <w:t>农业用水总量控制</w:t>
      </w:r>
      <w:bookmarkEnd w:id="28"/>
    </w:p>
    <w:p w14:paraId="794DBE12">
      <w:pPr>
        <w:ind w:firstLine="560"/>
        <w:rPr>
          <w:rFonts w:cs="Times New Roman"/>
        </w:rPr>
      </w:pPr>
      <w:r>
        <w:rPr>
          <w:rFonts w:cs="Times New Roman" w:eastAsiaTheme="minorEastAsia"/>
        </w:rPr>
        <w:t>依据“持续利用、留有余量、生活优先、注重生态、市场调剂”原则，确定各乡镇农业各类水源用水量，实行总量控制。乡镇按灌溉面积将农业水权分配给水户合作组织，有条件的村分配到用水户，加快实现分水到户、水随地走、明晰水权。逐步建立农业水权交易制度，鼓励用水户转让节水量或结转下年使用。同一农民用水合作组织内部的转让，由农民用水合作组织统一协调、用水户之间平等协商；跨农民用水合作组织的转让，由当地水行政主管部门或灌区管理单位予以回购。在满足区域内用水的前提下，鼓励节水量跨区域、跨行业转让。</w:t>
      </w:r>
    </w:p>
    <w:p w14:paraId="29FD0F2F">
      <w:pPr>
        <w:pStyle w:val="73"/>
        <w:rPr>
          <w:rFonts w:cs="Times New Roman"/>
        </w:rPr>
      </w:pPr>
      <w:bookmarkStart w:id="29" w:name="_Toc109121649"/>
      <w:r>
        <w:rPr>
          <w:rFonts w:cs="Times New Roman"/>
        </w:rPr>
        <w:t>用水定额确定</w:t>
      </w:r>
      <w:bookmarkEnd w:id="29"/>
    </w:p>
    <w:p w14:paraId="13C3BDDD">
      <w:pPr>
        <w:ind w:firstLine="560"/>
        <w:rPr>
          <w:rFonts w:cs="Times New Roman" w:eastAsiaTheme="minorEastAsia"/>
        </w:rPr>
      </w:pPr>
      <w:r>
        <w:rPr>
          <w:rFonts w:cs="Times New Roman" w:eastAsiaTheme="minorEastAsia"/>
        </w:rPr>
        <w:t>农业用水参照《云南省用水定额》（云水发﹝2019﹞122号）的作物灌溉定额，区分不同作物，合理制定农业用水定额。</w:t>
      </w:r>
    </w:p>
    <w:p w14:paraId="1D05134F">
      <w:pPr>
        <w:ind w:firstLine="560"/>
        <w:rPr>
          <w:rFonts w:cs="Times New Roman" w:eastAsiaTheme="minorEastAsia"/>
        </w:rPr>
      </w:pPr>
    </w:p>
    <w:p w14:paraId="65A646A8">
      <w:pPr>
        <w:ind w:firstLine="560"/>
        <w:rPr>
          <w:rFonts w:cs="Times New Roman" w:eastAsiaTheme="minorEastAsia"/>
        </w:rPr>
      </w:pPr>
    </w:p>
    <w:p w14:paraId="293E3D6C">
      <w:pPr>
        <w:pStyle w:val="79"/>
        <w:rPr>
          <w:rFonts w:ascii="Times New Roman" w:hAnsi="Times New Roman" w:cs="Times New Roman"/>
        </w:rPr>
      </w:pPr>
      <w:r>
        <w:rPr>
          <w:rFonts w:ascii="Times New Roman" w:hAnsi="Times New Roman" w:cs="Times New Roman"/>
        </w:rPr>
        <w:t>各作物灌溉净用水定额</w:t>
      </w:r>
    </w:p>
    <w:tbl>
      <w:tblPr>
        <w:tblStyle w:val="32"/>
        <w:tblW w:w="7088" w:type="dxa"/>
        <w:jc w:val="center"/>
        <w:tblLayout w:type="fixed"/>
        <w:tblCellMar>
          <w:top w:w="0" w:type="dxa"/>
          <w:left w:w="0" w:type="dxa"/>
          <w:bottom w:w="0" w:type="dxa"/>
          <w:right w:w="0" w:type="dxa"/>
        </w:tblCellMar>
      </w:tblPr>
      <w:tblGrid>
        <w:gridCol w:w="1843"/>
        <w:gridCol w:w="2268"/>
        <w:gridCol w:w="2977"/>
      </w:tblGrid>
      <w:tr w14:paraId="16C0178B">
        <w:tblPrEx>
          <w:tblCellMar>
            <w:top w:w="0" w:type="dxa"/>
            <w:left w:w="0" w:type="dxa"/>
            <w:bottom w:w="0" w:type="dxa"/>
            <w:right w:w="0" w:type="dxa"/>
          </w:tblCellMar>
        </w:tblPrEx>
        <w:trPr>
          <w:trHeight w:val="409" w:hRule="atLeast"/>
          <w:jc w:val="center"/>
        </w:trPr>
        <w:tc>
          <w:tcPr>
            <w:tcW w:w="1843" w:type="dxa"/>
            <w:vMerge w:val="restar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14:paraId="695C69DC">
            <w:pPr>
              <w:ind w:firstLine="0" w:firstLineChars="0"/>
              <w:jc w:val="center"/>
              <w:rPr>
                <w:rFonts w:eastAsia="仿宋" w:cs="Times New Roman"/>
                <w:b/>
                <w:sz w:val="21"/>
                <w:szCs w:val="21"/>
              </w:rPr>
            </w:pPr>
            <w:r>
              <w:rPr>
                <w:rFonts w:eastAsia="仿宋" w:cs="Times New Roman"/>
                <w:b/>
                <w:sz w:val="21"/>
                <w:szCs w:val="21"/>
              </w:rPr>
              <w:t>序号</w:t>
            </w:r>
          </w:p>
        </w:tc>
        <w:tc>
          <w:tcPr>
            <w:tcW w:w="2268" w:type="dxa"/>
            <w:vMerge w:val="restart"/>
            <w:tcBorders>
              <w:top w:val="single" w:color="000000" w:sz="4" w:space="0"/>
              <w:left w:val="nil"/>
              <w:bottom w:val="single" w:color="000000" w:sz="4" w:space="0"/>
              <w:right w:val="single" w:color="000000" w:sz="4" w:space="0"/>
            </w:tcBorders>
            <w:noWrap/>
            <w:tcMar>
              <w:top w:w="15" w:type="dxa"/>
              <w:left w:w="15" w:type="dxa"/>
              <w:bottom w:w="0" w:type="dxa"/>
              <w:right w:w="15" w:type="dxa"/>
            </w:tcMar>
            <w:vAlign w:val="center"/>
          </w:tcPr>
          <w:p w14:paraId="02A6BE4F">
            <w:pPr>
              <w:ind w:firstLine="0" w:firstLineChars="0"/>
              <w:jc w:val="center"/>
              <w:rPr>
                <w:rFonts w:eastAsia="仿宋" w:cs="Times New Roman"/>
                <w:b/>
                <w:sz w:val="21"/>
                <w:szCs w:val="21"/>
              </w:rPr>
            </w:pPr>
            <w:r>
              <w:rPr>
                <w:rFonts w:eastAsia="仿宋" w:cs="Times New Roman"/>
                <w:b/>
                <w:sz w:val="21"/>
                <w:szCs w:val="21"/>
              </w:rPr>
              <w:t>作物名称</w:t>
            </w:r>
          </w:p>
        </w:tc>
        <w:tc>
          <w:tcPr>
            <w:tcW w:w="2977" w:type="dxa"/>
            <w:vMerge w:val="restart"/>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14:paraId="3FABB5C6">
            <w:pPr>
              <w:ind w:firstLine="0" w:firstLineChars="0"/>
              <w:jc w:val="center"/>
              <w:rPr>
                <w:rFonts w:eastAsia="仿宋" w:cs="Times New Roman"/>
                <w:b/>
                <w:sz w:val="21"/>
                <w:szCs w:val="21"/>
              </w:rPr>
            </w:pPr>
            <w:r>
              <w:rPr>
                <w:rFonts w:eastAsia="仿宋" w:cs="Times New Roman"/>
                <w:b/>
                <w:sz w:val="21"/>
                <w:szCs w:val="21"/>
              </w:rPr>
              <w:t>净用水定额m</w:t>
            </w:r>
            <w:r>
              <w:rPr>
                <w:rFonts w:eastAsia="仿宋" w:cs="Times New Roman"/>
                <w:b/>
                <w:sz w:val="21"/>
                <w:szCs w:val="21"/>
                <w:vertAlign w:val="superscript"/>
              </w:rPr>
              <w:t>3</w:t>
            </w:r>
            <w:r>
              <w:rPr>
                <w:rFonts w:eastAsia="仿宋" w:cs="Times New Roman"/>
                <w:b/>
                <w:sz w:val="21"/>
                <w:szCs w:val="21"/>
              </w:rPr>
              <w:t>(亩.年)</w:t>
            </w:r>
          </w:p>
        </w:tc>
      </w:tr>
      <w:tr w14:paraId="6B8FD9A1">
        <w:tblPrEx>
          <w:tblCellMar>
            <w:top w:w="0" w:type="dxa"/>
            <w:left w:w="0" w:type="dxa"/>
            <w:bottom w:w="0" w:type="dxa"/>
            <w:right w:w="0" w:type="dxa"/>
          </w:tblCellMar>
        </w:tblPrEx>
        <w:trPr>
          <w:trHeight w:val="272" w:hRule="atLeast"/>
          <w:jc w:val="center"/>
        </w:trPr>
        <w:tc>
          <w:tcPr>
            <w:tcW w:w="1843" w:type="dxa"/>
            <w:vMerge w:val="continue"/>
            <w:tcBorders>
              <w:top w:val="single" w:color="000000" w:sz="4" w:space="0"/>
              <w:left w:val="single" w:color="000000" w:sz="4" w:space="0"/>
              <w:bottom w:val="single" w:color="000000" w:sz="4" w:space="0"/>
              <w:right w:val="single" w:color="000000" w:sz="4" w:space="0"/>
            </w:tcBorders>
            <w:vAlign w:val="center"/>
          </w:tcPr>
          <w:p w14:paraId="5FA7B539">
            <w:pPr>
              <w:widowControl/>
              <w:spacing w:line="240" w:lineRule="auto"/>
              <w:ind w:firstLine="0" w:firstLineChars="0"/>
              <w:jc w:val="left"/>
              <w:rPr>
                <w:rFonts w:eastAsia="仿宋" w:cs="Times New Roman"/>
                <w:b/>
                <w:sz w:val="21"/>
                <w:szCs w:val="21"/>
              </w:rPr>
            </w:pPr>
          </w:p>
        </w:tc>
        <w:tc>
          <w:tcPr>
            <w:tcW w:w="2268" w:type="dxa"/>
            <w:vMerge w:val="continue"/>
            <w:tcBorders>
              <w:top w:val="single" w:color="000000" w:sz="4" w:space="0"/>
              <w:left w:val="nil"/>
              <w:bottom w:val="single" w:color="000000" w:sz="4" w:space="0"/>
              <w:right w:val="single" w:color="000000" w:sz="4" w:space="0"/>
            </w:tcBorders>
            <w:vAlign w:val="center"/>
          </w:tcPr>
          <w:p w14:paraId="1D604490">
            <w:pPr>
              <w:widowControl/>
              <w:spacing w:line="240" w:lineRule="auto"/>
              <w:ind w:firstLine="0" w:firstLineChars="0"/>
              <w:jc w:val="left"/>
              <w:rPr>
                <w:rFonts w:eastAsia="仿宋" w:cs="Times New Roman"/>
                <w:b/>
                <w:sz w:val="21"/>
                <w:szCs w:val="21"/>
              </w:rPr>
            </w:pPr>
          </w:p>
        </w:tc>
        <w:tc>
          <w:tcPr>
            <w:tcW w:w="2977" w:type="dxa"/>
            <w:vMerge w:val="continue"/>
            <w:tcBorders>
              <w:top w:val="single" w:color="000000" w:sz="4" w:space="0"/>
              <w:left w:val="nil"/>
              <w:bottom w:val="single" w:color="000000" w:sz="4" w:space="0"/>
              <w:right w:val="single" w:color="000000" w:sz="4" w:space="0"/>
            </w:tcBorders>
            <w:vAlign w:val="center"/>
          </w:tcPr>
          <w:p w14:paraId="0B4B54CF">
            <w:pPr>
              <w:widowControl/>
              <w:spacing w:line="240" w:lineRule="auto"/>
              <w:ind w:firstLine="0" w:firstLineChars="0"/>
              <w:jc w:val="left"/>
              <w:rPr>
                <w:rFonts w:eastAsia="仿宋" w:cs="Times New Roman"/>
                <w:b/>
                <w:sz w:val="21"/>
                <w:szCs w:val="21"/>
              </w:rPr>
            </w:pPr>
          </w:p>
        </w:tc>
      </w:tr>
      <w:tr w14:paraId="7E709934">
        <w:tblPrEx>
          <w:tblCellMar>
            <w:top w:w="0" w:type="dxa"/>
            <w:left w:w="0" w:type="dxa"/>
            <w:bottom w:w="0" w:type="dxa"/>
            <w:right w:w="0" w:type="dxa"/>
          </w:tblCellMar>
        </w:tblPrEx>
        <w:trPr>
          <w:trHeight w:val="356" w:hRule="atLeast"/>
          <w:jc w:val="center"/>
        </w:trPr>
        <w:tc>
          <w:tcPr>
            <w:tcW w:w="1843"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bottom"/>
          </w:tcPr>
          <w:p w14:paraId="5389CEBE">
            <w:pPr>
              <w:ind w:firstLine="0" w:firstLineChars="0"/>
              <w:jc w:val="center"/>
              <w:rPr>
                <w:rFonts w:eastAsia="仿宋" w:cs="Times New Roman"/>
                <w:sz w:val="21"/>
                <w:szCs w:val="21"/>
              </w:rPr>
            </w:pPr>
            <w:r>
              <w:rPr>
                <w:rFonts w:eastAsia="仿宋" w:cs="Times New Roman"/>
                <w:sz w:val="21"/>
                <w:szCs w:val="21"/>
              </w:rPr>
              <w:t>1</w:t>
            </w:r>
          </w:p>
        </w:tc>
        <w:tc>
          <w:tcPr>
            <w:tcW w:w="2268"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14:paraId="29DFBBCC">
            <w:pPr>
              <w:ind w:firstLine="0" w:firstLineChars="0"/>
              <w:jc w:val="center"/>
              <w:rPr>
                <w:rFonts w:eastAsia="仿宋" w:cs="Times New Roman"/>
                <w:sz w:val="21"/>
                <w:szCs w:val="21"/>
              </w:rPr>
            </w:pPr>
            <w:r>
              <w:rPr>
                <w:rFonts w:eastAsia="仿宋" w:cs="Times New Roman"/>
                <w:sz w:val="21"/>
                <w:szCs w:val="21"/>
              </w:rPr>
              <w:t>水稻</w:t>
            </w:r>
          </w:p>
        </w:tc>
        <w:tc>
          <w:tcPr>
            <w:tcW w:w="2977"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14:paraId="0B692440">
            <w:pPr>
              <w:ind w:firstLine="0" w:firstLineChars="0"/>
              <w:jc w:val="center"/>
              <w:rPr>
                <w:rFonts w:eastAsia="仿宋" w:cs="Times New Roman"/>
                <w:sz w:val="21"/>
                <w:szCs w:val="21"/>
              </w:rPr>
            </w:pPr>
            <w:r>
              <w:rPr>
                <w:rFonts w:eastAsia="仿宋" w:cs="Times New Roman"/>
                <w:sz w:val="21"/>
                <w:szCs w:val="21"/>
              </w:rPr>
              <w:t>360</w:t>
            </w:r>
          </w:p>
        </w:tc>
      </w:tr>
      <w:tr w14:paraId="240C7A71">
        <w:tblPrEx>
          <w:tblCellMar>
            <w:top w:w="0" w:type="dxa"/>
            <w:left w:w="0" w:type="dxa"/>
            <w:bottom w:w="0" w:type="dxa"/>
            <w:right w:w="0" w:type="dxa"/>
          </w:tblCellMar>
        </w:tblPrEx>
        <w:trPr>
          <w:trHeight w:val="356" w:hRule="atLeast"/>
          <w:jc w:val="center"/>
        </w:trPr>
        <w:tc>
          <w:tcPr>
            <w:tcW w:w="1843"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bottom"/>
          </w:tcPr>
          <w:p w14:paraId="717FFD40">
            <w:pPr>
              <w:ind w:firstLine="0" w:firstLineChars="0"/>
              <w:jc w:val="center"/>
              <w:rPr>
                <w:rFonts w:eastAsia="仿宋" w:cs="Times New Roman"/>
                <w:sz w:val="21"/>
                <w:szCs w:val="21"/>
              </w:rPr>
            </w:pPr>
            <w:r>
              <w:rPr>
                <w:rFonts w:eastAsia="仿宋" w:cs="Times New Roman"/>
                <w:sz w:val="21"/>
                <w:szCs w:val="21"/>
              </w:rPr>
              <w:t>2</w:t>
            </w:r>
          </w:p>
        </w:tc>
        <w:tc>
          <w:tcPr>
            <w:tcW w:w="2268"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14:paraId="4CA213D2">
            <w:pPr>
              <w:ind w:firstLine="0" w:firstLineChars="0"/>
              <w:jc w:val="center"/>
              <w:rPr>
                <w:rFonts w:eastAsia="仿宋" w:cs="Times New Roman"/>
                <w:sz w:val="21"/>
                <w:szCs w:val="21"/>
              </w:rPr>
            </w:pPr>
            <w:r>
              <w:rPr>
                <w:rFonts w:eastAsia="仿宋" w:cs="Times New Roman"/>
                <w:sz w:val="21"/>
                <w:szCs w:val="21"/>
              </w:rPr>
              <w:t>玉米</w:t>
            </w:r>
          </w:p>
        </w:tc>
        <w:tc>
          <w:tcPr>
            <w:tcW w:w="2977"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14:paraId="1CBD8065">
            <w:pPr>
              <w:ind w:firstLine="0" w:firstLineChars="0"/>
              <w:jc w:val="center"/>
              <w:rPr>
                <w:rFonts w:eastAsia="仿宋" w:cs="Times New Roman"/>
                <w:sz w:val="21"/>
                <w:szCs w:val="21"/>
              </w:rPr>
            </w:pPr>
            <w:r>
              <w:rPr>
                <w:rFonts w:eastAsia="仿宋" w:cs="Times New Roman"/>
                <w:sz w:val="21"/>
                <w:szCs w:val="21"/>
              </w:rPr>
              <w:t>120</w:t>
            </w:r>
          </w:p>
        </w:tc>
      </w:tr>
      <w:tr w14:paraId="1C54E0BE">
        <w:tblPrEx>
          <w:tblCellMar>
            <w:top w:w="0" w:type="dxa"/>
            <w:left w:w="0" w:type="dxa"/>
            <w:bottom w:w="0" w:type="dxa"/>
            <w:right w:w="0" w:type="dxa"/>
          </w:tblCellMar>
        </w:tblPrEx>
        <w:trPr>
          <w:trHeight w:val="356" w:hRule="atLeast"/>
          <w:jc w:val="center"/>
        </w:trPr>
        <w:tc>
          <w:tcPr>
            <w:tcW w:w="1843"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bottom"/>
          </w:tcPr>
          <w:p w14:paraId="1FDA844D">
            <w:pPr>
              <w:ind w:firstLine="0" w:firstLineChars="0"/>
              <w:jc w:val="center"/>
              <w:rPr>
                <w:rFonts w:eastAsia="仿宋" w:cs="Times New Roman"/>
                <w:sz w:val="21"/>
                <w:szCs w:val="21"/>
              </w:rPr>
            </w:pPr>
            <w:r>
              <w:rPr>
                <w:rFonts w:eastAsia="仿宋" w:cs="Times New Roman"/>
                <w:sz w:val="21"/>
                <w:szCs w:val="21"/>
              </w:rPr>
              <w:t>3</w:t>
            </w:r>
          </w:p>
        </w:tc>
        <w:tc>
          <w:tcPr>
            <w:tcW w:w="2268"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14:paraId="22227512">
            <w:pPr>
              <w:ind w:firstLine="0" w:firstLineChars="0"/>
              <w:jc w:val="center"/>
              <w:rPr>
                <w:rFonts w:eastAsia="仿宋" w:cs="Times New Roman"/>
                <w:sz w:val="21"/>
                <w:szCs w:val="21"/>
              </w:rPr>
            </w:pPr>
            <w:r>
              <w:rPr>
                <w:rFonts w:eastAsia="仿宋" w:cs="Times New Roman"/>
                <w:sz w:val="21"/>
                <w:szCs w:val="21"/>
              </w:rPr>
              <w:t>小麦</w:t>
            </w:r>
          </w:p>
        </w:tc>
        <w:tc>
          <w:tcPr>
            <w:tcW w:w="2977"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14:paraId="1D126582">
            <w:pPr>
              <w:ind w:firstLine="0" w:firstLineChars="0"/>
              <w:jc w:val="center"/>
              <w:rPr>
                <w:rFonts w:eastAsia="仿宋" w:cs="Times New Roman"/>
                <w:sz w:val="21"/>
                <w:szCs w:val="21"/>
              </w:rPr>
            </w:pPr>
            <w:r>
              <w:rPr>
                <w:rFonts w:eastAsia="仿宋" w:cs="Times New Roman"/>
                <w:sz w:val="21"/>
                <w:szCs w:val="21"/>
              </w:rPr>
              <w:t>182</w:t>
            </w:r>
          </w:p>
        </w:tc>
      </w:tr>
      <w:tr w14:paraId="680013DE">
        <w:tblPrEx>
          <w:tblCellMar>
            <w:top w:w="0" w:type="dxa"/>
            <w:left w:w="0" w:type="dxa"/>
            <w:bottom w:w="0" w:type="dxa"/>
            <w:right w:w="0" w:type="dxa"/>
          </w:tblCellMar>
        </w:tblPrEx>
        <w:trPr>
          <w:trHeight w:val="356" w:hRule="atLeast"/>
          <w:jc w:val="center"/>
        </w:trPr>
        <w:tc>
          <w:tcPr>
            <w:tcW w:w="1843"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bottom"/>
          </w:tcPr>
          <w:p w14:paraId="1A7D7C56">
            <w:pPr>
              <w:ind w:firstLine="0" w:firstLineChars="0"/>
              <w:jc w:val="center"/>
              <w:rPr>
                <w:rFonts w:eastAsia="仿宋" w:cs="Times New Roman"/>
                <w:sz w:val="21"/>
                <w:szCs w:val="21"/>
              </w:rPr>
            </w:pPr>
            <w:r>
              <w:rPr>
                <w:rFonts w:eastAsia="仿宋" w:cs="Times New Roman"/>
                <w:sz w:val="21"/>
                <w:szCs w:val="21"/>
              </w:rPr>
              <w:t>4</w:t>
            </w:r>
          </w:p>
        </w:tc>
        <w:tc>
          <w:tcPr>
            <w:tcW w:w="2268"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14:paraId="29419184">
            <w:pPr>
              <w:ind w:firstLine="0" w:firstLineChars="0"/>
              <w:jc w:val="center"/>
              <w:rPr>
                <w:rFonts w:eastAsia="仿宋" w:cs="Times New Roman"/>
                <w:sz w:val="21"/>
                <w:szCs w:val="21"/>
              </w:rPr>
            </w:pPr>
            <w:r>
              <w:rPr>
                <w:rFonts w:eastAsia="仿宋" w:cs="Times New Roman"/>
                <w:sz w:val="21"/>
                <w:szCs w:val="21"/>
              </w:rPr>
              <w:t>蚕豆</w:t>
            </w:r>
          </w:p>
        </w:tc>
        <w:tc>
          <w:tcPr>
            <w:tcW w:w="2977"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14:paraId="5AB4FEA4">
            <w:pPr>
              <w:ind w:firstLine="0" w:firstLineChars="0"/>
              <w:jc w:val="center"/>
              <w:rPr>
                <w:rFonts w:eastAsia="仿宋" w:cs="Times New Roman"/>
                <w:sz w:val="21"/>
                <w:szCs w:val="21"/>
              </w:rPr>
            </w:pPr>
            <w:r>
              <w:rPr>
                <w:rFonts w:eastAsia="仿宋" w:cs="Times New Roman"/>
                <w:sz w:val="21"/>
                <w:szCs w:val="21"/>
              </w:rPr>
              <w:t>165</w:t>
            </w:r>
          </w:p>
        </w:tc>
      </w:tr>
      <w:tr w14:paraId="7995150B">
        <w:tblPrEx>
          <w:tblCellMar>
            <w:top w:w="0" w:type="dxa"/>
            <w:left w:w="0" w:type="dxa"/>
            <w:bottom w:w="0" w:type="dxa"/>
            <w:right w:w="0" w:type="dxa"/>
          </w:tblCellMar>
        </w:tblPrEx>
        <w:trPr>
          <w:trHeight w:val="356" w:hRule="atLeast"/>
          <w:jc w:val="center"/>
        </w:trPr>
        <w:tc>
          <w:tcPr>
            <w:tcW w:w="1843"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bottom"/>
          </w:tcPr>
          <w:p w14:paraId="286F2A19">
            <w:pPr>
              <w:ind w:firstLine="0" w:firstLineChars="0"/>
              <w:jc w:val="center"/>
              <w:rPr>
                <w:rFonts w:eastAsia="仿宋" w:cs="Times New Roman"/>
                <w:sz w:val="21"/>
                <w:szCs w:val="21"/>
              </w:rPr>
            </w:pPr>
            <w:r>
              <w:rPr>
                <w:rFonts w:eastAsia="仿宋" w:cs="Times New Roman"/>
                <w:sz w:val="21"/>
                <w:szCs w:val="21"/>
              </w:rPr>
              <w:t>5</w:t>
            </w:r>
          </w:p>
        </w:tc>
        <w:tc>
          <w:tcPr>
            <w:tcW w:w="2268"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14:paraId="5AAB1B97">
            <w:pPr>
              <w:ind w:firstLine="0" w:firstLineChars="0"/>
              <w:jc w:val="center"/>
              <w:rPr>
                <w:rFonts w:eastAsia="仿宋" w:cs="Times New Roman"/>
                <w:sz w:val="21"/>
                <w:szCs w:val="21"/>
              </w:rPr>
            </w:pPr>
            <w:r>
              <w:rPr>
                <w:rFonts w:eastAsia="仿宋" w:cs="Times New Roman"/>
                <w:sz w:val="21"/>
                <w:szCs w:val="21"/>
              </w:rPr>
              <w:t>烤烟</w:t>
            </w:r>
          </w:p>
        </w:tc>
        <w:tc>
          <w:tcPr>
            <w:tcW w:w="2977"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14:paraId="311E6684">
            <w:pPr>
              <w:ind w:firstLine="0" w:firstLineChars="0"/>
              <w:jc w:val="center"/>
              <w:rPr>
                <w:rFonts w:eastAsia="仿宋" w:cs="Times New Roman"/>
                <w:sz w:val="21"/>
                <w:szCs w:val="21"/>
              </w:rPr>
            </w:pPr>
            <w:r>
              <w:rPr>
                <w:rFonts w:eastAsia="仿宋" w:cs="Times New Roman"/>
                <w:sz w:val="21"/>
                <w:szCs w:val="21"/>
              </w:rPr>
              <w:t>105</w:t>
            </w:r>
          </w:p>
        </w:tc>
      </w:tr>
      <w:tr w14:paraId="4B6A856C">
        <w:tblPrEx>
          <w:tblCellMar>
            <w:top w:w="0" w:type="dxa"/>
            <w:left w:w="0" w:type="dxa"/>
            <w:bottom w:w="0" w:type="dxa"/>
            <w:right w:w="0" w:type="dxa"/>
          </w:tblCellMar>
        </w:tblPrEx>
        <w:trPr>
          <w:trHeight w:val="356" w:hRule="atLeast"/>
          <w:jc w:val="center"/>
        </w:trPr>
        <w:tc>
          <w:tcPr>
            <w:tcW w:w="1843"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bottom"/>
          </w:tcPr>
          <w:p w14:paraId="042B120B">
            <w:pPr>
              <w:ind w:firstLine="0" w:firstLineChars="0"/>
              <w:jc w:val="center"/>
              <w:rPr>
                <w:rFonts w:eastAsia="仿宋" w:cs="Times New Roman"/>
                <w:sz w:val="21"/>
                <w:szCs w:val="21"/>
              </w:rPr>
            </w:pPr>
            <w:r>
              <w:rPr>
                <w:rFonts w:eastAsia="仿宋" w:cs="Times New Roman"/>
                <w:sz w:val="21"/>
                <w:szCs w:val="21"/>
              </w:rPr>
              <w:t>6</w:t>
            </w:r>
          </w:p>
        </w:tc>
        <w:tc>
          <w:tcPr>
            <w:tcW w:w="2268"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14:paraId="14552C12">
            <w:pPr>
              <w:ind w:firstLine="0" w:firstLineChars="0"/>
              <w:jc w:val="center"/>
              <w:rPr>
                <w:rFonts w:eastAsia="仿宋" w:cs="Times New Roman"/>
                <w:sz w:val="21"/>
                <w:szCs w:val="21"/>
              </w:rPr>
            </w:pPr>
            <w:r>
              <w:rPr>
                <w:rFonts w:eastAsia="仿宋" w:cs="Times New Roman"/>
                <w:sz w:val="21"/>
                <w:szCs w:val="21"/>
              </w:rPr>
              <w:t>薯类</w:t>
            </w:r>
          </w:p>
        </w:tc>
        <w:tc>
          <w:tcPr>
            <w:tcW w:w="2977"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14:paraId="3F5E212A">
            <w:pPr>
              <w:ind w:firstLine="0" w:firstLineChars="0"/>
              <w:jc w:val="center"/>
              <w:rPr>
                <w:rFonts w:eastAsia="仿宋" w:cs="Times New Roman"/>
                <w:sz w:val="21"/>
                <w:szCs w:val="21"/>
              </w:rPr>
            </w:pPr>
            <w:r>
              <w:rPr>
                <w:rFonts w:eastAsia="仿宋" w:cs="Times New Roman"/>
                <w:sz w:val="21"/>
                <w:szCs w:val="21"/>
              </w:rPr>
              <w:t>47</w:t>
            </w:r>
          </w:p>
        </w:tc>
      </w:tr>
      <w:tr w14:paraId="46AA0CEE">
        <w:tblPrEx>
          <w:tblCellMar>
            <w:top w:w="0" w:type="dxa"/>
            <w:left w:w="0" w:type="dxa"/>
            <w:bottom w:w="0" w:type="dxa"/>
            <w:right w:w="0" w:type="dxa"/>
          </w:tblCellMar>
        </w:tblPrEx>
        <w:trPr>
          <w:trHeight w:val="356" w:hRule="atLeast"/>
          <w:jc w:val="center"/>
        </w:trPr>
        <w:tc>
          <w:tcPr>
            <w:tcW w:w="1843"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bottom"/>
          </w:tcPr>
          <w:p w14:paraId="24C7C0F9">
            <w:pPr>
              <w:ind w:firstLine="0" w:firstLineChars="0"/>
              <w:jc w:val="center"/>
              <w:rPr>
                <w:rFonts w:eastAsia="仿宋" w:cs="Times New Roman"/>
                <w:sz w:val="21"/>
                <w:szCs w:val="21"/>
              </w:rPr>
            </w:pPr>
            <w:r>
              <w:rPr>
                <w:rFonts w:eastAsia="仿宋" w:cs="Times New Roman"/>
                <w:sz w:val="21"/>
                <w:szCs w:val="21"/>
              </w:rPr>
              <w:t>7</w:t>
            </w:r>
          </w:p>
        </w:tc>
        <w:tc>
          <w:tcPr>
            <w:tcW w:w="2268"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14:paraId="7309212C">
            <w:pPr>
              <w:ind w:firstLine="0" w:firstLineChars="0"/>
              <w:jc w:val="center"/>
              <w:rPr>
                <w:rFonts w:eastAsia="仿宋" w:cs="Times New Roman"/>
                <w:sz w:val="21"/>
                <w:szCs w:val="21"/>
              </w:rPr>
            </w:pPr>
            <w:r>
              <w:rPr>
                <w:rFonts w:eastAsia="仿宋" w:cs="Times New Roman"/>
                <w:sz w:val="21"/>
                <w:szCs w:val="21"/>
              </w:rPr>
              <w:t>蔬菜（瓜果类）</w:t>
            </w:r>
          </w:p>
        </w:tc>
        <w:tc>
          <w:tcPr>
            <w:tcW w:w="2977"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14:paraId="39F522CD">
            <w:pPr>
              <w:ind w:firstLine="0" w:firstLineChars="0"/>
              <w:jc w:val="center"/>
              <w:rPr>
                <w:rFonts w:eastAsia="仿宋" w:cs="Times New Roman"/>
                <w:sz w:val="21"/>
                <w:szCs w:val="21"/>
              </w:rPr>
            </w:pPr>
            <w:r>
              <w:rPr>
                <w:rFonts w:eastAsia="仿宋" w:cs="Times New Roman"/>
                <w:sz w:val="21"/>
                <w:szCs w:val="21"/>
              </w:rPr>
              <w:t>217</w:t>
            </w:r>
          </w:p>
        </w:tc>
      </w:tr>
      <w:tr w14:paraId="7D30501E">
        <w:tblPrEx>
          <w:tblCellMar>
            <w:top w:w="0" w:type="dxa"/>
            <w:left w:w="0" w:type="dxa"/>
            <w:bottom w:w="0" w:type="dxa"/>
            <w:right w:w="0" w:type="dxa"/>
          </w:tblCellMar>
        </w:tblPrEx>
        <w:trPr>
          <w:trHeight w:val="356" w:hRule="atLeast"/>
          <w:jc w:val="center"/>
        </w:trPr>
        <w:tc>
          <w:tcPr>
            <w:tcW w:w="1843"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bottom"/>
          </w:tcPr>
          <w:p w14:paraId="0444D159">
            <w:pPr>
              <w:ind w:firstLine="0" w:firstLineChars="0"/>
              <w:jc w:val="center"/>
              <w:rPr>
                <w:rFonts w:eastAsia="仿宋" w:cs="Times New Roman"/>
                <w:sz w:val="21"/>
                <w:szCs w:val="21"/>
              </w:rPr>
            </w:pPr>
            <w:r>
              <w:rPr>
                <w:rFonts w:eastAsia="仿宋" w:cs="Times New Roman"/>
                <w:sz w:val="21"/>
                <w:szCs w:val="21"/>
              </w:rPr>
              <w:t>8</w:t>
            </w:r>
          </w:p>
        </w:tc>
        <w:tc>
          <w:tcPr>
            <w:tcW w:w="2268"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14:paraId="76528504">
            <w:pPr>
              <w:ind w:firstLine="0" w:firstLineChars="0"/>
              <w:jc w:val="center"/>
              <w:rPr>
                <w:rFonts w:eastAsia="仿宋" w:cs="Times New Roman"/>
                <w:sz w:val="21"/>
                <w:szCs w:val="21"/>
              </w:rPr>
            </w:pPr>
            <w:r>
              <w:rPr>
                <w:rFonts w:eastAsia="仿宋" w:cs="Times New Roman"/>
                <w:sz w:val="21"/>
                <w:szCs w:val="21"/>
              </w:rPr>
              <w:t>蔬菜（茎叶类）</w:t>
            </w:r>
          </w:p>
        </w:tc>
        <w:tc>
          <w:tcPr>
            <w:tcW w:w="2977"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14:paraId="5877C96D">
            <w:pPr>
              <w:ind w:firstLine="0" w:firstLineChars="0"/>
              <w:jc w:val="center"/>
              <w:rPr>
                <w:rFonts w:eastAsia="仿宋" w:cs="Times New Roman"/>
                <w:sz w:val="21"/>
                <w:szCs w:val="21"/>
              </w:rPr>
            </w:pPr>
            <w:r>
              <w:rPr>
                <w:rFonts w:eastAsia="仿宋" w:cs="Times New Roman"/>
                <w:sz w:val="21"/>
                <w:szCs w:val="21"/>
              </w:rPr>
              <w:t>565</w:t>
            </w:r>
          </w:p>
        </w:tc>
      </w:tr>
      <w:tr w14:paraId="6DA6E8D2">
        <w:tblPrEx>
          <w:tblCellMar>
            <w:top w:w="0" w:type="dxa"/>
            <w:left w:w="0" w:type="dxa"/>
            <w:bottom w:w="0" w:type="dxa"/>
            <w:right w:w="0" w:type="dxa"/>
          </w:tblCellMar>
        </w:tblPrEx>
        <w:trPr>
          <w:trHeight w:val="356" w:hRule="atLeast"/>
          <w:jc w:val="center"/>
        </w:trPr>
        <w:tc>
          <w:tcPr>
            <w:tcW w:w="1843"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bottom"/>
          </w:tcPr>
          <w:p w14:paraId="20ACC77D">
            <w:pPr>
              <w:ind w:firstLine="0" w:firstLineChars="0"/>
              <w:jc w:val="center"/>
              <w:rPr>
                <w:rFonts w:eastAsia="仿宋" w:cs="Times New Roman"/>
                <w:sz w:val="21"/>
                <w:szCs w:val="21"/>
              </w:rPr>
            </w:pPr>
            <w:r>
              <w:rPr>
                <w:rFonts w:eastAsia="仿宋" w:cs="Times New Roman"/>
                <w:sz w:val="21"/>
                <w:szCs w:val="21"/>
              </w:rPr>
              <w:t>9</w:t>
            </w:r>
          </w:p>
        </w:tc>
        <w:tc>
          <w:tcPr>
            <w:tcW w:w="2268"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14:paraId="39B49E12">
            <w:pPr>
              <w:ind w:firstLine="0" w:firstLineChars="0"/>
              <w:jc w:val="center"/>
              <w:rPr>
                <w:rFonts w:eastAsia="仿宋" w:cs="Times New Roman"/>
                <w:sz w:val="21"/>
                <w:szCs w:val="21"/>
              </w:rPr>
            </w:pPr>
            <w:r>
              <w:rPr>
                <w:rFonts w:eastAsia="仿宋" w:cs="Times New Roman"/>
                <w:sz w:val="21"/>
                <w:szCs w:val="21"/>
              </w:rPr>
              <w:t>露天花卉</w:t>
            </w:r>
          </w:p>
        </w:tc>
        <w:tc>
          <w:tcPr>
            <w:tcW w:w="2977"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14:paraId="0885A439">
            <w:pPr>
              <w:ind w:firstLine="0" w:firstLineChars="0"/>
              <w:jc w:val="center"/>
              <w:rPr>
                <w:rFonts w:eastAsia="仿宋" w:cs="Times New Roman"/>
                <w:sz w:val="21"/>
                <w:szCs w:val="21"/>
              </w:rPr>
            </w:pPr>
            <w:r>
              <w:rPr>
                <w:rFonts w:eastAsia="仿宋" w:cs="Times New Roman"/>
                <w:sz w:val="21"/>
                <w:szCs w:val="21"/>
              </w:rPr>
              <w:t>302</w:t>
            </w:r>
          </w:p>
        </w:tc>
      </w:tr>
      <w:tr w14:paraId="1E8B42BD">
        <w:tblPrEx>
          <w:tblCellMar>
            <w:top w:w="0" w:type="dxa"/>
            <w:left w:w="0" w:type="dxa"/>
            <w:bottom w:w="0" w:type="dxa"/>
            <w:right w:w="0" w:type="dxa"/>
          </w:tblCellMar>
        </w:tblPrEx>
        <w:trPr>
          <w:trHeight w:val="356" w:hRule="atLeast"/>
          <w:jc w:val="center"/>
        </w:trPr>
        <w:tc>
          <w:tcPr>
            <w:tcW w:w="1843"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bottom"/>
          </w:tcPr>
          <w:p w14:paraId="6E83FDF1">
            <w:pPr>
              <w:ind w:firstLine="0" w:firstLineChars="0"/>
              <w:jc w:val="center"/>
              <w:rPr>
                <w:rFonts w:eastAsia="仿宋" w:cs="Times New Roman"/>
                <w:sz w:val="21"/>
                <w:szCs w:val="21"/>
              </w:rPr>
            </w:pPr>
            <w:r>
              <w:rPr>
                <w:rFonts w:eastAsia="仿宋" w:cs="Times New Roman"/>
                <w:sz w:val="21"/>
                <w:szCs w:val="21"/>
              </w:rPr>
              <w:t>10</w:t>
            </w:r>
          </w:p>
        </w:tc>
        <w:tc>
          <w:tcPr>
            <w:tcW w:w="2268"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14:paraId="3FE88977">
            <w:pPr>
              <w:ind w:firstLine="0" w:firstLineChars="0"/>
              <w:jc w:val="center"/>
              <w:rPr>
                <w:rFonts w:eastAsia="仿宋" w:cs="Times New Roman"/>
                <w:sz w:val="21"/>
                <w:szCs w:val="21"/>
              </w:rPr>
            </w:pPr>
            <w:r>
              <w:rPr>
                <w:rFonts w:eastAsia="仿宋" w:cs="Times New Roman"/>
                <w:sz w:val="21"/>
                <w:szCs w:val="21"/>
              </w:rPr>
              <w:t>大棚花卉</w:t>
            </w:r>
          </w:p>
        </w:tc>
        <w:tc>
          <w:tcPr>
            <w:tcW w:w="2977"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14:paraId="624055D4">
            <w:pPr>
              <w:ind w:firstLine="0" w:firstLineChars="0"/>
              <w:jc w:val="center"/>
              <w:rPr>
                <w:rFonts w:eastAsia="仿宋" w:cs="Times New Roman"/>
                <w:sz w:val="21"/>
                <w:szCs w:val="21"/>
              </w:rPr>
            </w:pPr>
            <w:r>
              <w:rPr>
                <w:rFonts w:eastAsia="仿宋" w:cs="Times New Roman"/>
                <w:sz w:val="21"/>
                <w:szCs w:val="21"/>
              </w:rPr>
              <w:t>745</w:t>
            </w:r>
          </w:p>
        </w:tc>
      </w:tr>
      <w:tr w14:paraId="65B1DEA5">
        <w:tblPrEx>
          <w:tblCellMar>
            <w:top w:w="0" w:type="dxa"/>
            <w:left w:w="0" w:type="dxa"/>
            <w:bottom w:w="0" w:type="dxa"/>
            <w:right w:w="0" w:type="dxa"/>
          </w:tblCellMar>
        </w:tblPrEx>
        <w:trPr>
          <w:trHeight w:val="375" w:hRule="atLeast"/>
          <w:jc w:val="center"/>
        </w:trPr>
        <w:tc>
          <w:tcPr>
            <w:tcW w:w="1843"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bottom"/>
          </w:tcPr>
          <w:p w14:paraId="641F706B">
            <w:pPr>
              <w:ind w:firstLine="0" w:firstLineChars="0"/>
              <w:jc w:val="center"/>
              <w:rPr>
                <w:rFonts w:eastAsia="仿宋" w:cs="Times New Roman"/>
                <w:sz w:val="21"/>
                <w:szCs w:val="21"/>
              </w:rPr>
            </w:pPr>
            <w:r>
              <w:rPr>
                <w:rFonts w:eastAsia="仿宋" w:cs="Times New Roman"/>
                <w:sz w:val="21"/>
                <w:szCs w:val="21"/>
              </w:rPr>
              <w:t>11</w:t>
            </w:r>
          </w:p>
        </w:tc>
        <w:tc>
          <w:tcPr>
            <w:tcW w:w="2268"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14:paraId="61F9A922">
            <w:pPr>
              <w:ind w:firstLine="0" w:firstLineChars="0"/>
              <w:jc w:val="center"/>
              <w:rPr>
                <w:rFonts w:eastAsia="仿宋" w:cs="Times New Roman"/>
                <w:sz w:val="21"/>
                <w:szCs w:val="21"/>
              </w:rPr>
            </w:pPr>
            <w:r>
              <w:rPr>
                <w:rFonts w:eastAsia="仿宋" w:cs="Times New Roman"/>
                <w:sz w:val="21"/>
                <w:szCs w:val="21"/>
              </w:rPr>
              <w:t>果类（木本类）</w:t>
            </w:r>
          </w:p>
        </w:tc>
        <w:tc>
          <w:tcPr>
            <w:tcW w:w="2977"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14:paraId="6BB834D1">
            <w:pPr>
              <w:ind w:firstLine="0" w:firstLineChars="0"/>
              <w:jc w:val="center"/>
              <w:rPr>
                <w:rFonts w:eastAsia="仿宋" w:cs="Times New Roman"/>
                <w:sz w:val="21"/>
                <w:szCs w:val="21"/>
              </w:rPr>
            </w:pPr>
            <w:r>
              <w:rPr>
                <w:rFonts w:eastAsia="仿宋" w:cs="Times New Roman"/>
                <w:sz w:val="21"/>
                <w:szCs w:val="21"/>
              </w:rPr>
              <w:t>57</w:t>
            </w:r>
          </w:p>
        </w:tc>
      </w:tr>
      <w:tr w14:paraId="662DA685">
        <w:tblPrEx>
          <w:tblCellMar>
            <w:top w:w="0" w:type="dxa"/>
            <w:left w:w="0" w:type="dxa"/>
            <w:bottom w:w="0" w:type="dxa"/>
            <w:right w:w="0" w:type="dxa"/>
          </w:tblCellMar>
        </w:tblPrEx>
        <w:trPr>
          <w:trHeight w:val="375" w:hRule="atLeast"/>
          <w:jc w:val="center"/>
        </w:trPr>
        <w:tc>
          <w:tcPr>
            <w:tcW w:w="1843"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bottom"/>
          </w:tcPr>
          <w:p w14:paraId="6D6788D5">
            <w:pPr>
              <w:ind w:firstLine="0" w:firstLineChars="0"/>
              <w:jc w:val="center"/>
              <w:rPr>
                <w:rFonts w:eastAsia="仿宋" w:cs="Times New Roman"/>
                <w:sz w:val="21"/>
                <w:szCs w:val="21"/>
              </w:rPr>
            </w:pPr>
            <w:r>
              <w:rPr>
                <w:rFonts w:eastAsia="仿宋" w:cs="Times New Roman"/>
                <w:sz w:val="21"/>
                <w:szCs w:val="21"/>
              </w:rPr>
              <w:t>12</w:t>
            </w:r>
          </w:p>
        </w:tc>
        <w:tc>
          <w:tcPr>
            <w:tcW w:w="2268"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14:paraId="4D8E51C9">
            <w:pPr>
              <w:ind w:firstLine="0" w:firstLineChars="0"/>
              <w:jc w:val="center"/>
              <w:rPr>
                <w:rFonts w:eastAsia="仿宋" w:cs="Times New Roman"/>
                <w:sz w:val="21"/>
                <w:szCs w:val="21"/>
              </w:rPr>
            </w:pPr>
            <w:r>
              <w:rPr>
                <w:rFonts w:eastAsia="仿宋" w:cs="Times New Roman"/>
                <w:sz w:val="21"/>
                <w:szCs w:val="21"/>
              </w:rPr>
              <w:t>果类（草本类）</w:t>
            </w:r>
          </w:p>
        </w:tc>
        <w:tc>
          <w:tcPr>
            <w:tcW w:w="2977"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14:paraId="60C5E9A7">
            <w:pPr>
              <w:ind w:firstLine="0" w:firstLineChars="0"/>
              <w:jc w:val="center"/>
              <w:rPr>
                <w:rFonts w:eastAsia="仿宋" w:cs="Times New Roman"/>
                <w:sz w:val="21"/>
                <w:szCs w:val="21"/>
              </w:rPr>
            </w:pPr>
            <w:r>
              <w:rPr>
                <w:rFonts w:eastAsia="仿宋" w:cs="Times New Roman"/>
                <w:sz w:val="21"/>
                <w:szCs w:val="21"/>
              </w:rPr>
              <w:t>92</w:t>
            </w:r>
          </w:p>
        </w:tc>
      </w:tr>
    </w:tbl>
    <w:p w14:paraId="4BBEC95A">
      <w:pPr>
        <w:pStyle w:val="3"/>
        <w:rPr>
          <w:rFonts w:ascii="Times New Roman" w:hAnsi="Times New Roman" w:cs="Times New Roman"/>
        </w:rPr>
      </w:pPr>
      <w:bookmarkStart w:id="30" w:name="_Toc109121650"/>
      <w:r>
        <w:rPr>
          <w:rFonts w:ascii="Times New Roman" w:hAnsi="Times New Roman" w:cs="Times New Roman"/>
        </w:rPr>
        <w:t>农业水价形成机制</w:t>
      </w:r>
      <w:bookmarkEnd w:id="30"/>
    </w:p>
    <w:p w14:paraId="463F7040">
      <w:pPr>
        <w:pStyle w:val="73"/>
        <w:rPr>
          <w:rFonts w:cs="Times New Roman"/>
        </w:rPr>
      </w:pPr>
      <w:bookmarkStart w:id="31" w:name="_Toc79676293"/>
      <w:bookmarkStart w:id="32" w:name="_Toc109121651"/>
      <w:r>
        <w:rPr>
          <w:rFonts w:cs="Times New Roman"/>
        </w:rPr>
        <w:t>水价改革模式</w:t>
      </w:r>
      <w:bookmarkEnd w:id="31"/>
      <w:bookmarkEnd w:id="32"/>
    </w:p>
    <w:p w14:paraId="2D10230F">
      <w:pPr>
        <w:ind w:firstLine="560"/>
        <w:rPr>
          <w:rFonts w:cs="Times New Roman" w:eastAsiaTheme="minorEastAsia"/>
        </w:rPr>
      </w:pPr>
      <w:r>
        <w:rPr>
          <w:rFonts w:cs="Times New Roman" w:eastAsiaTheme="minorEastAsia"/>
        </w:rPr>
        <w:t>按照有关规定认真测算农业供水成本，并综合考虑水资源稀缺程度以及用户承受能力等因素，合理制定农业用水价格。根据富民县实际情况，富民县农业水价综合改革实行“超用加价”模式。“超用加价”模式是指农业灌溉用水超水权、超定额加价收缴水费，低于灌溉用水定额进行节水奖励。</w:t>
      </w:r>
    </w:p>
    <w:p w14:paraId="5323C4A8">
      <w:pPr>
        <w:ind w:firstLine="560"/>
        <w:rPr>
          <w:rFonts w:cs="Times New Roman" w:eastAsiaTheme="minorEastAsia"/>
        </w:rPr>
      </w:pPr>
      <w:r>
        <w:rPr>
          <w:rFonts w:cs="Times New Roman" w:eastAsiaTheme="minorEastAsia"/>
        </w:rPr>
        <w:t>根据</w:t>
      </w:r>
      <w:r>
        <w:rPr>
          <w:rFonts w:cs="Times New Roman" w:eastAsiaTheme="minorEastAsia"/>
          <w:color w:val="000000"/>
          <w:shd w:val="clear" w:color="auto" w:fill="FFFFFF"/>
        </w:rPr>
        <w:t>《云南省人民政府办公厅关于加快推进水利工程供水价格改革的指导意见》（云政办发〔2016〕28号）</w:t>
      </w:r>
      <w:r>
        <w:rPr>
          <w:rFonts w:cs="Times New Roman" w:eastAsiaTheme="minorEastAsia"/>
        </w:rPr>
        <w:t>的通知：探索实施超定额（计划）累进加价制度。在明确用水总量封顶的前提下，农业用水参照《云南省用水定额》（云水发﹝2019﹞122号）的作物灌溉定额，区分不同作物，合理制定农业用水定额；充分考虑节水设施建设和节水技术推广应用情况，对超定额（计划）用水实行累进加价。</w:t>
      </w:r>
    </w:p>
    <w:p w14:paraId="0EC8511A">
      <w:pPr>
        <w:pStyle w:val="73"/>
        <w:rPr>
          <w:rFonts w:cs="Times New Roman"/>
        </w:rPr>
      </w:pPr>
      <w:bookmarkStart w:id="33" w:name="_Toc79676294"/>
      <w:bookmarkStart w:id="34" w:name="_Toc109121652"/>
      <w:r>
        <w:rPr>
          <w:rFonts w:cs="Times New Roman"/>
        </w:rPr>
        <w:t>现行水价</w:t>
      </w:r>
      <w:bookmarkEnd w:id="33"/>
      <w:bookmarkEnd w:id="34"/>
    </w:p>
    <w:p w14:paraId="79C4A7D1">
      <w:pPr>
        <w:ind w:firstLine="560"/>
        <w:rPr>
          <w:rFonts w:cs="Times New Roman" w:eastAsiaTheme="minorEastAsia"/>
          <w:szCs w:val="28"/>
        </w:rPr>
      </w:pPr>
      <w:r>
        <w:rPr>
          <w:rFonts w:cs="Times New Roman" w:eastAsiaTheme="minorEastAsia"/>
          <w:szCs w:val="28"/>
        </w:rPr>
        <w:t>2020年4月，委托第三方技术服务单位对富民县供水成本进行综合核算，按运行维护成本水平标准，确定了富民县全县供水全成本水价为0.62元/m</w:t>
      </w:r>
      <w:r>
        <w:rPr>
          <w:rFonts w:cs="Times New Roman" w:eastAsiaTheme="minorEastAsia"/>
          <w:szCs w:val="28"/>
          <w:vertAlign w:val="superscript"/>
        </w:rPr>
        <w:t>3</w:t>
      </w:r>
      <w:r>
        <w:rPr>
          <w:rFonts w:cs="Times New Roman" w:eastAsiaTheme="minorEastAsia"/>
          <w:szCs w:val="28"/>
        </w:rPr>
        <w:t>，运行成本水价为0.42元/m</w:t>
      </w:r>
      <w:r>
        <w:rPr>
          <w:rFonts w:cs="Times New Roman" w:eastAsiaTheme="minorEastAsia"/>
          <w:szCs w:val="28"/>
          <w:vertAlign w:val="superscript"/>
        </w:rPr>
        <w:t>3</w:t>
      </w:r>
      <w:r>
        <w:rPr>
          <w:rFonts w:cs="Times New Roman" w:eastAsiaTheme="minorEastAsia"/>
          <w:szCs w:val="28"/>
        </w:rPr>
        <w:t>。考虑到有关项目区为干旱缺水地区，水资源十分匮乏，工程建设后仍需厉行节约，防止不必要的浪费，经项目区用水合作社召开社员会议讨论协商，表决通过，最终分别确定各项目区灌溉用水执行水价标准。截止目前，全县7镇（街）共有11个片区试点项目通过协商确定了供水价格，另有4个片区试点项目正开展供水成本测算，为下一步协商定价奠定基础。</w:t>
      </w:r>
    </w:p>
    <w:p w14:paraId="3BA07BF7">
      <w:pPr>
        <w:ind w:firstLine="560"/>
        <w:rPr>
          <w:rFonts w:cs="Times New Roman" w:eastAsiaTheme="minorEastAsia"/>
          <w:szCs w:val="28"/>
        </w:rPr>
      </w:pPr>
      <w:r>
        <w:rPr>
          <w:rFonts w:cs="Times New Roman" w:eastAsiaTheme="minorEastAsia"/>
          <w:szCs w:val="28"/>
        </w:rPr>
        <w:t>按类型分别定价，富民县山区小水网人畜饮水：2~3元/m</w:t>
      </w:r>
      <w:r>
        <w:rPr>
          <w:rFonts w:cs="Times New Roman" w:eastAsiaTheme="minorEastAsia"/>
          <w:szCs w:val="28"/>
          <w:vertAlign w:val="superscript"/>
        </w:rPr>
        <w:t>3</w:t>
      </w:r>
      <w:r>
        <w:rPr>
          <w:rFonts w:cs="Times New Roman" w:eastAsiaTheme="minorEastAsia"/>
          <w:szCs w:val="28"/>
        </w:rPr>
        <w:t>，灌溉用水5元/m</w:t>
      </w:r>
      <w:r>
        <w:rPr>
          <w:rFonts w:cs="Times New Roman" w:eastAsiaTheme="minorEastAsia"/>
          <w:szCs w:val="28"/>
          <w:vertAlign w:val="superscript"/>
        </w:rPr>
        <w:t>3</w:t>
      </w:r>
      <w:r>
        <w:rPr>
          <w:rFonts w:cs="Times New Roman" w:eastAsiaTheme="minorEastAsia"/>
          <w:szCs w:val="28"/>
        </w:rPr>
        <w:t>；高效节水灌溉2~3元/m</w:t>
      </w:r>
      <w:r>
        <w:rPr>
          <w:rFonts w:cs="Times New Roman" w:eastAsiaTheme="minorEastAsia"/>
          <w:szCs w:val="28"/>
          <w:vertAlign w:val="superscript"/>
        </w:rPr>
        <w:t>3</w:t>
      </w:r>
      <w:r>
        <w:rPr>
          <w:rFonts w:cs="Times New Roman" w:eastAsiaTheme="minorEastAsia"/>
          <w:szCs w:val="28"/>
        </w:rPr>
        <w:t>；泵站管网建设1~3元/m</w:t>
      </w:r>
      <w:r>
        <w:rPr>
          <w:rFonts w:cs="Times New Roman" w:eastAsiaTheme="minorEastAsia"/>
          <w:szCs w:val="28"/>
          <w:vertAlign w:val="superscript"/>
        </w:rPr>
        <w:t>3</w:t>
      </w:r>
      <w:r>
        <w:rPr>
          <w:rFonts w:cs="Times New Roman" w:eastAsiaTheme="minorEastAsia"/>
          <w:szCs w:val="28"/>
        </w:rPr>
        <w:t>；水池管网建设1~2元/m</w:t>
      </w:r>
      <w:r>
        <w:rPr>
          <w:rFonts w:cs="Times New Roman" w:eastAsiaTheme="minorEastAsia"/>
          <w:szCs w:val="28"/>
          <w:vertAlign w:val="superscript"/>
        </w:rPr>
        <w:t>3</w:t>
      </w:r>
      <w:r>
        <w:rPr>
          <w:rFonts w:cs="Times New Roman" w:eastAsiaTheme="minorEastAsia"/>
          <w:szCs w:val="28"/>
        </w:rPr>
        <w:t>；提水项目人畜饮水3元/m</w:t>
      </w:r>
      <w:r>
        <w:rPr>
          <w:rFonts w:cs="Times New Roman" w:eastAsiaTheme="minorEastAsia"/>
          <w:szCs w:val="28"/>
          <w:vertAlign w:val="superscript"/>
        </w:rPr>
        <w:t>3</w:t>
      </w:r>
      <w:r>
        <w:rPr>
          <w:rFonts w:cs="Times New Roman" w:eastAsiaTheme="minorEastAsia"/>
          <w:szCs w:val="28"/>
        </w:rPr>
        <w:t>，果园用水5元/m</w:t>
      </w:r>
      <w:r>
        <w:rPr>
          <w:rFonts w:cs="Times New Roman" w:eastAsiaTheme="minorEastAsia"/>
          <w:szCs w:val="28"/>
          <w:vertAlign w:val="superscript"/>
        </w:rPr>
        <w:t>3</w:t>
      </w:r>
      <w:r>
        <w:rPr>
          <w:rFonts w:cs="Times New Roman" w:eastAsiaTheme="minorEastAsia"/>
          <w:szCs w:val="28"/>
        </w:rPr>
        <w:t>，其它农业沟渠灌溉用水7~10元/亩。</w:t>
      </w:r>
    </w:p>
    <w:p w14:paraId="60EEECDD">
      <w:pPr>
        <w:ind w:firstLine="560"/>
        <w:rPr>
          <w:rFonts w:cs="Times New Roman" w:eastAsiaTheme="minorEastAsia"/>
          <w:szCs w:val="28"/>
        </w:rPr>
      </w:pPr>
      <w:r>
        <w:rPr>
          <w:rFonts w:hint="eastAsia" w:cs="Times New Roman" w:eastAsiaTheme="minorEastAsia"/>
          <w:szCs w:val="28"/>
        </w:rPr>
        <w:t>针对2022年农业水价综合改革，应完善改革范围内水价成本核算，并核算全县农业水价，为富民县内水价征收提供协商定价或政府定价的依据。</w:t>
      </w:r>
    </w:p>
    <w:p w14:paraId="50C741D9">
      <w:pPr>
        <w:pStyle w:val="73"/>
        <w:rPr>
          <w:rFonts w:cs="Times New Roman"/>
        </w:rPr>
      </w:pPr>
      <w:bookmarkStart w:id="35" w:name="_Toc79676295"/>
      <w:bookmarkStart w:id="36" w:name="_Toc109121653"/>
      <w:r>
        <w:rPr>
          <w:rFonts w:cs="Times New Roman"/>
        </w:rPr>
        <w:t>水价承受能力调查</w:t>
      </w:r>
      <w:bookmarkEnd w:id="35"/>
      <w:bookmarkEnd w:id="36"/>
    </w:p>
    <w:p w14:paraId="69368319">
      <w:pPr>
        <w:ind w:firstLine="560"/>
        <w:rPr>
          <w:rFonts w:cs="Times New Roman" w:eastAsiaTheme="minorEastAsia"/>
        </w:rPr>
      </w:pPr>
      <w:r>
        <w:rPr>
          <w:rFonts w:cs="Times New Roman" w:eastAsiaTheme="minorEastAsia"/>
        </w:rPr>
        <w:t>根据经验，以农业水费支出占亩均产值比例为5%～10%，农业水费支出占亩均农业净收益比例的10%～13%作为农民水费承受能力的测算标准，灌区种植结构大致可分为粮食作物、大田经济作物（瓜果、蔬菜等)、设施农业（日光温室）三种类型，种植结构和经济收入类似，按亩均净收益的11%作为农民的水费承受能力。</w:t>
      </w:r>
    </w:p>
    <w:p w14:paraId="0B931031">
      <w:pPr>
        <w:ind w:firstLine="560"/>
        <w:rPr>
          <w:rFonts w:cs="Times New Roman" w:eastAsiaTheme="minorEastAsia"/>
        </w:rPr>
      </w:pPr>
      <w:r>
        <w:rPr>
          <w:rFonts w:cs="Times New Roman" w:eastAsiaTheme="minorEastAsia"/>
        </w:rPr>
        <w:t>灌溉定额采用本次水权制度改革确定的数据；亩均产值、亩成本、亩均纯收益根据项目区作物种植制度和复种指数综合确定；各种作物的成本、收入经过入户调查，同时借鉴云南省2020年统计年鉴公布的相关数据确定。</w:t>
      </w:r>
    </w:p>
    <w:p w14:paraId="527F655D">
      <w:pPr>
        <w:ind w:firstLine="560"/>
        <w:rPr>
          <w:rFonts w:cs="Times New Roman" w:eastAsiaTheme="minorEastAsia"/>
        </w:rPr>
      </w:pPr>
      <w:r>
        <w:rPr>
          <w:rFonts w:cs="Times New Roman" w:eastAsiaTheme="minorEastAsia"/>
        </w:rPr>
        <w:t>粮食作物可承受的水价最低，设施农业可承受的水价最高，当前的执行水价和亩均水费均在群众承受范围之内。虽然水价有所提高，但水费负担增加不多，经济作物和设施农业水价有一定的上调空间，可推行差别化水价。</w:t>
      </w:r>
    </w:p>
    <w:p w14:paraId="6560340F">
      <w:pPr>
        <w:pStyle w:val="73"/>
        <w:rPr>
          <w:rFonts w:cs="Times New Roman"/>
        </w:rPr>
      </w:pPr>
      <w:bookmarkStart w:id="37" w:name="_Toc109121654"/>
      <w:bookmarkStart w:id="38" w:name="_Toc79676296"/>
      <w:r>
        <w:rPr>
          <w:rFonts w:cs="Times New Roman"/>
        </w:rPr>
        <w:t>供水水价确定</w:t>
      </w:r>
      <w:bookmarkEnd w:id="37"/>
      <w:bookmarkEnd w:id="38"/>
    </w:p>
    <w:p w14:paraId="0F84F70C">
      <w:pPr>
        <w:ind w:firstLine="560"/>
        <w:rPr>
          <w:rFonts w:cs="Times New Roman" w:eastAsiaTheme="minorEastAsia"/>
        </w:rPr>
      </w:pPr>
      <w:r>
        <w:rPr>
          <w:rFonts w:cs="Times New Roman" w:eastAsiaTheme="minorEastAsia"/>
        </w:rPr>
        <w:t>（1）水价确定：在供水成本测算的基础上，按照“补偿成本、合理收益、公平负担、促进节水”的原则确定执行水价。</w:t>
      </w:r>
    </w:p>
    <w:p w14:paraId="44D1AD3F">
      <w:pPr>
        <w:ind w:firstLine="560"/>
        <w:rPr>
          <w:rFonts w:cs="Times New Roman" w:eastAsiaTheme="minorEastAsia"/>
        </w:rPr>
      </w:pPr>
      <w:r>
        <w:rPr>
          <w:rFonts w:cs="Times New Roman" w:eastAsiaTheme="minorEastAsia"/>
        </w:rPr>
        <w:t>（2）实行差别水价：在充分考虑群众水费承受能力的前提下，终端用水环节实行差别化水价。</w:t>
      </w:r>
    </w:p>
    <w:p w14:paraId="062F7D94">
      <w:pPr>
        <w:ind w:firstLine="560"/>
        <w:rPr>
          <w:rFonts w:cs="Times New Roman" w:eastAsiaTheme="minorEastAsia"/>
        </w:rPr>
      </w:pPr>
      <w:r>
        <w:rPr>
          <w:rFonts w:cs="Times New Roman" w:eastAsiaTheme="minorEastAsia"/>
        </w:rPr>
        <w:t>（3）实行超定额累进加价。</w:t>
      </w:r>
    </w:p>
    <w:p w14:paraId="1C046E72">
      <w:pPr>
        <w:ind w:firstLine="560"/>
        <w:rPr>
          <w:rFonts w:cs="Times New Roman"/>
        </w:rPr>
      </w:pPr>
      <w:r>
        <w:rPr>
          <w:rFonts w:cs="Times New Roman" w:eastAsiaTheme="minorEastAsia"/>
        </w:rPr>
        <w:t>（4）水费收缴；对于只在渠首计量的，实行按亩收费，对于末渠精确计量的，实行按方收费。</w:t>
      </w:r>
    </w:p>
    <w:p w14:paraId="5533E9BA">
      <w:pPr>
        <w:pStyle w:val="3"/>
        <w:rPr>
          <w:rFonts w:ascii="Times New Roman" w:hAnsi="Times New Roman" w:cs="Times New Roman"/>
        </w:rPr>
      </w:pPr>
      <w:bookmarkStart w:id="39" w:name="_Toc109121655"/>
      <w:r>
        <w:rPr>
          <w:rFonts w:ascii="Times New Roman" w:hAnsi="Times New Roman" w:cs="Times New Roman"/>
        </w:rPr>
        <w:t>农民用水协会建设</w:t>
      </w:r>
      <w:bookmarkEnd w:id="39"/>
    </w:p>
    <w:p w14:paraId="52BA08D5">
      <w:pPr>
        <w:pStyle w:val="73"/>
        <w:rPr>
          <w:rFonts w:cs="Times New Roman"/>
        </w:rPr>
      </w:pPr>
      <w:bookmarkStart w:id="40" w:name="_Toc109121656"/>
      <w:r>
        <w:rPr>
          <w:rFonts w:cs="Times New Roman"/>
        </w:rPr>
        <w:t>农民用水协会性质</w:t>
      </w:r>
      <w:bookmarkEnd w:id="40"/>
    </w:p>
    <w:p w14:paraId="2D741950">
      <w:pPr>
        <w:ind w:firstLine="560"/>
        <w:rPr>
          <w:rFonts w:cs="Times New Roman"/>
        </w:rPr>
      </w:pPr>
      <w:r>
        <w:rPr>
          <w:rFonts w:cs="Times New Roman"/>
        </w:rPr>
        <w:t>农民用水户协会是在自愿的原则下，通过民主方式组建，实行自我服务、民主管理的农村用水合作组织。它属于农村专业经济合作组织的一 种，是具有法人资格，实行自主经营、独立核算、非营利性的群众性社团组织。通俗地讲，用水户协会就是农民自己的组织，由农民自己管理，为自己服务。</w:t>
      </w:r>
    </w:p>
    <w:p w14:paraId="077A95CD">
      <w:pPr>
        <w:ind w:firstLine="560"/>
        <w:rPr>
          <w:rFonts w:cs="Times New Roman"/>
        </w:rPr>
      </w:pPr>
      <w:r>
        <w:rPr>
          <w:rFonts w:cs="Times New Roman"/>
        </w:rPr>
        <w:t>按照国家法规和政策规定，农民用水户协会经过县级民政部门注册登记，取得合法地位，具有民事权利能力和民事行为能力，独立承担民事责任。接受政府和业务主管部门的指导和监督，不隶属于政府或其他组织。农民用水户协会按照国家法律、法规、政策、协会章程和内部管理制度运行，行使相应权利，承担相应义务。</w:t>
      </w:r>
    </w:p>
    <w:p w14:paraId="190549A2">
      <w:pPr>
        <w:ind w:firstLine="560"/>
        <w:rPr>
          <w:rFonts w:cs="Times New Roman"/>
        </w:rPr>
      </w:pPr>
      <w:r>
        <w:rPr>
          <w:rFonts w:cs="Times New Roman"/>
        </w:rPr>
        <w:t>农民用水户协会规范化建设就是通过依法登记，使农民用水户协会成为能够独立承担民事责任的民事主体，通过建立完善的规章制度来规范用水户的供用水行为，通过全面培训来提高协会骨干的综合管理能力和全体用水户的民主意识、守法意识、参与意识、节水意识。</w:t>
      </w:r>
    </w:p>
    <w:p w14:paraId="6755D506">
      <w:pPr>
        <w:pStyle w:val="73"/>
        <w:rPr>
          <w:rFonts w:cs="Times New Roman"/>
        </w:rPr>
      </w:pPr>
      <w:bookmarkStart w:id="41" w:name="_Toc109121657"/>
      <w:r>
        <w:rPr>
          <w:rFonts w:cs="Times New Roman"/>
        </w:rPr>
        <w:t>用水协会组建程序</w:t>
      </w:r>
      <w:bookmarkEnd w:id="41"/>
    </w:p>
    <w:p w14:paraId="77E89F6A">
      <w:pPr>
        <w:ind w:firstLine="560"/>
        <w:rPr>
          <w:rFonts w:cs="Times New Roman"/>
        </w:rPr>
      </w:pPr>
      <w:r>
        <w:rPr>
          <w:rFonts w:cs="Times New Roman"/>
        </w:rPr>
        <w:t>根据《关于加强农民用水者协会建设的意见》（水农〔2005〕502 号）要求，通过规范化建设来提高农民用水者协会人员的协调能力，培养农民用水者参与管理的意识与技能，提高他们加入协会和参加协会活动的积极性，保证协会工作顺利开展，实现农民用水自治。</w:t>
      </w:r>
    </w:p>
    <w:p w14:paraId="7A5CBEE4">
      <w:pPr>
        <w:ind w:firstLine="560"/>
        <w:rPr>
          <w:rFonts w:cs="Times New Roman"/>
        </w:rPr>
      </w:pPr>
      <w:r>
        <w:rPr>
          <w:rFonts w:cs="Times New Roman"/>
        </w:rPr>
        <w:t>组建规范的用水户协会应遵循的基本程序包括：</w:t>
      </w:r>
    </w:p>
    <w:p w14:paraId="1B2D2289">
      <w:pPr>
        <w:ind w:firstLine="560"/>
        <w:rPr>
          <w:rFonts w:cs="Times New Roman"/>
        </w:rPr>
      </w:pPr>
      <w:r>
        <w:rPr>
          <w:rFonts w:cs="Times New Roman"/>
        </w:rPr>
        <w:t>（1）成立协会筹备小组</w:t>
      </w:r>
    </w:p>
    <w:p w14:paraId="1713F31C">
      <w:pPr>
        <w:ind w:firstLine="560"/>
        <w:rPr>
          <w:rFonts w:cs="Times New Roman"/>
        </w:rPr>
      </w:pPr>
      <w:r>
        <w:rPr>
          <w:rFonts w:cs="Times New Roman"/>
        </w:rPr>
        <w:t>在计划组建用水户协会的区域内，成立一个由地方政府、水行政主管部门、村民委员会、水管单位和农民代表组成的筹备小组。</w:t>
      </w:r>
    </w:p>
    <w:p w14:paraId="0FAD9F8D">
      <w:pPr>
        <w:ind w:firstLine="560"/>
        <w:rPr>
          <w:rFonts w:cs="Times New Roman"/>
        </w:rPr>
      </w:pPr>
      <w:r>
        <w:rPr>
          <w:rFonts w:cs="Times New Roman"/>
        </w:rPr>
        <w:t>（2）宣传发动</w:t>
      </w:r>
    </w:p>
    <w:p w14:paraId="45E61E8B">
      <w:pPr>
        <w:ind w:firstLine="560"/>
        <w:rPr>
          <w:rFonts w:cs="Times New Roman"/>
        </w:rPr>
      </w:pPr>
      <w:r>
        <w:rPr>
          <w:rFonts w:cs="Times New Roman"/>
        </w:rPr>
        <w:t>要成立用水户协会必须征求农民用水户的意见，并且向农民进行宣传，让农民了解建立协会的必要性、可行性，以及协会的作用、会员的权利义务等。一定要让用水户明白，灌溉范围内的农民都有自愿选择是否加入协会的权利。为了保证拟建协会的区域内用水户对农民用水协会相关知识的了解和认识，一定要将协会知识宣传到所有的用水户。通常的宣传内容应包括：农民用水协会的概念、性质和宗旨；建立农民用水协会的作用和意义；农民用水协会的组织机构及其内部关系；农民用水协会的职责、运行和管理机制；协会会员的权利责任和义务；农民参加协会的方式，协会成立的程序和办法；组建农民用水协会的有利条件和可行性等。</w:t>
      </w:r>
    </w:p>
    <w:p w14:paraId="2C3468B8">
      <w:pPr>
        <w:ind w:firstLine="560"/>
        <w:rPr>
          <w:rFonts w:cs="Times New Roman"/>
        </w:rPr>
      </w:pPr>
      <w:r>
        <w:rPr>
          <w:rFonts w:cs="Times New Roman"/>
        </w:rPr>
        <w:t>宣传和发动的途径可以多种多样，通常的做法有召开座谈会、张贴宣传标语、黑板报、广播、电视、印发宣传资料小册子、编制用水户协会明白卡等。</w:t>
      </w:r>
    </w:p>
    <w:p w14:paraId="341AC2BF">
      <w:pPr>
        <w:ind w:firstLine="560"/>
        <w:rPr>
          <w:rFonts w:cs="Times New Roman"/>
        </w:rPr>
      </w:pPr>
      <w:r>
        <w:rPr>
          <w:rFonts w:cs="Times New Roman"/>
        </w:rPr>
        <w:t>（3）确定协会的灌溉边界</w:t>
      </w:r>
    </w:p>
    <w:p w14:paraId="797AC45A">
      <w:pPr>
        <w:ind w:firstLine="560"/>
        <w:rPr>
          <w:rFonts w:cs="Times New Roman"/>
        </w:rPr>
      </w:pPr>
      <w:r>
        <w:rPr>
          <w:rFonts w:cs="Times New Roman"/>
        </w:rPr>
        <w:t>协会筹备小组负责组织对拟成立协会的工程控制范围等基本情况进行复核。最后，根据复核结果确定协会的灌溉边界。</w:t>
      </w:r>
    </w:p>
    <w:p w14:paraId="45E3DEF3">
      <w:pPr>
        <w:ind w:firstLine="560"/>
        <w:rPr>
          <w:rFonts w:cs="Times New Roman"/>
        </w:rPr>
      </w:pPr>
      <w:r>
        <w:rPr>
          <w:rFonts w:cs="Times New Roman"/>
        </w:rPr>
        <w:t>（4）划分用水小组</w:t>
      </w:r>
    </w:p>
    <w:p w14:paraId="5F77F42D">
      <w:pPr>
        <w:ind w:firstLine="560"/>
        <w:rPr>
          <w:rFonts w:cs="Times New Roman"/>
        </w:rPr>
      </w:pPr>
      <w:r>
        <w:rPr>
          <w:rFonts w:cs="Times New Roman"/>
        </w:rPr>
        <w:t>筹备小组根据工程控制范围、灌溉管理要求和用水户分布情况提出用水小组划分草案，并通过说明会、座谈会和访谈等形式征询用水户的意见。在征得大部分用水户同意后确定用水小组划分方案，并将用水小组划分结果通知所有的用水户。</w:t>
      </w:r>
    </w:p>
    <w:p w14:paraId="1AA7AFD1">
      <w:pPr>
        <w:ind w:firstLine="560"/>
        <w:rPr>
          <w:rFonts w:cs="Times New Roman"/>
        </w:rPr>
      </w:pPr>
      <w:r>
        <w:rPr>
          <w:rFonts w:cs="Times New Roman"/>
        </w:rPr>
        <w:t>（5）农户基本情况登记</w:t>
      </w:r>
    </w:p>
    <w:p w14:paraId="189083C4">
      <w:pPr>
        <w:ind w:firstLine="560"/>
        <w:rPr>
          <w:rFonts w:cs="Times New Roman"/>
        </w:rPr>
      </w:pPr>
      <w:r>
        <w:rPr>
          <w:rFonts w:cs="Times New Roman"/>
        </w:rPr>
        <w:t>制定会员登记表和入会申请表。登记表的内容应包括户主姓名、家庭人口、农业劳动力、耕种面积、作物种植比例、灌溉面积和意见和建议。然后动员用水户填写会员登记表和入会申请表。</w:t>
      </w:r>
    </w:p>
    <w:p w14:paraId="301E807C">
      <w:pPr>
        <w:ind w:firstLine="560"/>
        <w:rPr>
          <w:rFonts w:cs="Times New Roman"/>
        </w:rPr>
      </w:pPr>
      <w:r>
        <w:rPr>
          <w:rFonts w:cs="Times New Roman"/>
        </w:rPr>
        <w:t>（6）推选用水小组用水户代表候选人</w:t>
      </w:r>
    </w:p>
    <w:p w14:paraId="2735BFF7">
      <w:pPr>
        <w:ind w:firstLine="560"/>
        <w:rPr>
          <w:rFonts w:cs="Times New Roman"/>
        </w:rPr>
      </w:pPr>
      <w:r>
        <w:rPr>
          <w:rFonts w:cs="Times New Roman"/>
        </w:rPr>
        <w:t>由协会筹备组成员组织召集召开用水小组全体用水户会议，从本用水 小组的用水户中推选用水户代表和小组长候选人，通常候选人比所需小组长和用水户代表多2～ 3 人，目前常见的推选方式是参照</w:t>
      </w:r>
      <w:r>
        <w:rPr>
          <w:rFonts w:hint="eastAsia" w:cs="Times New Roman"/>
          <w:lang w:eastAsia="zh-CN"/>
        </w:rPr>
        <w:t>村民委员会组织法</w:t>
      </w:r>
      <w:r>
        <w:rPr>
          <w:rFonts w:cs="Times New Roman"/>
        </w:rPr>
        <w:t>进行，一般是一户一票。</w:t>
      </w:r>
    </w:p>
    <w:p w14:paraId="4AC968B0">
      <w:pPr>
        <w:ind w:firstLine="560"/>
        <w:rPr>
          <w:rFonts w:cs="Times New Roman"/>
        </w:rPr>
      </w:pPr>
      <w:r>
        <w:rPr>
          <w:rFonts w:cs="Times New Roman"/>
        </w:rPr>
        <w:t>（7）推选协会候选人</w:t>
      </w:r>
    </w:p>
    <w:p w14:paraId="090100A8">
      <w:pPr>
        <w:ind w:firstLine="560"/>
        <w:rPr>
          <w:rFonts w:cs="Times New Roman"/>
        </w:rPr>
      </w:pPr>
      <w:r>
        <w:rPr>
          <w:rFonts w:cs="Times New Roman"/>
        </w:rPr>
        <w:t>在广泛听取用水户代表及广大用水户意见的基础上，由筹备小组提出农民用水协会执委会成员候选人。作为一个独立的法人社团，其规范、高效的运行主要是通过协会执委组织实现的，因此，执委会候选人一般应符合下列条件：</w:t>
      </w:r>
    </w:p>
    <w:p w14:paraId="431DBA3E">
      <w:pPr>
        <w:ind w:firstLine="560"/>
        <w:rPr>
          <w:rFonts w:cs="Times New Roman"/>
        </w:rPr>
      </w:pPr>
      <w:r>
        <w:rPr>
          <w:rFonts w:cs="Times New Roman"/>
        </w:rPr>
        <w:t>候选人必须是拟定协会范围内已申请入会的用水户；在群众中有较高的威望；有一定的组织协调能力，良好的表达能力；遵纪守法、办事公 道、热心为农民群众服务；初中以上文化程度并具有较强的协作能力；比较熟悉国家的有关方针政策；具有一定的灌溉管理和农业生产实践经验。</w:t>
      </w:r>
    </w:p>
    <w:p w14:paraId="25FC95A2">
      <w:pPr>
        <w:ind w:firstLine="560"/>
        <w:rPr>
          <w:rFonts w:cs="Times New Roman"/>
        </w:rPr>
      </w:pPr>
      <w:r>
        <w:rPr>
          <w:rFonts w:cs="Times New Roman"/>
        </w:rPr>
        <w:t>（8）拟定协会章程及管理制度草案</w:t>
      </w:r>
    </w:p>
    <w:p w14:paraId="11B85CAC">
      <w:pPr>
        <w:ind w:firstLine="560"/>
        <w:rPr>
          <w:rFonts w:cs="Times New Roman"/>
        </w:rPr>
      </w:pPr>
      <w:r>
        <w:rPr>
          <w:rFonts w:cs="Times New Roman"/>
        </w:rPr>
        <w:t>由协会筹备小组负责拟定协会章程和相关的管理制度。通常可以参考其它农民用水协会章程及相关管理制度并结合当地情况编制，协会章程及管理制度草案将在第一届用水户代表大会讨论使用。</w:t>
      </w:r>
    </w:p>
    <w:p w14:paraId="6A010A0A">
      <w:pPr>
        <w:ind w:firstLine="560"/>
        <w:rPr>
          <w:rFonts w:cs="Times New Roman"/>
        </w:rPr>
      </w:pPr>
      <w:r>
        <w:rPr>
          <w:rFonts w:cs="Times New Roman"/>
        </w:rPr>
        <w:t>（9）落实协会办公场所</w:t>
      </w:r>
    </w:p>
    <w:p w14:paraId="0BE7AA3B">
      <w:pPr>
        <w:ind w:firstLine="560"/>
        <w:rPr>
          <w:rFonts w:cs="Times New Roman"/>
        </w:rPr>
      </w:pPr>
      <w:r>
        <w:rPr>
          <w:rFonts w:cs="Times New Roman"/>
        </w:rPr>
        <w:t>保证协会有适宜的办公场所是协会运行必不可少的条件，由于协会在组建初期没有购置办公场所的经济实力，筹备小组应积极与相关部门磋 商，为协会落实协会场所，配置桌椅等必要的办公设施。</w:t>
      </w:r>
    </w:p>
    <w:p w14:paraId="06A5DA82">
      <w:pPr>
        <w:ind w:firstLine="560"/>
        <w:rPr>
          <w:rFonts w:cs="Times New Roman"/>
        </w:rPr>
      </w:pPr>
      <w:r>
        <w:rPr>
          <w:rFonts w:cs="Times New Roman"/>
        </w:rPr>
        <w:t>建议有工程建设或支持协会组建项目的地区，在不违反工程和项目要求的情况下为协会建造或划拨办公用房，并作为固定资产移交协会，也可给予协会一定的经济扶持，用于租用办公用房。</w:t>
      </w:r>
    </w:p>
    <w:p w14:paraId="7DB9B4C6">
      <w:pPr>
        <w:ind w:firstLine="560"/>
        <w:rPr>
          <w:rFonts w:cs="Times New Roman"/>
        </w:rPr>
      </w:pPr>
      <w:r>
        <w:rPr>
          <w:rFonts w:cs="Times New Roman"/>
        </w:rPr>
        <w:t>（10）召开用水户代表大会</w:t>
      </w:r>
    </w:p>
    <w:p w14:paraId="1B17F9DE">
      <w:pPr>
        <w:ind w:firstLine="560"/>
        <w:rPr>
          <w:rFonts w:cs="Times New Roman"/>
        </w:rPr>
      </w:pPr>
      <w:r>
        <w:rPr>
          <w:rFonts w:cs="Times New Roman"/>
        </w:rPr>
        <w:t>由协会筹备组组织召开第一届用水户代表大会。用水户代表大会的主要任务是：审议批准协会筹备组工作报告；审议通过协会章程和各项规章制度；确定协会内部组织结构；选举协会执委会成员，执委选举通常采用无记名投票、差额选举的办法进行；召开执委会成员第一次会议，讨论明确协会执委会成员分工；审议决定协会当年工作和活动计划。</w:t>
      </w:r>
    </w:p>
    <w:p w14:paraId="478B08BF">
      <w:pPr>
        <w:ind w:firstLine="560"/>
        <w:rPr>
          <w:rFonts w:cs="Times New Roman"/>
        </w:rPr>
      </w:pPr>
      <w:r>
        <w:rPr>
          <w:rFonts w:cs="Times New Roman"/>
        </w:rPr>
        <w:t>（11）培训执委会成员和用水户代表</w:t>
      </w:r>
    </w:p>
    <w:p w14:paraId="0BE44372">
      <w:pPr>
        <w:ind w:firstLine="560"/>
        <w:rPr>
          <w:rFonts w:cs="Times New Roman"/>
        </w:rPr>
      </w:pPr>
      <w:r>
        <w:rPr>
          <w:rFonts w:cs="Times New Roman"/>
        </w:rPr>
        <w:t>结合会员代表大会的召开，以会代训，或会后专门用一段时间对协会执委会成员、用水户代表进行管理技能培训。培训内容主要包括协会规章制度修订，灌溉用水计划编制与管理，用水计量、供水费用核算、水价制定及水费收支管理等工作的方式方法。</w:t>
      </w:r>
    </w:p>
    <w:p w14:paraId="55281C31">
      <w:pPr>
        <w:ind w:firstLine="560"/>
        <w:rPr>
          <w:rFonts w:cs="Times New Roman"/>
        </w:rPr>
      </w:pPr>
      <w:r>
        <w:rPr>
          <w:rFonts w:cs="Times New Roman"/>
        </w:rPr>
        <w:t>（12）资产评估与移交</w:t>
      </w:r>
    </w:p>
    <w:p w14:paraId="04FB4AB7">
      <w:pPr>
        <w:ind w:firstLine="560"/>
        <w:rPr>
          <w:rFonts w:cs="Times New Roman"/>
        </w:rPr>
      </w:pPr>
      <w:r>
        <w:rPr>
          <w:rFonts w:cs="Times New Roman"/>
        </w:rPr>
        <w:t>在当地政府和水利行政主管等有关部门的组织下，对农民用水协会负责管理的工程设施等进行资产评估，办理资产管理、使用权或所有权交接手续。</w:t>
      </w:r>
    </w:p>
    <w:p w14:paraId="5FDF9E4D">
      <w:pPr>
        <w:ind w:firstLine="560"/>
        <w:rPr>
          <w:rFonts w:cs="Times New Roman"/>
        </w:rPr>
      </w:pPr>
      <w:r>
        <w:rPr>
          <w:rFonts w:cs="Times New Roman"/>
        </w:rPr>
        <w:t>（13）用水户协会注册登记</w:t>
      </w:r>
    </w:p>
    <w:p w14:paraId="57517D58">
      <w:pPr>
        <w:ind w:firstLine="560"/>
        <w:rPr>
          <w:rFonts w:cs="Times New Roman"/>
        </w:rPr>
      </w:pPr>
      <w:r>
        <w:rPr>
          <w:rFonts w:cs="Times New Roman"/>
        </w:rPr>
        <w:t>完成上述协会的组建工作的协会，必须到当地民政部门登记注册，才能取得起其社团法人资格，成为具有完全民事行为能力的社团法人。注册登记的依据是民政部颁布的《关于加强农村专业经济协会培育发展和登记管理工作的指导意见》（民发[2003]148 号）。该文件简化了农村专业经济组织的登记注册程序，降低了对注册资金的要求。</w:t>
      </w:r>
    </w:p>
    <w:p w14:paraId="47050B6D">
      <w:pPr>
        <w:ind w:firstLine="560"/>
        <w:rPr>
          <w:rFonts w:cs="Times New Roman"/>
        </w:rPr>
      </w:pPr>
      <w:r>
        <w:rPr>
          <w:rFonts w:cs="Times New Roman"/>
        </w:rPr>
        <w:t>经民政部门审核批准，核发社团法人登记证书正副本各一份，由协会保存。至此，用水户协会已完全具备了从事灌溉排水服务活动的独立社团法人资格</w:t>
      </w:r>
    </w:p>
    <w:p w14:paraId="11D603A4">
      <w:pPr>
        <w:ind w:firstLine="560"/>
        <w:rPr>
          <w:rFonts w:cs="Times New Roman"/>
        </w:rPr>
      </w:pPr>
      <w:r>
        <w:rPr>
          <w:rFonts w:cs="Times New Roman"/>
        </w:rPr>
        <w:t>（14）开设银行账户</w:t>
      </w:r>
    </w:p>
    <w:p w14:paraId="56978298">
      <w:pPr>
        <w:ind w:firstLine="560"/>
        <w:rPr>
          <w:rFonts w:cs="Times New Roman"/>
        </w:rPr>
      </w:pPr>
      <w:r>
        <w:rPr>
          <w:rFonts w:cs="Times New Roman"/>
        </w:rPr>
        <w:t>财务独立是一个独立法人经济活动的基本条件，用水户协会作为独立法人，开设独立的银行账户是协会财务的独立与规范运行的基本保障。因此，协会注册登记后，应尽快持社团法人登记证书开设协会专用账户，办理独立法人经济活动所必备的其他手续。</w:t>
      </w:r>
    </w:p>
    <w:p w14:paraId="6E9BD642">
      <w:pPr>
        <w:ind w:firstLine="560"/>
        <w:rPr>
          <w:rFonts w:cs="Times New Roman"/>
        </w:rPr>
      </w:pPr>
      <w:r>
        <w:rPr>
          <w:rFonts w:cs="Times New Roman"/>
        </w:rPr>
        <w:t>（15）协会资格公示</w:t>
      </w:r>
    </w:p>
    <w:p w14:paraId="37ECF85F">
      <w:pPr>
        <w:ind w:firstLine="560"/>
        <w:rPr>
          <w:rFonts w:cs="Times New Roman"/>
        </w:rPr>
      </w:pPr>
      <w:r>
        <w:rPr>
          <w:rFonts w:cs="Times New Roman"/>
        </w:rPr>
        <w:t>完成注册登记后，协会应及时告知协会全体会员，并将社团法人登记证书副本放置在协会办公场所的醒目位置。同时，协会还应及时通知协会筹备组成员单位。</w:t>
      </w:r>
    </w:p>
    <w:p w14:paraId="20C4FB1C">
      <w:pPr>
        <w:pStyle w:val="73"/>
        <w:rPr>
          <w:rFonts w:cs="Times New Roman"/>
        </w:rPr>
      </w:pPr>
      <w:bookmarkStart w:id="42" w:name="_Toc109121658"/>
      <w:r>
        <w:rPr>
          <w:rFonts w:cs="Times New Roman"/>
        </w:rPr>
        <w:t>用水协会能力建设</w:t>
      </w:r>
      <w:bookmarkEnd w:id="42"/>
    </w:p>
    <w:p w14:paraId="1C981034">
      <w:pPr>
        <w:ind w:firstLine="560"/>
        <w:rPr>
          <w:rFonts w:cs="Times New Roman"/>
        </w:rPr>
      </w:pPr>
      <w:r>
        <w:rPr>
          <w:rFonts w:cs="Times New Roman"/>
        </w:rPr>
        <w:t>（1）加强培训</w:t>
      </w:r>
    </w:p>
    <w:p w14:paraId="72190C3B">
      <w:pPr>
        <w:ind w:firstLine="560"/>
        <w:rPr>
          <w:rFonts w:cs="Times New Roman"/>
        </w:rPr>
      </w:pPr>
      <w:r>
        <w:rPr>
          <w:rFonts w:cs="Times New Roman"/>
        </w:rPr>
        <w:t>培训分农民水者协会和项目区农民用水者两个层次进行。主要培训内容包括政策法规、工程技术、水管理技术、参与能力、协会相关知识等。对于农民的培训，着重介绍国家及有关部门的相关政策，用水者协会组建与运行知识、参与式方法、协会财务管理、工程维护、用水管理等。</w:t>
      </w:r>
    </w:p>
    <w:p w14:paraId="3A88F237">
      <w:pPr>
        <w:ind w:firstLine="560"/>
        <w:rPr>
          <w:rFonts w:cs="Times New Roman"/>
        </w:rPr>
      </w:pPr>
      <w:r>
        <w:rPr>
          <w:rFonts w:cs="Times New Roman"/>
        </w:rPr>
        <w:t>（2）健全管理机构</w:t>
      </w:r>
    </w:p>
    <w:p w14:paraId="3ED0C1A4">
      <w:pPr>
        <w:ind w:firstLine="560"/>
        <w:rPr>
          <w:rFonts w:cs="Times New Roman"/>
        </w:rPr>
      </w:pPr>
      <w:r>
        <w:rPr>
          <w:rFonts w:cs="Times New Roman"/>
        </w:rPr>
        <w:t>用水者协会的管理机构包括用水户代表大会，执行委员会，监事会。用水户代表大会是协会最高权利机构，用水户代表由各用水小组选举产生。执委会由用水户代表大会选举产生，并对代表大会负责，执委会一般由正、副主席及若干名委员组成；监事会是用水者协会的监督机构，监督协会执行机构的工作，监事会由协会农民代表，水管单位，政府部门或村委会干部等组成，监事会为用水户提供了一个监督协会负责人的平台。</w:t>
      </w:r>
    </w:p>
    <w:p w14:paraId="18ED784E">
      <w:pPr>
        <w:ind w:firstLine="560"/>
        <w:rPr>
          <w:rFonts w:cs="Times New Roman"/>
        </w:rPr>
      </w:pPr>
      <w:r>
        <w:rPr>
          <w:rFonts w:cs="Times New Roman"/>
        </w:rPr>
        <w:t>（3）完善制度体系</w:t>
      </w:r>
    </w:p>
    <w:p w14:paraId="7EAE0A2E">
      <w:pPr>
        <w:ind w:firstLine="560"/>
        <w:rPr>
          <w:rFonts w:cs="Times New Roman"/>
        </w:rPr>
      </w:pPr>
      <w:r>
        <w:rPr>
          <w:rFonts w:cs="Times New Roman"/>
        </w:rPr>
        <w:t>用水者协会要在符合国家有关法律法规的基础上，在协会内部以民主协商的方式制定与协会章程配套的规章制度。包括《协会财务管理制度》、《用水者协会灌溉管理制度》、《协会水价制定，水费计收与使用管理办法》、《用水者协会奖惩制度》、《协会执委会主席，副主席，监事会主席职责》、《用水者协会档案管理办法》、《用水者协会民主议事制度》等。</w:t>
      </w:r>
    </w:p>
    <w:p w14:paraId="101A0B5A">
      <w:pPr>
        <w:ind w:firstLine="560"/>
        <w:rPr>
          <w:rFonts w:cs="Times New Roman"/>
        </w:rPr>
      </w:pPr>
      <w:r>
        <w:rPr>
          <w:rFonts w:cs="Times New Roman"/>
        </w:rPr>
        <w:t>（4）实行民主管理</w:t>
      </w:r>
    </w:p>
    <w:p w14:paraId="1FB5B038">
      <w:pPr>
        <w:ind w:firstLine="560"/>
        <w:rPr>
          <w:rFonts w:cs="Times New Roman"/>
        </w:rPr>
      </w:pPr>
      <w:r>
        <w:rPr>
          <w:rFonts w:cs="Times New Roman"/>
        </w:rPr>
        <w:t>在日常管理中，遵循以下五条原则，</w:t>
      </w:r>
    </w:p>
    <w:p w14:paraId="458AB4C7">
      <w:pPr>
        <w:ind w:firstLine="560"/>
        <w:rPr>
          <w:rFonts w:cs="Times New Roman"/>
        </w:rPr>
      </w:pPr>
      <w:r>
        <w:rPr>
          <w:rFonts w:cs="Times New Roman"/>
        </w:rPr>
        <w:t xml:space="preserve">第一：加入和退出协会自主选择的原则； </w:t>
      </w:r>
    </w:p>
    <w:p w14:paraId="1C7BA69E">
      <w:pPr>
        <w:ind w:firstLine="560"/>
        <w:rPr>
          <w:rFonts w:cs="Times New Roman"/>
        </w:rPr>
      </w:pPr>
      <w:r>
        <w:rPr>
          <w:rFonts w:cs="Times New Roman"/>
        </w:rPr>
        <w:t>第二：实行自主管理的原则；</w:t>
      </w:r>
    </w:p>
    <w:p w14:paraId="55453050">
      <w:pPr>
        <w:ind w:firstLine="560"/>
        <w:rPr>
          <w:rFonts w:cs="Times New Roman"/>
        </w:rPr>
      </w:pPr>
      <w:r>
        <w:rPr>
          <w:rFonts w:cs="Times New Roman"/>
        </w:rPr>
        <w:t xml:space="preserve">第三：议事民主公平原则； </w:t>
      </w:r>
    </w:p>
    <w:p w14:paraId="11E89371">
      <w:pPr>
        <w:ind w:firstLine="560"/>
        <w:rPr>
          <w:rFonts w:cs="Times New Roman"/>
        </w:rPr>
      </w:pPr>
      <w:r>
        <w:rPr>
          <w:rFonts w:cs="Times New Roman"/>
        </w:rPr>
        <w:t xml:space="preserve">第四：平等参与的原则； </w:t>
      </w:r>
    </w:p>
    <w:p w14:paraId="2E5F622E">
      <w:pPr>
        <w:ind w:firstLine="560"/>
        <w:rPr>
          <w:rFonts w:cs="Times New Roman"/>
        </w:rPr>
      </w:pPr>
      <w:r>
        <w:rPr>
          <w:rFonts w:cs="Times New Roman"/>
        </w:rPr>
        <w:t>第五：公开透明的原则。</w:t>
      </w:r>
    </w:p>
    <w:p w14:paraId="722D4650">
      <w:pPr>
        <w:pStyle w:val="3"/>
        <w:rPr>
          <w:rFonts w:ascii="Times New Roman" w:hAnsi="Times New Roman" w:cs="Times New Roman"/>
        </w:rPr>
      </w:pPr>
      <w:bookmarkStart w:id="43" w:name="_Toc109121659"/>
      <w:r>
        <w:rPr>
          <w:rFonts w:ascii="Times New Roman" w:hAnsi="Times New Roman" w:cs="Times New Roman"/>
        </w:rPr>
        <w:t>建立农业用水精准补贴机制和节水奖励机制</w:t>
      </w:r>
      <w:bookmarkEnd w:id="43"/>
    </w:p>
    <w:p w14:paraId="727CDDEC">
      <w:pPr>
        <w:pStyle w:val="73"/>
        <w:rPr>
          <w:rFonts w:cs="Times New Roman"/>
        </w:rPr>
      </w:pPr>
      <w:bookmarkStart w:id="44" w:name="_Toc109121660"/>
      <w:bookmarkStart w:id="45" w:name="_Toc79676303"/>
      <w:r>
        <w:rPr>
          <w:rFonts w:cs="Times New Roman"/>
        </w:rPr>
        <w:t>奖补资金来源</w:t>
      </w:r>
      <w:bookmarkEnd w:id="44"/>
      <w:bookmarkEnd w:id="45"/>
    </w:p>
    <w:p w14:paraId="1277AE22">
      <w:pPr>
        <w:ind w:firstLine="560"/>
        <w:rPr>
          <w:rFonts w:cs="Times New Roman" w:eastAsiaTheme="minorEastAsia"/>
        </w:rPr>
      </w:pPr>
      <w:r>
        <w:rPr>
          <w:rFonts w:cs="Times New Roman" w:eastAsiaTheme="minorEastAsia"/>
        </w:rPr>
        <w:t>通过推行差别水价、超额累进加价、农业用水水资源费和政府补贴等渠道筹集资金，对农业节水进行精准补贴和奖励。</w:t>
      </w:r>
    </w:p>
    <w:p w14:paraId="05452181">
      <w:pPr>
        <w:pStyle w:val="73"/>
        <w:rPr>
          <w:rFonts w:cs="Times New Roman"/>
        </w:rPr>
      </w:pPr>
      <w:bookmarkStart w:id="46" w:name="_Toc109121661"/>
      <w:bookmarkStart w:id="47" w:name="_Toc79676304"/>
      <w:r>
        <w:rPr>
          <w:rFonts w:cs="Times New Roman"/>
        </w:rPr>
        <w:t>补贴奖励对象</w:t>
      </w:r>
      <w:bookmarkEnd w:id="46"/>
      <w:bookmarkEnd w:id="47"/>
    </w:p>
    <w:p w14:paraId="3A7CC038">
      <w:pPr>
        <w:ind w:firstLine="560"/>
        <w:rPr>
          <w:rFonts w:cs="Times New Roman"/>
        </w:rPr>
      </w:pPr>
      <w:r>
        <w:rPr>
          <w:rFonts w:cs="Times New Roman"/>
        </w:rPr>
        <w:t>水费补贴的对象是管理单位和农民用水者协会，农业节水奖励的对象是通过采取高效节水灌溉技术等实现节水的农业用水户。</w:t>
      </w:r>
    </w:p>
    <w:p w14:paraId="52A0AAE9">
      <w:pPr>
        <w:pStyle w:val="73"/>
        <w:rPr>
          <w:rFonts w:cs="Times New Roman"/>
        </w:rPr>
      </w:pPr>
      <w:bookmarkStart w:id="48" w:name="_Toc79676305"/>
      <w:bookmarkStart w:id="49" w:name="_Toc109121662"/>
      <w:r>
        <w:rPr>
          <w:rFonts w:cs="Times New Roman"/>
        </w:rPr>
        <w:t>奖补标准及方式</w:t>
      </w:r>
      <w:bookmarkEnd w:id="48"/>
      <w:bookmarkEnd w:id="49"/>
    </w:p>
    <w:p w14:paraId="16477942">
      <w:pPr>
        <w:ind w:firstLine="560"/>
        <w:rPr>
          <w:rFonts w:cs="Times New Roman" w:eastAsiaTheme="minorEastAsia"/>
        </w:rPr>
      </w:pPr>
      <w:r>
        <w:rPr>
          <w:rFonts w:cs="Times New Roman" w:eastAsiaTheme="minorEastAsia"/>
        </w:rPr>
        <w:t>超过确立的水权额度亩并低于灌溉用水定额的用水量，每节约1m</w:t>
      </w:r>
      <w:r>
        <w:rPr>
          <w:rFonts w:cs="Times New Roman" w:eastAsiaTheme="minorEastAsia"/>
          <w:vertAlign w:val="superscript"/>
        </w:rPr>
        <w:t>3</w:t>
      </w:r>
      <w:r>
        <w:rPr>
          <w:rFonts w:cs="Times New Roman" w:eastAsiaTheme="minorEastAsia"/>
        </w:rPr>
        <w:t>的水量（灌溉用水定额减去实际用水量)给予加价标准1~2倍的节水奖励。为了保证粮食安全，对种粮用水户每节约1m</w:t>
      </w:r>
      <w:r>
        <w:rPr>
          <w:rFonts w:cs="Times New Roman" w:eastAsiaTheme="minorEastAsia"/>
          <w:vertAlign w:val="superscript"/>
        </w:rPr>
        <w:t>3</w:t>
      </w:r>
      <w:r>
        <w:rPr>
          <w:rFonts w:cs="Times New Roman" w:eastAsiaTheme="minorEastAsia"/>
        </w:rPr>
        <w:t>水量，按照加价标准2倍的奖励标准给予节水奖励；对于非种粮用水户，每节约1m</w:t>
      </w:r>
      <w:r>
        <w:rPr>
          <w:rFonts w:cs="Times New Roman" w:eastAsiaTheme="minorEastAsia"/>
          <w:vertAlign w:val="superscript"/>
        </w:rPr>
        <w:t>3</w:t>
      </w:r>
      <w:r>
        <w:rPr>
          <w:rFonts w:cs="Times New Roman" w:eastAsiaTheme="minorEastAsia"/>
        </w:rPr>
        <w:t>水量，按照加价标准1倍的奖励标准给予节水奖励。</w:t>
      </w:r>
    </w:p>
    <w:p w14:paraId="6B7078E3">
      <w:pPr>
        <w:ind w:firstLine="560"/>
        <w:rPr>
          <w:rFonts w:cs="Times New Roman" w:eastAsiaTheme="minorEastAsia"/>
        </w:rPr>
        <w:sectPr>
          <w:pgSz w:w="12240" w:h="15840"/>
          <w:pgMar w:top="1440" w:right="1803" w:bottom="1440" w:left="1803" w:header="720" w:footer="720" w:gutter="0"/>
          <w:pgNumType w:fmt="numberInDash"/>
          <w:cols w:space="0" w:num="1"/>
          <w:docGrid w:linePitch="312" w:charSpace="0"/>
        </w:sectPr>
      </w:pPr>
      <w:r>
        <w:rPr>
          <w:rFonts w:cs="Times New Roman" w:eastAsiaTheme="minorEastAsia"/>
        </w:rPr>
        <w:t>节水奖励可以以现金方式直接发放，也可以作为下年度水费的预付款留存。如果农户用水高于其水权配水额度，多出的水量不但要承受高水价，还得不到节水奖励，等于双重受罚；如果农户用水低于其水权配水额度，不但少交水费，还得到了节水奖励，等于双重受益。</w:t>
      </w:r>
    </w:p>
    <w:p w14:paraId="0D79F120">
      <w:pPr>
        <w:pStyle w:val="2"/>
        <w:rPr>
          <w:rFonts w:cs="Times New Roman"/>
        </w:rPr>
      </w:pPr>
      <w:bookmarkStart w:id="50" w:name="_Toc109121663"/>
      <w:r>
        <w:rPr>
          <w:rFonts w:cs="Times New Roman"/>
        </w:rPr>
        <w:t>投资概算</w:t>
      </w:r>
      <w:bookmarkEnd w:id="50"/>
    </w:p>
    <w:p w14:paraId="109BC16D">
      <w:pPr>
        <w:pStyle w:val="3"/>
        <w:rPr>
          <w:rFonts w:ascii="Times New Roman" w:hAnsi="Times New Roman" w:cs="Times New Roman"/>
        </w:rPr>
      </w:pPr>
      <w:bookmarkStart w:id="51" w:name="_Toc109121664"/>
      <w:r>
        <w:rPr>
          <w:rFonts w:ascii="Times New Roman" w:hAnsi="Times New Roman" w:cs="Times New Roman"/>
        </w:rPr>
        <w:t>编制依据</w:t>
      </w:r>
      <w:bookmarkEnd w:id="51"/>
    </w:p>
    <w:p w14:paraId="388F8783">
      <w:pPr>
        <w:ind w:firstLine="560"/>
        <w:rPr>
          <w:rFonts w:cs="Times New Roman"/>
        </w:rPr>
      </w:pPr>
      <w:r>
        <w:rPr>
          <w:rFonts w:cs="Times New Roman"/>
        </w:rPr>
        <w:t>1、执行水利部水总【2002】116号文颁发的《水利水电建筑工程概（预）算定额》、《水利工程施工机械台时定额》；</w:t>
      </w:r>
    </w:p>
    <w:p w14:paraId="475F2DD8">
      <w:pPr>
        <w:ind w:firstLine="560"/>
        <w:rPr>
          <w:rFonts w:cs="Times New Roman"/>
        </w:rPr>
      </w:pPr>
      <w:r>
        <w:rPr>
          <w:rFonts w:cs="Times New Roman"/>
        </w:rPr>
        <w:t>2、水利部水总【2005】389号文颁发的《水利工程概预算补充定额》；</w:t>
      </w:r>
    </w:p>
    <w:p w14:paraId="239955E9">
      <w:pPr>
        <w:ind w:firstLine="560"/>
        <w:rPr>
          <w:rFonts w:cs="Times New Roman"/>
        </w:rPr>
      </w:pPr>
      <w:r>
        <w:rPr>
          <w:rFonts w:cs="Times New Roman"/>
        </w:rPr>
        <w:t>3、水利部水建管【1999】523号文颁发的《水利水电设备安装工程概算定额》；</w:t>
      </w:r>
    </w:p>
    <w:p w14:paraId="6C53E42B">
      <w:pPr>
        <w:ind w:firstLine="560"/>
        <w:rPr>
          <w:rFonts w:cs="Times New Roman"/>
        </w:rPr>
      </w:pPr>
      <w:r>
        <w:rPr>
          <w:rFonts w:cs="Times New Roman"/>
        </w:rPr>
        <w:t>4、水利部海建管【2009】80号文颁发的《水利工程概（预）算补充定额 海委部分》。</w:t>
      </w:r>
    </w:p>
    <w:p w14:paraId="204040EA">
      <w:pPr>
        <w:ind w:firstLine="560"/>
        <w:rPr>
          <w:rFonts w:cs="Times New Roman"/>
        </w:rPr>
      </w:pPr>
      <w:r>
        <w:rPr>
          <w:rFonts w:cs="Times New Roman"/>
        </w:rPr>
        <w:t>5、云南省水利厅、云南省发展和改革委员会关于印发《云南省水利工程营业税改征增值税计价依据调整办法》的通知，云水规计【2016】171号文；</w:t>
      </w:r>
    </w:p>
    <w:p w14:paraId="73FE536A">
      <w:pPr>
        <w:ind w:firstLine="560"/>
        <w:rPr>
          <w:rFonts w:cs="Times New Roman"/>
        </w:rPr>
      </w:pPr>
      <w:r>
        <w:rPr>
          <w:rFonts w:cs="Times New Roman"/>
        </w:rPr>
        <w:t>6、水利部水总【2014】429号文发布的《水利工程设计概（估）算编制规定》（工程部分）等现行计价依据的补充规定；</w:t>
      </w:r>
    </w:p>
    <w:p w14:paraId="7DD32D34">
      <w:pPr>
        <w:ind w:firstLine="560"/>
        <w:rPr>
          <w:rFonts w:cs="Times New Roman"/>
        </w:rPr>
      </w:pPr>
      <w:r>
        <w:rPr>
          <w:rFonts w:cs="Times New Roman"/>
        </w:rPr>
        <w:t>7、办水总【2016】132号文水利营改增调整依据通知；</w:t>
      </w:r>
    </w:p>
    <w:p w14:paraId="45D1E1E0">
      <w:pPr>
        <w:ind w:firstLine="560"/>
        <w:rPr>
          <w:rFonts w:cs="Times New Roman"/>
        </w:rPr>
      </w:pPr>
      <w:r>
        <w:rPr>
          <w:rFonts w:cs="Times New Roman"/>
        </w:rPr>
        <w:t>8、《云南省住房和城乡建设厅关于调整云南省建设工程造价计价依据中税金综合税率的通知》（云建标【2018】89号文）。</w:t>
      </w:r>
    </w:p>
    <w:p w14:paraId="406E229E">
      <w:pPr>
        <w:pStyle w:val="79"/>
        <w:rPr>
          <w:rFonts w:ascii="Times New Roman" w:hAnsi="Times New Roman" w:cs="Times New Roman"/>
        </w:rPr>
      </w:pPr>
      <w:r>
        <w:rPr>
          <w:rFonts w:ascii="Times New Roman" w:hAnsi="Times New Roman" w:cs="Times New Roman"/>
        </w:rPr>
        <w:t>总概算表</w:t>
      </w:r>
    </w:p>
    <w:tbl>
      <w:tblPr>
        <w:tblStyle w:val="32"/>
        <w:tblW w:w="861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24"/>
        <w:gridCol w:w="3171"/>
        <w:gridCol w:w="1444"/>
        <w:gridCol w:w="1235"/>
        <w:gridCol w:w="1028"/>
        <w:gridCol w:w="1111"/>
      </w:tblGrid>
      <w:tr w14:paraId="5AD2C0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24" w:type="dxa"/>
            <w:noWrap/>
            <w:vAlign w:val="center"/>
          </w:tcPr>
          <w:p w14:paraId="7EDD17CA">
            <w:pPr>
              <w:widowControl/>
              <w:adjustRightInd w:val="0"/>
              <w:snapToGrid w:val="0"/>
              <w:ind w:firstLine="0" w:firstLineChars="0"/>
              <w:jc w:val="center"/>
              <w:rPr>
                <w:rFonts w:eastAsia="仿宋" w:cs="Times New Roman"/>
                <w:color w:val="000000"/>
                <w:kern w:val="0"/>
                <w:sz w:val="21"/>
                <w:szCs w:val="21"/>
              </w:rPr>
            </w:pPr>
            <w:r>
              <w:rPr>
                <w:rFonts w:eastAsia="仿宋" w:cs="Times New Roman"/>
                <w:color w:val="000000"/>
                <w:kern w:val="0"/>
                <w:sz w:val="21"/>
                <w:szCs w:val="21"/>
              </w:rPr>
              <w:t>编号</w:t>
            </w:r>
          </w:p>
        </w:tc>
        <w:tc>
          <w:tcPr>
            <w:tcW w:w="3171" w:type="dxa"/>
            <w:noWrap/>
            <w:vAlign w:val="center"/>
          </w:tcPr>
          <w:p w14:paraId="77A8CF3A">
            <w:pPr>
              <w:widowControl/>
              <w:adjustRightInd w:val="0"/>
              <w:snapToGrid w:val="0"/>
              <w:ind w:firstLine="0" w:firstLineChars="0"/>
              <w:jc w:val="center"/>
              <w:rPr>
                <w:rFonts w:eastAsia="仿宋" w:cs="Times New Roman"/>
                <w:color w:val="000000"/>
                <w:kern w:val="0"/>
                <w:sz w:val="21"/>
                <w:szCs w:val="21"/>
              </w:rPr>
            </w:pPr>
            <w:r>
              <w:rPr>
                <w:rFonts w:eastAsia="仿宋" w:cs="Times New Roman"/>
                <w:color w:val="000000"/>
                <w:kern w:val="0"/>
                <w:sz w:val="21"/>
                <w:szCs w:val="21"/>
              </w:rPr>
              <w:t>工程或费用名称</w:t>
            </w:r>
          </w:p>
        </w:tc>
        <w:tc>
          <w:tcPr>
            <w:tcW w:w="1444" w:type="dxa"/>
            <w:noWrap/>
            <w:vAlign w:val="center"/>
          </w:tcPr>
          <w:p w14:paraId="03DEEF86">
            <w:pPr>
              <w:widowControl/>
              <w:adjustRightInd w:val="0"/>
              <w:snapToGrid w:val="0"/>
              <w:ind w:firstLine="0" w:firstLineChars="0"/>
              <w:jc w:val="center"/>
              <w:rPr>
                <w:rFonts w:eastAsia="仿宋" w:cs="Times New Roman"/>
                <w:color w:val="000000"/>
                <w:kern w:val="0"/>
                <w:sz w:val="21"/>
                <w:szCs w:val="21"/>
              </w:rPr>
            </w:pPr>
            <w:r>
              <w:rPr>
                <w:rFonts w:eastAsia="仿宋" w:cs="Times New Roman"/>
                <w:color w:val="000000"/>
                <w:kern w:val="0"/>
                <w:sz w:val="21"/>
                <w:szCs w:val="21"/>
              </w:rPr>
              <w:t>建安工程费</w:t>
            </w:r>
          </w:p>
        </w:tc>
        <w:tc>
          <w:tcPr>
            <w:tcW w:w="1235" w:type="dxa"/>
            <w:noWrap/>
            <w:vAlign w:val="center"/>
          </w:tcPr>
          <w:p w14:paraId="742C7C9F">
            <w:pPr>
              <w:widowControl/>
              <w:adjustRightInd w:val="0"/>
              <w:snapToGrid w:val="0"/>
              <w:ind w:firstLine="0" w:firstLineChars="0"/>
              <w:jc w:val="center"/>
              <w:rPr>
                <w:rFonts w:eastAsia="仿宋" w:cs="Times New Roman"/>
                <w:color w:val="000000"/>
                <w:kern w:val="0"/>
                <w:sz w:val="21"/>
                <w:szCs w:val="21"/>
              </w:rPr>
            </w:pPr>
            <w:r>
              <w:rPr>
                <w:rFonts w:eastAsia="仿宋" w:cs="Times New Roman"/>
                <w:color w:val="000000"/>
                <w:kern w:val="0"/>
                <w:sz w:val="21"/>
                <w:szCs w:val="21"/>
              </w:rPr>
              <w:t>设备购置费</w:t>
            </w:r>
          </w:p>
        </w:tc>
        <w:tc>
          <w:tcPr>
            <w:tcW w:w="1028" w:type="dxa"/>
            <w:noWrap/>
            <w:vAlign w:val="center"/>
          </w:tcPr>
          <w:p w14:paraId="44FFF53A">
            <w:pPr>
              <w:widowControl/>
              <w:adjustRightInd w:val="0"/>
              <w:snapToGrid w:val="0"/>
              <w:ind w:firstLine="0" w:firstLineChars="0"/>
              <w:jc w:val="center"/>
              <w:rPr>
                <w:rFonts w:eastAsia="仿宋" w:cs="Times New Roman"/>
                <w:color w:val="000000"/>
                <w:kern w:val="0"/>
                <w:sz w:val="21"/>
                <w:szCs w:val="21"/>
              </w:rPr>
            </w:pPr>
            <w:r>
              <w:rPr>
                <w:rFonts w:eastAsia="仿宋" w:cs="Times New Roman"/>
                <w:color w:val="000000"/>
                <w:kern w:val="0"/>
                <w:sz w:val="21"/>
                <w:szCs w:val="21"/>
              </w:rPr>
              <w:t>独立费用</w:t>
            </w:r>
          </w:p>
        </w:tc>
        <w:tc>
          <w:tcPr>
            <w:tcW w:w="1111" w:type="dxa"/>
            <w:noWrap/>
            <w:vAlign w:val="center"/>
          </w:tcPr>
          <w:p w14:paraId="70FA55EC">
            <w:pPr>
              <w:widowControl/>
              <w:adjustRightInd w:val="0"/>
              <w:snapToGrid w:val="0"/>
              <w:ind w:firstLine="0" w:firstLineChars="0"/>
              <w:jc w:val="center"/>
              <w:rPr>
                <w:rFonts w:eastAsia="仿宋" w:cs="Times New Roman"/>
                <w:color w:val="000000"/>
                <w:kern w:val="0"/>
                <w:sz w:val="21"/>
                <w:szCs w:val="21"/>
              </w:rPr>
            </w:pPr>
            <w:r>
              <w:rPr>
                <w:rFonts w:eastAsia="仿宋" w:cs="Times New Roman"/>
                <w:color w:val="000000"/>
                <w:kern w:val="0"/>
                <w:sz w:val="21"/>
                <w:szCs w:val="21"/>
              </w:rPr>
              <w:t>合计</w:t>
            </w:r>
          </w:p>
        </w:tc>
      </w:tr>
      <w:tr w14:paraId="346A02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24" w:type="dxa"/>
            <w:noWrap/>
            <w:vAlign w:val="center"/>
          </w:tcPr>
          <w:p w14:paraId="1E2AE455">
            <w:pPr>
              <w:widowControl/>
              <w:adjustRightInd w:val="0"/>
              <w:snapToGrid w:val="0"/>
              <w:ind w:firstLine="0" w:firstLineChars="0"/>
              <w:jc w:val="center"/>
              <w:rPr>
                <w:rFonts w:eastAsia="仿宋" w:cs="Times New Roman"/>
                <w:color w:val="000000"/>
                <w:kern w:val="0"/>
                <w:sz w:val="21"/>
                <w:szCs w:val="21"/>
              </w:rPr>
            </w:pPr>
            <w:r>
              <w:rPr>
                <w:rFonts w:eastAsia="仿宋" w:cs="Times New Roman"/>
                <w:color w:val="000000"/>
                <w:kern w:val="0"/>
                <w:sz w:val="21"/>
                <w:szCs w:val="21"/>
              </w:rPr>
              <w:t>Ⅰ</w:t>
            </w:r>
          </w:p>
        </w:tc>
        <w:tc>
          <w:tcPr>
            <w:tcW w:w="3171" w:type="dxa"/>
            <w:noWrap/>
            <w:vAlign w:val="center"/>
          </w:tcPr>
          <w:p w14:paraId="2F057F9B">
            <w:pPr>
              <w:widowControl/>
              <w:adjustRightInd w:val="0"/>
              <w:snapToGrid w:val="0"/>
              <w:ind w:firstLine="0" w:firstLineChars="0"/>
              <w:jc w:val="center"/>
              <w:rPr>
                <w:rFonts w:eastAsia="仿宋" w:cs="Times New Roman"/>
                <w:color w:val="000000"/>
                <w:kern w:val="0"/>
                <w:sz w:val="21"/>
                <w:szCs w:val="21"/>
              </w:rPr>
            </w:pPr>
            <w:r>
              <w:rPr>
                <w:rFonts w:eastAsia="仿宋" w:cs="Times New Roman"/>
                <w:color w:val="000000"/>
                <w:kern w:val="0"/>
                <w:sz w:val="21"/>
                <w:szCs w:val="21"/>
              </w:rPr>
              <w:t>工程部分投资</w:t>
            </w:r>
          </w:p>
        </w:tc>
        <w:tc>
          <w:tcPr>
            <w:tcW w:w="1444" w:type="dxa"/>
            <w:noWrap/>
            <w:vAlign w:val="center"/>
          </w:tcPr>
          <w:p w14:paraId="718F8392">
            <w:pPr>
              <w:widowControl/>
              <w:adjustRightInd w:val="0"/>
              <w:snapToGrid w:val="0"/>
              <w:ind w:firstLine="0" w:firstLineChars="0"/>
              <w:jc w:val="center"/>
              <w:rPr>
                <w:rFonts w:eastAsia="仿宋" w:cs="Times New Roman"/>
                <w:color w:val="000000"/>
                <w:kern w:val="0"/>
                <w:sz w:val="21"/>
                <w:szCs w:val="21"/>
              </w:rPr>
            </w:pPr>
            <w:r>
              <w:rPr>
                <w:rFonts w:hint="eastAsia" w:eastAsia="仿宋" w:cs="Times New Roman"/>
                <w:color w:val="000000"/>
                <w:kern w:val="0"/>
                <w:sz w:val="21"/>
                <w:szCs w:val="21"/>
              </w:rPr>
              <w:t>3.27</w:t>
            </w:r>
          </w:p>
        </w:tc>
        <w:tc>
          <w:tcPr>
            <w:tcW w:w="1235" w:type="dxa"/>
            <w:noWrap/>
            <w:vAlign w:val="center"/>
          </w:tcPr>
          <w:p w14:paraId="2FB4C004">
            <w:pPr>
              <w:widowControl/>
              <w:adjustRightInd w:val="0"/>
              <w:snapToGrid w:val="0"/>
              <w:ind w:firstLine="0" w:firstLineChars="0"/>
              <w:jc w:val="center"/>
              <w:rPr>
                <w:rFonts w:eastAsia="仿宋" w:cs="Times New Roman"/>
                <w:color w:val="000000"/>
                <w:kern w:val="0"/>
                <w:sz w:val="21"/>
                <w:szCs w:val="21"/>
              </w:rPr>
            </w:pPr>
            <w:r>
              <w:rPr>
                <w:rFonts w:hint="eastAsia" w:eastAsia="仿宋" w:cs="Times New Roman"/>
                <w:color w:val="000000"/>
                <w:kern w:val="0"/>
                <w:sz w:val="21"/>
                <w:szCs w:val="21"/>
              </w:rPr>
              <w:t>21.80</w:t>
            </w:r>
          </w:p>
        </w:tc>
        <w:tc>
          <w:tcPr>
            <w:tcW w:w="1028" w:type="dxa"/>
            <w:noWrap/>
            <w:vAlign w:val="center"/>
          </w:tcPr>
          <w:p w14:paraId="37D4B1B7">
            <w:pPr>
              <w:widowControl/>
              <w:adjustRightInd w:val="0"/>
              <w:snapToGrid w:val="0"/>
              <w:ind w:firstLine="0" w:firstLineChars="0"/>
              <w:jc w:val="center"/>
              <w:rPr>
                <w:rFonts w:eastAsia="仿宋" w:cs="Times New Roman"/>
                <w:color w:val="000000"/>
                <w:kern w:val="0"/>
                <w:sz w:val="21"/>
                <w:szCs w:val="21"/>
              </w:rPr>
            </w:pPr>
            <w:r>
              <w:rPr>
                <w:rFonts w:hint="eastAsia" w:eastAsia="仿宋" w:cs="Times New Roman"/>
                <w:color w:val="000000"/>
                <w:kern w:val="0"/>
                <w:sz w:val="21"/>
                <w:szCs w:val="21"/>
              </w:rPr>
              <w:t>4.93</w:t>
            </w:r>
          </w:p>
        </w:tc>
        <w:tc>
          <w:tcPr>
            <w:tcW w:w="1111" w:type="dxa"/>
            <w:noWrap/>
            <w:vAlign w:val="center"/>
          </w:tcPr>
          <w:p w14:paraId="7B3C4E37">
            <w:pPr>
              <w:widowControl/>
              <w:adjustRightInd w:val="0"/>
              <w:snapToGrid w:val="0"/>
              <w:ind w:firstLine="0" w:firstLineChars="0"/>
              <w:jc w:val="center"/>
              <w:rPr>
                <w:rFonts w:eastAsia="仿宋" w:cs="Times New Roman"/>
                <w:color w:val="000000"/>
                <w:kern w:val="0"/>
                <w:sz w:val="21"/>
                <w:szCs w:val="21"/>
              </w:rPr>
            </w:pPr>
            <w:r>
              <w:rPr>
                <w:rFonts w:hint="eastAsia" w:eastAsia="仿宋" w:cs="Times New Roman"/>
                <w:color w:val="000000"/>
                <w:kern w:val="0"/>
                <w:sz w:val="21"/>
                <w:szCs w:val="21"/>
              </w:rPr>
              <w:t>30.00</w:t>
            </w:r>
          </w:p>
        </w:tc>
      </w:tr>
      <w:tr w14:paraId="719D4E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24" w:type="dxa"/>
            <w:noWrap/>
            <w:vAlign w:val="center"/>
          </w:tcPr>
          <w:p w14:paraId="5895654B">
            <w:pPr>
              <w:widowControl/>
              <w:adjustRightInd w:val="0"/>
              <w:snapToGrid w:val="0"/>
              <w:ind w:firstLine="0" w:firstLineChars="0"/>
              <w:jc w:val="center"/>
              <w:rPr>
                <w:rFonts w:eastAsia="仿宋" w:cs="Times New Roman"/>
                <w:color w:val="000000"/>
                <w:kern w:val="0"/>
                <w:sz w:val="21"/>
                <w:szCs w:val="21"/>
              </w:rPr>
            </w:pPr>
            <w:r>
              <w:rPr>
                <w:rFonts w:eastAsia="仿宋" w:cs="Times New Roman"/>
                <w:color w:val="000000"/>
                <w:kern w:val="0"/>
                <w:sz w:val="21"/>
                <w:szCs w:val="21"/>
              </w:rPr>
              <w:t>一</w:t>
            </w:r>
          </w:p>
        </w:tc>
        <w:tc>
          <w:tcPr>
            <w:tcW w:w="3171" w:type="dxa"/>
            <w:noWrap/>
            <w:vAlign w:val="center"/>
          </w:tcPr>
          <w:p w14:paraId="01147D11">
            <w:pPr>
              <w:widowControl/>
              <w:adjustRightInd w:val="0"/>
              <w:snapToGrid w:val="0"/>
              <w:ind w:firstLine="0" w:firstLineChars="0"/>
              <w:jc w:val="center"/>
              <w:rPr>
                <w:rFonts w:eastAsia="仿宋" w:cs="Times New Roman"/>
                <w:color w:val="000000"/>
                <w:kern w:val="0"/>
                <w:sz w:val="21"/>
                <w:szCs w:val="21"/>
              </w:rPr>
            </w:pPr>
            <w:r>
              <w:rPr>
                <w:rFonts w:eastAsia="仿宋" w:cs="Times New Roman"/>
                <w:color w:val="000000"/>
                <w:kern w:val="0"/>
                <w:sz w:val="21"/>
                <w:szCs w:val="21"/>
              </w:rPr>
              <w:t>第一部分 建筑工程</w:t>
            </w:r>
          </w:p>
        </w:tc>
        <w:tc>
          <w:tcPr>
            <w:tcW w:w="1444" w:type="dxa"/>
            <w:noWrap/>
            <w:vAlign w:val="center"/>
          </w:tcPr>
          <w:p w14:paraId="6E415CBA">
            <w:pPr>
              <w:widowControl/>
              <w:adjustRightInd w:val="0"/>
              <w:snapToGrid w:val="0"/>
              <w:ind w:firstLine="0" w:firstLineChars="0"/>
              <w:jc w:val="center"/>
              <w:rPr>
                <w:rFonts w:eastAsia="仿宋" w:cs="Times New Roman"/>
                <w:color w:val="000000"/>
                <w:kern w:val="0"/>
                <w:sz w:val="21"/>
                <w:szCs w:val="21"/>
              </w:rPr>
            </w:pPr>
          </w:p>
        </w:tc>
        <w:tc>
          <w:tcPr>
            <w:tcW w:w="1235" w:type="dxa"/>
            <w:noWrap/>
            <w:vAlign w:val="center"/>
          </w:tcPr>
          <w:p w14:paraId="4D2A92CE">
            <w:pPr>
              <w:widowControl/>
              <w:adjustRightInd w:val="0"/>
              <w:snapToGrid w:val="0"/>
              <w:ind w:firstLine="0" w:firstLineChars="0"/>
              <w:jc w:val="center"/>
              <w:rPr>
                <w:rFonts w:eastAsia="仿宋" w:cs="Times New Roman"/>
                <w:color w:val="000000"/>
                <w:kern w:val="0"/>
                <w:sz w:val="21"/>
                <w:szCs w:val="21"/>
              </w:rPr>
            </w:pPr>
          </w:p>
        </w:tc>
        <w:tc>
          <w:tcPr>
            <w:tcW w:w="1028" w:type="dxa"/>
            <w:noWrap/>
            <w:vAlign w:val="center"/>
          </w:tcPr>
          <w:p w14:paraId="07BA1A5D">
            <w:pPr>
              <w:widowControl/>
              <w:adjustRightInd w:val="0"/>
              <w:snapToGrid w:val="0"/>
              <w:ind w:firstLine="0" w:firstLineChars="0"/>
              <w:jc w:val="center"/>
              <w:rPr>
                <w:rFonts w:eastAsia="仿宋" w:cs="Times New Roman"/>
                <w:color w:val="000000"/>
                <w:kern w:val="0"/>
                <w:sz w:val="21"/>
                <w:szCs w:val="21"/>
              </w:rPr>
            </w:pPr>
          </w:p>
        </w:tc>
        <w:tc>
          <w:tcPr>
            <w:tcW w:w="1111" w:type="dxa"/>
            <w:noWrap/>
            <w:vAlign w:val="center"/>
          </w:tcPr>
          <w:p w14:paraId="23786911">
            <w:pPr>
              <w:widowControl/>
              <w:adjustRightInd w:val="0"/>
              <w:snapToGrid w:val="0"/>
              <w:ind w:firstLine="0" w:firstLineChars="0"/>
              <w:jc w:val="center"/>
              <w:rPr>
                <w:rFonts w:eastAsia="仿宋" w:cs="Times New Roman"/>
                <w:color w:val="000000"/>
                <w:kern w:val="0"/>
                <w:sz w:val="21"/>
                <w:szCs w:val="21"/>
              </w:rPr>
            </w:pPr>
          </w:p>
        </w:tc>
      </w:tr>
      <w:tr w14:paraId="23EDCB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24" w:type="dxa"/>
            <w:noWrap/>
            <w:vAlign w:val="center"/>
          </w:tcPr>
          <w:p w14:paraId="1F388A8B">
            <w:pPr>
              <w:widowControl/>
              <w:adjustRightInd w:val="0"/>
              <w:snapToGrid w:val="0"/>
              <w:ind w:firstLine="0" w:firstLineChars="0"/>
              <w:jc w:val="center"/>
              <w:rPr>
                <w:rFonts w:eastAsia="仿宋" w:cs="Times New Roman"/>
                <w:color w:val="000000"/>
                <w:kern w:val="0"/>
                <w:sz w:val="21"/>
                <w:szCs w:val="21"/>
              </w:rPr>
            </w:pPr>
            <w:r>
              <w:rPr>
                <w:rFonts w:eastAsia="仿宋" w:cs="Times New Roman"/>
                <w:color w:val="000000"/>
                <w:kern w:val="0"/>
                <w:sz w:val="21"/>
                <w:szCs w:val="21"/>
              </w:rPr>
              <w:t>二</w:t>
            </w:r>
          </w:p>
        </w:tc>
        <w:tc>
          <w:tcPr>
            <w:tcW w:w="3171" w:type="dxa"/>
            <w:noWrap/>
            <w:vAlign w:val="center"/>
          </w:tcPr>
          <w:p w14:paraId="2F85EBCD">
            <w:pPr>
              <w:widowControl/>
              <w:adjustRightInd w:val="0"/>
              <w:snapToGrid w:val="0"/>
              <w:ind w:firstLine="0" w:firstLineChars="0"/>
              <w:jc w:val="center"/>
              <w:rPr>
                <w:rFonts w:eastAsia="仿宋" w:cs="Times New Roman"/>
                <w:color w:val="000000"/>
                <w:kern w:val="0"/>
                <w:sz w:val="21"/>
                <w:szCs w:val="21"/>
              </w:rPr>
            </w:pPr>
            <w:r>
              <w:rPr>
                <w:rFonts w:eastAsia="仿宋" w:cs="Times New Roman"/>
                <w:color w:val="000000"/>
                <w:kern w:val="0"/>
                <w:sz w:val="21"/>
                <w:szCs w:val="21"/>
              </w:rPr>
              <w:t>第二部分 机电设备及安装工程</w:t>
            </w:r>
          </w:p>
        </w:tc>
        <w:tc>
          <w:tcPr>
            <w:tcW w:w="1444" w:type="dxa"/>
            <w:noWrap/>
            <w:vAlign w:val="center"/>
          </w:tcPr>
          <w:p w14:paraId="54E2A69A">
            <w:pPr>
              <w:widowControl/>
              <w:adjustRightInd w:val="0"/>
              <w:snapToGrid w:val="0"/>
              <w:ind w:firstLine="0" w:firstLineChars="0"/>
              <w:jc w:val="center"/>
              <w:rPr>
                <w:rFonts w:eastAsia="仿宋" w:cs="Times New Roman"/>
                <w:color w:val="000000"/>
                <w:kern w:val="0"/>
                <w:sz w:val="21"/>
                <w:szCs w:val="21"/>
              </w:rPr>
            </w:pPr>
            <w:r>
              <w:rPr>
                <w:rFonts w:hint="eastAsia" w:eastAsia="仿宋" w:cs="Times New Roman"/>
                <w:color w:val="000000"/>
                <w:kern w:val="0"/>
                <w:sz w:val="21"/>
                <w:szCs w:val="21"/>
              </w:rPr>
              <w:t>3.27</w:t>
            </w:r>
          </w:p>
        </w:tc>
        <w:tc>
          <w:tcPr>
            <w:tcW w:w="1235" w:type="dxa"/>
            <w:noWrap/>
            <w:vAlign w:val="center"/>
          </w:tcPr>
          <w:p w14:paraId="1553396A">
            <w:pPr>
              <w:widowControl/>
              <w:adjustRightInd w:val="0"/>
              <w:snapToGrid w:val="0"/>
              <w:ind w:firstLine="0" w:firstLineChars="0"/>
              <w:jc w:val="center"/>
              <w:rPr>
                <w:rFonts w:eastAsia="仿宋" w:cs="Times New Roman"/>
                <w:color w:val="000000"/>
                <w:kern w:val="0"/>
                <w:sz w:val="21"/>
                <w:szCs w:val="21"/>
              </w:rPr>
            </w:pPr>
            <w:r>
              <w:rPr>
                <w:rFonts w:hint="eastAsia" w:eastAsia="仿宋" w:cs="Times New Roman"/>
                <w:color w:val="000000"/>
                <w:kern w:val="0"/>
                <w:sz w:val="21"/>
                <w:szCs w:val="21"/>
              </w:rPr>
              <w:t>21.80</w:t>
            </w:r>
          </w:p>
        </w:tc>
        <w:tc>
          <w:tcPr>
            <w:tcW w:w="1028" w:type="dxa"/>
            <w:noWrap/>
            <w:vAlign w:val="center"/>
          </w:tcPr>
          <w:p w14:paraId="358CF567">
            <w:pPr>
              <w:widowControl/>
              <w:adjustRightInd w:val="0"/>
              <w:snapToGrid w:val="0"/>
              <w:ind w:firstLine="0" w:firstLineChars="0"/>
              <w:jc w:val="center"/>
              <w:rPr>
                <w:rFonts w:eastAsia="仿宋" w:cs="Times New Roman"/>
                <w:color w:val="000000"/>
                <w:kern w:val="0"/>
                <w:sz w:val="21"/>
                <w:szCs w:val="21"/>
              </w:rPr>
            </w:pPr>
          </w:p>
        </w:tc>
        <w:tc>
          <w:tcPr>
            <w:tcW w:w="1111" w:type="dxa"/>
            <w:noWrap/>
            <w:vAlign w:val="center"/>
          </w:tcPr>
          <w:p w14:paraId="287CC1A5">
            <w:pPr>
              <w:widowControl/>
              <w:adjustRightInd w:val="0"/>
              <w:snapToGrid w:val="0"/>
              <w:ind w:firstLine="0" w:firstLineChars="0"/>
              <w:jc w:val="center"/>
              <w:rPr>
                <w:rFonts w:eastAsia="仿宋" w:cs="Times New Roman"/>
                <w:color w:val="000000"/>
                <w:kern w:val="0"/>
                <w:sz w:val="21"/>
                <w:szCs w:val="21"/>
              </w:rPr>
            </w:pPr>
            <w:r>
              <w:rPr>
                <w:rFonts w:hint="eastAsia" w:eastAsia="仿宋" w:cs="Times New Roman"/>
                <w:color w:val="000000"/>
                <w:kern w:val="0"/>
                <w:sz w:val="21"/>
                <w:szCs w:val="21"/>
              </w:rPr>
              <w:t>25.07</w:t>
            </w:r>
          </w:p>
        </w:tc>
      </w:tr>
      <w:tr w14:paraId="642049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24" w:type="dxa"/>
            <w:noWrap/>
            <w:vAlign w:val="center"/>
          </w:tcPr>
          <w:p w14:paraId="3EB84BAD">
            <w:pPr>
              <w:widowControl/>
              <w:adjustRightInd w:val="0"/>
              <w:snapToGrid w:val="0"/>
              <w:ind w:firstLine="0" w:firstLineChars="0"/>
              <w:jc w:val="center"/>
              <w:rPr>
                <w:rFonts w:eastAsia="仿宋" w:cs="Times New Roman"/>
                <w:color w:val="000000"/>
                <w:kern w:val="0"/>
                <w:sz w:val="21"/>
                <w:szCs w:val="21"/>
              </w:rPr>
            </w:pPr>
            <w:r>
              <w:rPr>
                <w:rFonts w:eastAsia="仿宋" w:cs="Times New Roman"/>
                <w:color w:val="000000"/>
                <w:kern w:val="0"/>
                <w:sz w:val="21"/>
                <w:szCs w:val="21"/>
              </w:rPr>
              <w:t>1</w:t>
            </w:r>
          </w:p>
        </w:tc>
        <w:tc>
          <w:tcPr>
            <w:tcW w:w="3171" w:type="dxa"/>
            <w:noWrap/>
            <w:vAlign w:val="center"/>
          </w:tcPr>
          <w:p w14:paraId="6CD8BB91">
            <w:pPr>
              <w:widowControl/>
              <w:adjustRightInd w:val="0"/>
              <w:snapToGrid w:val="0"/>
              <w:ind w:firstLine="0" w:firstLineChars="0"/>
              <w:jc w:val="center"/>
              <w:rPr>
                <w:rFonts w:eastAsia="仿宋" w:cs="Times New Roman"/>
                <w:color w:val="000000"/>
                <w:kern w:val="0"/>
                <w:sz w:val="22"/>
              </w:rPr>
            </w:pPr>
            <w:r>
              <w:rPr>
                <w:rFonts w:eastAsia="仿宋" w:cs="Times New Roman"/>
                <w:color w:val="000000"/>
                <w:kern w:val="0"/>
                <w:sz w:val="22"/>
              </w:rPr>
              <w:t>流量仪</w:t>
            </w:r>
          </w:p>
        </w:tc>
        <w:tc>
          <w:tcPr>
            <w:tcW w:w="1444" w:type="dxa"/>
            <w:noWrap/>
            <w:vAlign w:val="center"/>
          </w:tcPr>
          <w:p w14:paraId="6548D096">
            <w:pPr>
              <w:widowControl/>
              <w:adjustRightInd w:val="0"/>
              <w:snapToGrid w:val="0"/>
              <w:ind w:firstLine="0" w:firstLineChars="0"/>
              <w:jc w:val="center"/>
              <w:rPr>
                <w:rFonts w:eastAsia="仿宋" w:cs="Times New Roman"/>
                <w:color w:val="000000"/>
                <w:kern w:val="0"/>
                <w:sz w:val="21"/>
                <w:szCs w:val="21"/>
              </w:rPr>
            </w:pPr>
            <w:r>
              <w:rPr>
                <w:rFonts w:hint="eastAsia" w:eastAsia="仿宋" w:cs="Times New Roman"/>
                <w:color w:val="000000"/>
                <w:kern w:val="0"/>
                <w:sz w:val="21"/>
                <w:szCs w:val="21"/>
              </w:rPr>
              <w:t>3.27</w:t>
            </w:r>
          </w:p>
        </w:tc>
        <w:tc>
          <w:tcPr>
            <w:tcW w:w="1235" w:type="dxa"/>
            <w:noWrap/>
            <w:vAlign w:val="center"/>
          </w:tcPr>
          <w:p w14:paraId="45E654C6">
            <w:pPr>
              <w:widowControl/>
              <w:adjustRightInd w:val="0"/>
              <w:snapToGrid w:val="0"/>
              <w:ind w:firstLine="0" w:firstLineChars="0"/>
              <w:jc w:val="center"/>
              <w:rPr>
                <w:rFonts w:eastAsia="仿宋" w:cs="Times New Roman"/>
                <w:color w:val="000000"/>
                <w:kern w:val="0"/>
                <w:sz w:val="21"/>
                <w:szCs w:val="21"/>
              </w:rPr>
            </w:pPr>
            <w:r>
              <w:rPr>
                <w:rFonts w:hint="eastAsia" w:eastAsia="仿宋" w:cs="Times New Roman"/>
                <w:color w:val="000000"/>
                <w:kern w:val="0"/>
                <w:sz w:val="21"/>
                <w:szCs w:val="21"/>
              </w:rPr>
              <w:t>21.80</w:t>
            </w:r>
          </w:p>
        </w:tc>
        <w:tc>
          <w:tcPr>
            <w:tcW w:w="1028" w:type="dxa"/>
            <w:noWrap/>
            <w:vAlign w:val="center"/>
          </w:tcPr>
          <w:p w14:paraId="3B93BD0B">
            <w:pPr>
              <w:widowControl/>
              <w:adjustRightInd w:val="0"/>
              <w:snapToGrid w:val="0"/>
              <w:ind w:firstLine="0" w:firstLineChars="0"/>
              <w:jc w:val="center"/>
              <w:rPr>
                <w:rFonts w:eastAsia="仿宋" w:cs="Times New Roman"/>
                <w:color w:val="000000"/>
                <w:kern w:val="0"/>
                <w:sz w:val="21"/>
                <w:szCs w:val="21"/>
              </w:rPr>
            </w:pPr>
          </w:p>
        </w:tc>
        <w:tc>
          <w:tcPr>
            <w:tcW w:w="1111" w:type="dxa"/>
            <w:noWrap/>
            <w:vAlign w:val="center"/>
          </w:tcPr>
          <w:p w14:paraId="64EA5AF8">
            <w:pPr>
              <w:widowControl/>
              <w:adjustRightInd w:val="0"/>
              <w:snapToGrid w:val="0"/>
              <w:ind w:firstLine="0" w:firstLineChars="0"/>
              <w:jc w:val="center"/>
              <w:rPr>
                <w:rFonts w:eastAsia="仿宋" w:cs="Times New Roman"/>
                <w:color w:val="000000"/>
                <w:kern w:val="0"/>
                <w:sz w:val="21"/>
                <w:szCs w:val="21"/>
              </w:rPr>
            </w:pPr>
            <w:r>
              <w:rPr>
                <w:rFonts w:hint="eastAsia" w:eastAsia="仿宋" w:cs="Times New Roman"/>
                <w:color w:val="000000"/>
                <w:kern w:val="0"/>
                <w:sz w:val="21"/>
                <w:szCs w:val="21"/>
              </w:rPr>
              <w:t>25.07</w:t>
            </w:r>
          </w:p>
        </w:tc>
      </w:tr>
      <w:tr w14:paraId="10D53F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24" w:type="dxa"/>
            <w:noWrap/>
            <w:vAlign w:val="center"/>
          </w:tcPr>
          <w:p w14:paraId="21F5F6D4">
            <w:pPr>
              <w:widowControl/>
              <w:adjustRightInd w:val="0"/>
              <w:snapToGrid w:val="0"/>
              <w:ind w:firstLine="0" w:firstLineChars="0"/>
              <w:jc w:val="center"/>
              <w:rPr>
                <w:rFonts w:eastAsia="仿宋" w:cs="Times New Roman"/>
                <w:color w:val="000000"/>
                <w:kern w:val="0"/>
                <w:sz w:val="21"/>
                <w:szCs w:val="21"/>
              </w:rPr>
            </w:pPr>
            <w:r>
              <w:rPr>
                <w:rFonts w:eastAsia="仿宋" w:cs="Times New Roman"/>
                <w:color w:val="000000"/>
                <w:kern w:val="0"/>
                <w:sz w:val="21"/>
                <w:szCs w:val="21"/>
              </w:rPr>
              <w:t>三</w:t>
            </w:r>
          </w:p>
        </w:tc>
        <w:tc>
          <w:tcPr>
            <w:tcW w:w="3171" w:type="dxa"/>
            <w:noWrap/>
            <w:vAlign w:val="center"/>
          </w:tcPr>
          <w:p w14:paraId="7901D4FF">
            <w:pPr>
              <w:widowControl/>
              <w:adjustRightInd w:val="0"/>
              <w:snapToGrid w:val="0"/>
              <w:ind w:firstLine="0" w:firstLineChars="0"/>
              <w:jc w:val="center"/>
              <w:rPr>
                <w:rFonts w:eastAsia="仿宋" w:cs="Times New Roman"/>
                <w:color w:val="000000"/>
                <w:kern w:val="0"/>
                <w:sz w:val="21"/>
                <w:szCs w:val="21"/>
              </w:rPr>
            </w:pPr>
            <w:r>
              <w:rPr>
                <w:rFonts w:eastAsia="仿宋" w:cs="Times New Roman"/>
                <w:color w:val="000000"/>
                <w:kern w:val="0"/>
                <w:sz w:val="21"/>
                <w:szCs w:val="21"/>
              </w:rPr>
              <w:t>第三部分 金属结构设备及安装工程</w:t>
            </w:r>
          </w:p>
        </w:tc>
        <w:tc>
          <w:tcPr>
            <w:tcW w:w="1444" w:type="dxa"/>
            <w:noWrap/>
            <w:vAlign w:val="center"/>
          </w:tcPr>
          <w:p w14:paraId="5A15E9B3">
            <w:pPr>
              <w:widowControl/>
              <w:adjustRightInd w:val="0"/>
              <w:snapToGrid w:val="0"/>
              <w:ind w:firstLine="0" w:firstLineChars="0"/>
              <w:jc w:val="center"/>
              <w:rPr>
                <w:rFonts w:eastAsia="仿宋" w:cs="Times New Roman"/>
                <w:color w:val="000000"/>
                <w:kern w:val="0"/>
                <w:sz w:val="21"/>
                <w:szCs w:val="21"/>
              </w:rPr>
            </w:pPr>
          </w:p>
        </w:tc>
        <w:tc>
          <w:tcPr>
            <w:tcW w:w="1235" w:type="dxa"/>
            <w:noWrap/>
            <w:vAlign w:val="center"/>
          </w:tcPr>
          <w:p w14:paraId="5B7EE0AB">
            <w:pPr>
              <w:widowControl/>
              <w:adjustRightInd w:val="0"/>
              <w:snapToGrid w:val="0"/>
              <w:ind w:firstLine="0" w:firstLineChars="0"/>
              <w:jc w:val="center"/>
              <w:rPr>
                <w:rFonts w:eastAsia="仿宋" w:cs="Times New Roman"/>
                <w:color w:val="000000"/>
                <w:kern w:val="0"/>
                <w:sz w:val="21"/>
                <w:szCs w:val="21"/>
              </w:rPr>
            </w:pPr>
          </w:p>
        </w:tc>
        <w:tc>
          <w:tcPr>
            <w:tcW w:w="1028" w:type="dxa"/>
            <w:noWrap/>
            <w:vAlign w:val="center"/>
          </w:tcPr>
          <w:p w14:paraId="37D82E2B">
            <w:pPr>
              <w:widowControl/>
              <w:adjustRightInd w:val="0"/>
              <w:snapToGrid w:val="0"/>
              <w:ind w:firstLine="0" w:firstLineChars="0"/>
              <w:jc w:val="center"/>
              <w:rPr>
                <w:rFonts w:eastAsia="仿宋" w:cs="Times New Roman"/>
                <w:color w:val="000000"/>
                <w:kern w:val="0"/>
                <w:sz w:val="21"/>
                <w:szCs w:val="21"/>
              </w:rPr>
            </w:pPr>
          </w:p>
        </w:tc>
        <w:tc>
          <w:tcPr>
            <w:tcW w:w="1111" w:type="dxa"/>
            <w:noWrap/>
            <w:vAlign w:val="center"/>
          </w:tcPr>
          <w:p w14:paraId="37EFAE2F">
            <w:pPr>
              <w:widowControl/>
              <w:adjustRightInd w:val="0"/>
              <w:snapToGrid w:val="0"/>
              <w:ind w:firstLine="0" w:firstLineChars="0"/>
              <w:jc w:val="center"/>
              <w:rPr>
                <w:rFonts w:eastAsia="仿宋" w:cs="Times New Roman"/>
                <w:color w:val="000000"/>
                <w:kern w:val="0"/>
                <w:sz w:val="21"/>
                <w:szCs w:val="21"/>
              </w:rPr>
            </w:pPr>
          </w:p>
        </w:tc>
      </w:tr>
      <w:tr w14:paraId="58CEC6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24" w:type="dxa"/>
            <w:noWrap/>
            <w:vAlign w:val="center"/>
          </w:tcPr>
          <w:p w14:paraId="3EAB021D">
            <w:pPr>
              <w:widowControl/>
              <w:adjustRightInd w:val="0"/>
              <w:snapToGrid w:val="0"/>
              <w:ind w:firstLine="0" w:firstLineChars="0"/>
              <w:jc w:val="center"/>
              <w:rPr>
                <w:rFonts w:eastAsia="仿宋" w:cs="Times New Roman"/>
                <w:color w:val="000000"/>
                <w:kern w:val="0"/>
                <w:sz w:val="21"/>
                <w:szCs w:val="21"/>
              </w:rPr>
            </w:pPr>
            <w:r>
              <w:rPr>
                <w:rFonts w:eastAsia="仿宋" w:cs="Times New Roman"/>
                <w:color w:val="000000"/>
                <w:kern w:val="0"/>
                <w:sz w:val="21"/>
                <w:szCs w:val="21"/>
              </w:rPr>
              <w:t>四</w:t>
            </w:r>
          </w:p>
        </w:tc>
        <w:tc>
          <w:tcPr>
            <w:tcW w:w="3171" w:type="dxa"/>
            <w:noWrap/>
            <w:vAlign w:val="center"/>
          </w:tcPr>
          <w:p w14:paraId="7F9F97A3">
            <w:pPr>
              <w:widowControl/>
              <w:adjustRightInd w:val="0"/>
              <w:snapToGrid w:val="0"/>
              <w:ind w:firstLine="0" w:firstLineChars="0"/>
              <w:jc w:val="center"/>
              <w:rPr>
                <w:rFonts w:eastAsia="仿宋" w:cs="Times New Roman"/>
                <w:color w:val="000000"/>
                <w:kern w:val="0"/>
                <w:sz w:val="21"/>
                <w:szCs w:val="21"/>
              </w:rPr>
            </w:pPr>
            <w:r>
              <w:rPr>
                <w:rFonts w:eastAsia="仿宋" w:cs="Times New Roman"/>
                <w:color w:val="000000"/>
                <w:kern w:val="0"/>
                <w:sz w:val="21"/>
                <w:szCs w:val="21"/>
              </w:rPr>
              <w:t>第四部分 临时工程</w:t>
            </w:r>
          </w:p>
        </w:tc>
        <w:tc>
          <w:tcPr>
            <w:tcW w:w="1444" w:type="dxa"/>
            <w:noWrap/>
            <w:vAlign w:val="center"/>
          </w:tcPr>
          <w:p w14:paraId="746D1FF2">
            <w:pPr>
              <w:widowControl/>
              <w:adjustRightInd w:val="0"/>
              <w:snapToGrid w:val="0"/>
              <w:ind w:firstLine="0" w:firstLineChars="0"/>
              <w:jc w:val="center"/>
              <w:rPr>
                <w:rFonts w:eastAsia="仿宋" w:cs="Times New Roman"/>
                <w:color w:val="000000"/>
                <w:kern w:val="0"/>
                <w:sz w:val="21"/>
                <w:szCs w:val="21"/>
              </w:rPr>
            </w:pPr>
          </w:p>
        </w:tc>
        <w:tc>
          <w:tcPr>
            <w:tcW w:w="1235" w:type="dxa"/>
            <w:noWrap/>
            <w:vAlign w:val="center"/>
          </w:tcPr>
          <w:p w14:paraId="64D2688B">
            <w:pPr>
              <w:widowControl/>
              <w:adjustRightInd w:val="0"/>
              <w:snapToGrid w:val="0"/>
              <w:ind w:firstLine="0" w:firstLineChars="0"/>
              <w:jc w:val="center"/>
              <w:rPr>
                <w:rFonts w:eastAsia="仿宋" w:cs="Times New Roman"/>
                <w:color w:val="000000"/>
                <w:kern w:val="0"/>
                <w:sz w:val="21"/>
                <w:szCs w:val="21"/>
              </w:rPr>
            </w:pPr>
          </w:p>
        </w:tc>
        <w:tc>
          <w:tcPr>
            <w:tcW w:w="1028" w:type="dxa"/>
            <w:noWrap/>
            <w:vAlign w:val="center"/>
          </w:tcPr>
          <w:p w14:paraId="2605B807">
            <w:pPr>
              <w:widowControl/>
              <w:adjustRightInd w:val="0"/>
              <w:snapToGrid w:val="0"/>
              <w:ind w:firstLine="0" w:firstLineChars="0"/>
              <w:jc w:val="center"/>
              <w:rPr>
                <w:rFonts w:eastAsia="仿宋" w:cs="Times New Roman"/>
                <w:color w:val="000000"/>
                <w:kern w:val="0"/>
                <w:sz w:val="21"/>
                <w:szCs w:val="21"/>
              </w:rPr>
            </w:pPr>
          </w:p>
        </w:tc>
        <w:tc>
          <w:tcPr>
            <w:tcW w:w="1111" w:type="dxa"/>
            <w:noWrap/>
            <w:vAlign w:val="center"/>
          </w:tcPr>
          <w:p w14:paraId="4D4AB422">
            <w:pPr>
              <w:widowControl/>
              <w:adjustRightInd w:val="0"/>
              <w:snapToGrid w:val="0"/>
              <w:ind w:firstLine="0" w:firstLineChars="0"/>
              <w:jc w:val="center"/>
              <w:rPr>
                <w:rFonts w:eastAsia="仿宋" w:cs="Times New Roman"/>
                <w:color w:val="000000"/>
                <w:kern w:val="0"/>
                <w:sz w:val="21"/>
                <w:szCs w:val="21"/>
              </w:rPr>
            </w:pPr>
          </w:p>
        </w:tc>
      </w:tr>
      <w:tr w14:paraId="1DD8EB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24" w:type="dxa"/>
            <w:noWrap/>
            <w:vAlign w:val="center"/>
          </w:tcPr>
          <w:p w14:paraId="438ED652">
            <w:pPr>
              <w:widowControl/>
              <w:adjustRightInd w:val="0"/>
              <w:snapToGrid w:val="0"/>
              <w:ind w:firstLine="0" w:firstLineChars="0"/>
              <w:jc w:val="center"/>
              <w:rPr>
                <w:rFonts w:eastAsia="仿宋" w:cs="Times New Roman"/>
                <w:color w:val="000000"/>
                <w:kern w:val="0"/>
                <w:sz w:val="21"/>
                <w:szCs w:val="21"/>
              </w:rPr>
            </w:pPr>
            <w:r>
              <w:rPr>
                <w:rFonts w:eastAsia="仿宋" w:cs="Times New Roman"/>
                <w:color w:val="000000"/>
                <w:kern w:val="0"/>
                <w:sz w:val="21"/>
                <w:szCs w:val="21"/>
              </w:rPr>
              <w:t>五</w:t>
            </w:r>
          </w:p>
        </w:tc>
        <w:tc>
          <w:tcPr>
            <w:tcW w:w="3171" w:type="dxa"/>
            <w:noWrap/>
            <w:vAlign w:val="center"/>
          </w:tcPr>
          <w:p w14:paraId="62B27316">
            <w:pPr>
              <w:widowControl/>
              <w:adjustRightInd w:val="0"/>
              <w:snapToGrid w:val="0"/>
              <w:ind w:firstLine="0" w:firstLineChars="0"/>
              <w:jc w:val="center"/>
              <w:rPr>
                <w:rFonts w:eastAsia="仿宋" w:cs="Times New Roman"/>
                <w:color w:val="000000"/>
                <w:kern w:val="0"/>
                <w:sz w:val="21"/>
                <w:szCs w:val="21"/>
              </w:rPr>
            </w:pPr>
            <w:r>
              <w:rPr>
                <w:rFonts w:eastAsia="仿宋" w:cs="Times New Roman"/>
                <w:color w:val="000000"/>
                <w:kern w:val="0"/>
                <w:sz w:val="21"/>
                <w:szCs w:val="21"/>
              </w:rPr>
              <w:t>第五部分 独立费用</w:t>
            </w:r>
          </w:p>
        </w:tc>
        <w:tc>
          <w:tcPr>
            <w:tcW w:w="1444" w:type="dxa"/>
            <w:noWrap/>
            <w:vAlign w:val="center"/>
          </w:tcPr>
          <w:p w14:paraId="3A23EAD1">
            <w:pPr>
              <w:widowControl/>
              <w:adjustRightInd w:val="0"/>
              <w:snapToGrid w:val="0"/>
              <w:ind w:firstLine="0" w:firstLineChars="0"/>
              <w:jc w:val="center"/>
              <w:rPr>
                <w:rFonts w:eastAsia="仿宋" w:cs="Times New Roman"/>
                <w:color w:val="000000"/>
                <w:kern w:val="0"/>
                <w:sz w:val="21"/>
                <w:szCs w:val="21"/>
              </w:rPr>
            </w:pPr>
          </w:p>
        </w:tc>
        <w:tc>
          <w:tcPr>
            <w:tcW w:w="1235" w:type="dxa"/>
            <w:noWrap/>
            <w:vAlign w:val="center"/>
          </w:tcPr>
          <w:p w14:paraId="22E267BD">
            <w:pPr>
              <w:widowControl/>
              <w:adjustRightInd w:val="0"/>
              <w:snapToGrid w:val="0"/>
              <w:ind w:firstLine="0" w:firstLineChars="0"/>
              <w:jc w:val="center"/>
              <w:rPr>
                <w:rFonts w:eastAsia="仿宋" w:cs="Times New Roman"/>
                <w:color w:val="000000"/>
                <w:kern w:val="0"/>
                <w:sz w:val="21"/>
                <w:szCs w:val="21"/>
              </w:rPr>
            </w:pPr>
          </w:p>
        </w:tc>
        <w:tc>
          <w:tcPr>
            <w:tcW w:w="1028" w:type="dxa"/>
            <w:noWrap/>
            <w:vAlign w:val="center"/>
          </w:tcPr>
          <w:p w14:paraId="79D0D6A2">
            <w:pPr>
              <w:widowControl/>
              <w:adjustRightInd w:val="0"/>
              <w:snapToGrid w:val="0"/>
              <w:ind w:firstLine="0" w:firstLineChars="0"/>
              <w:jc w:val="center"/>
              <w:rPr>
                <w:rFonts w:eastAsia="仿宋" w:cs="Times New Roman"/>
                <w:color w:val="000000"/>
                <w:kern w:val="0"/>
                <w:sz w:val="21"/>
                <w:szCs w:val="21"/>
              </w:rPr>
            </w:pPr>
            <w:r>
              <w:rPr>
                <w:rFonts w:hint="eastAsia" w:eastAsia="仿宋" w:cs="Times New Roman"/>
                <w:color w:val="000000"/>
                <w:kern w:val="0"/>
                <w:sz w:val="21"/>
                <w:szCs w:val="21"/>
              </w:rPr>
              <w:t>4.93</w:t>
            </w:r>
          </w:p>
        </w:tc>
        <w:tc>
          <w:tcPr>
            <w:tcW w:w="1111" w:type="dxa"/>
            <w:noWrap/>
            <w:vAlign w:val="center"/>
          </w:tcPr>
          <w:p w14:paraId="6C5759EE">
            <w:pPr>
              <w:widowControl/>
              <w:adjustRightInd w:val="0"/>
              <w:snapToGrid w:val="0"/>
              <w:ind w:firstLine="0" w:firstLineChars="0"/>
              <w:jc w:val="center"/>
              <w:rPr>
                <w:rFonts w:eastAsia="仿宋" w:cs="Times New Roman"/>
                <w:color w:val="000000"/>
                <w:kern w:val="0"/>
                <w:sz w:val="21"/>
                <w:szCs w:val="21"/>
              </w:rPr>
            </w:pPr>
            <w:r>
              <w:rPr>
                <w:rFonts w:hint="eastAsia" w:eastAsia="仿宋" w:cs="Times New Roman"/>
                <w:color w:val="000000"/>
                <w:kern w:val="0"/>
                <w:sz w:val="21"/>
                <w:szCs w:val="21"/>
              </w:rPr>
              <w:t>4.93</w:t>
            </w:r>
          </w:p>
        </w:tc>
      </w:tr>
      <w:tr w14:paraId="7FB1A2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24" w:type="dxa"/>
            <w:noWrap/>
            <w:vAlign w:val="center"/>
          </w:tcPr>
          <w:p w14:paraId="104F9DFD">
            <w:pPr>
              <w:widowControl/>
              <w:adjustRightInd w:val="0"/>
              <w:snapToGrid w:val="0"/>
              <w:ind w:firstLine="0" w:firstLineChars="0"/>
              <w:jc w:val="center"/>
              <w:rPr>
                <w:rFonts w:eastAsia="仿宋" w:cs="Times New Roman"/>
                <w:color w:val="000000"/>
                <w:kern w:val="0"/>
                <w:sz w:val="21"/>
                <w:szCs w:val="21"/>
              </w:rPr>
            </w:pPr>
            <w:r>
              <w:rPr>
                <w:rFonts w:eastAsia="仿宋" w:cs="Times New Roman"/>
                <w:color w:val="000000"/>
                <w:kern w:val="0"/>
                <w:sz w:val="21"/>
                <w:szCs w:val="21"/>
              </w:rPr>
              <w:t>1</w:t>
            </w:r>
          </w:p>
        </w:tc>
        <w:tc>
          <w:tcPr>
            <w:tcW w:w="3171" w:type="dxa"/>
            <w:noWrap/>
            <w:vAlign w:val="center"/>
          </w:tcPr>
          <w:p w14:paraId="672A6B5C">
            <w:pPr>
              <w:widowControl/>
              <w:adjustRightInd w:val="0"/>
              <w:snapToGrid w:val="0"/>
              <w:ind w:firstLine="0" w:firstLineChars="0"/>
              <w:jc w:val="center"/>
              <w:rPr>
                <w:rFonts w:eastAsia="仿宋" w:cs="Times New Roman"/>
                <w:color w:val="000000"/>
                <w:kern w:val="0"/>
                <w:sz w:val="21"/>
                <w:szCs w:val="21"/>
              </w:rPr>
            </w:pPr>
            <w:r>
              <w:rPr>
                <w:rFonts w:eastAsia="仿宋" w:cs="Times New Roman"/>
                <w:color w:val="000000"/>
                <w:kern w:val="0"/>
                <w:sz w:val="21"/>
                <w:szCs w:val="21"/>
              </w:rPr>
              <w:t>建设单位管理费（4.5%）</w:t>
            </w:r>
          </w:p>
        </w:tc>
        <w:tc>
          <w:tcPr>
            <w:tcW w:w="1444" w:type="dxa"/>
            <w:noWrap/>
            <w:vAlign w:val="center"/>
          </w:tcPr>
          <w:p w14:paraId="51013184">
            <w:pPr>
              <w:widowControl/>
              <w:adjustRightInd w:val="0"/>
              <w:snapToGrid w:val="0"/>
              <w:ind w:firstLine="0" w:firstLineChars="0"/>
              <w:jc w:val="center"/>
              <w:rPr>
                <w:rFonts w:eastAsia="仿宋" w:cs="Times New Roman"/>
                <w:color w:val="000000"/>
                <w:kern w:val="0"/>
                <w:sz w:val="21"/>
                <w:szCs w:val="21"/>
              </w:rPr>
            </w:pPr>
          </w:p>
        </w:tc>
        <w:tc>
          <w:tcPr>
            <w:tcW w:w="1235" w:type="dxa"/>
            <w:noWrap/>
            <w:vAlign w:val="center"/>
          </w:tcPr>
          <w:p w14:paraId="3C950527">
            <w:pPr>
              <w:widowControl/>
              <w:adjustRightInd w:val="0"/>
              <w:snapToGrid w:val="0"/>
              <w:ind w:firstLine="0" w:firstLineChars="0"/>
              <w:jc w:val="center"/>
              <w:rPr>
                <w:rFonts w:eastAsia="仿宋" w:cs="Times New Roman"/>
                <w:color w:val="000000"/>
                <w:kern w:val="0"/>
                <w:sz w:val="21"/>
                <w:szCs w:val="21"/>
              </w:rPr>
            </w:pPr>
          </w:p>
        </w:tc>
        <w:tc>
          <w:tcPr>
            <w:tcW w:w="1028" w:type="dxa"/>
            <w:noWrap/>
            <w:vAlign w:val="center"/>
          </w:tcPr>
          <w:p w14:paraId="2A49413C">
            <w:pPr>
              <w:widowControl/>
              <w:adjustRightInd w:val="0"/>
              <w:snapToGrid w:val="0"/>
              <w:ind w:firstLine="0" w:firstLineChars="0"/>
              <w:jc w:val="center"/>
              <w:rPr>
                <w:rFonts w:eastAsia="仿宋" w:cs="Times New Roman"/>
                <w:color w:val="000000"/>
                <w:kern w:val="0"/>
                <w:sz w:val="21"/>
                <w:szCs w:val="21"/>
              </w:rPr>
            </w:pPr>
            <w:r>
              <w:rPr>
                <w:rFonts w:hint="eastAsia" w:eastAsia="仿宋" w:cs="Times New Roman"/>
                <w:color w:val="000000"/>
                <w:kern w:val="0"/>
                <w:sz w:val="21"/>
                <w:szCs w:val="21"/>
              </w:rPr>
              <w:t>1.13</w:t>
            </w:r>
          </w:p>
        </w:tc>
        <w:tc>
          <w:tcPr>
            <w:tcW w:w="1111" w:type="dxa"/>
            <w:noWrap/>
            <w:vAlign w:val="center"/>
          </w:tcPr>
          <w:p w14:paraId="4B4A2EA9">
            <w:pPr>
              <w:widowControl/>
              <w:adjustRightInd w:val="0"/>
              <w:snapToGrid w:val="0"/>
              <w:ind w:firstLine="0" w:firstLineChars="0"/>
              <w:jc w:val="center"/>
              <w:rPr>
                <w:rFonts w:eastAsia="仿宋" w:cs="Times New Roman"/>
                <w:color w:val="000000"/>
                <w:kern w:val="0"/>
                <w:sz w:val="21"/>
                <w:szCs w:val="21"/>
              </w:rPr>
            </w:pPr>
            <w:r>
              <w:rPr>
                <w:rFonts w:hint="eastAsia" w:eastAsia="仿宋" w:cs="Times New Roman"/>
                <w:color w:val="000000"/>
                <w:kern w:val="0"/>
                <w:sz w:val="21"/>
                <w:szCs w:val="21"/>
              </w:rPr>
              <w:t>1.13</w:t>
            </w:r>
          </w:p>
        </w:tc>
      </w:tr>
      <w:tr w14:paraId="607637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24" w:type="dxa"/>
            <w:noWrap/>
            <w:vAlign w:val="center"/>
          </w:tcPr>
          <w:p w14:paraId="33CD7C19">
            <w:pPr>
              <w:widowControl/>
              <w:adjustRightInd w:val="0"/>
              <w:snapToGrid w:val="0"/>
              <w:ind w:firstLine="0" w:firstLineChars="0"/>
              <w:jc w:val="center"/>
              <w:rPr>
                <w:rFonts w:eastAsia="仿宋" w:cs="Times New Roman"/>
                <w:color w:val="000000"/>
                <w:kern w:val="0"/>
                <w:sz w:val="21"/>
                <w:szCs w:val="21"/>
              </w:rPr>
            </w:pPr>
            <w:r>
              <w:rPr>
                <w:rFonts w:eastAsia="仿宋" w:cs="Times New Roman"/>
                <w:color w:val="000000"/>
                <w:kern w:val="0"/>
                <w:sz w:val="21"/>
                <w:szCs w:val="21"/>
              </w:rPr>
              <w:t>2</w:t>
            </w:r>
          </w:p>
        </w:tc>
        <w:tc>
          <w:tcPr>
            <w:tcW w:w="3171" w:type="dxa"/>
            <w:noWrap/>
            <w:vAlign w:val="center"/>
          </w:tcPr>
          <w:p w14:paraId="3421A0B2">
            <w:pPr>
              <w:widowControl/>
              <w:adjustRightInd w:val="0"/>
              <w:snapToGrid w:val="0"/>
              <w:ind w:firstLine="0" w:firstLineChars="0"/>
              <w:jc w:val="center"/>
              <w:rPr>
                <w:rFonts w:eastAsia="仿宋" w:cs="Times New Roman"/>
                <w:color w:val="000000"/>
                <w:kern w:val="0"/>
                <w:sz w:val="21"/>
                <w:szCs w:val="21"/>
              </w:rPr>
            </w:pPr>
            <w:r>
              <w:rPr>
                <w:rFonts w:eastAsia="仿宋" w:cs="Times New Roman"/>
                <w:color w:val="000000"/>
                <w:kern w:val="0"/>
                <w:sz w:val="21"/>
                <w:szCs w:val="21"/>
              </w:rPr>
              <w:t>工程建设监理费（3%）</w:t>
            </w:r>
          </w:p>
        </w:tc>
        <w:tc>
          <w:tcPr>
            <w:tcW w:w="1444" w:type="dxa"/>
            <w:noWrap/>
            <w:vAlign w:val="center"/>
          </w:tcPr>
          <w:p w14:paraId="6DB8F0A5">
            <w:pPr>
              <w:widowControl/>
              <w:adjustRightInd w:val="0"/>
              <w:snapToGrid w:val="0"/>
              <w:ind w:firstLine="0" w:firstLineChars="0"/>
              <w:jc w:val="center"/>
              <w:rPr>
                <w:rFonts w:eastAsia="仿宋" w:cs="Times New Roman"/>
                <w:color w:val="000000"/>
                <w:kern w:val="0"/>
                <w:sz w:val="21"/>
                <w:szCs w:val="21"/>
              </w:rPr>
            </w:pPr>
          </w:p>
        </w:tc>
        <w:tc>
          <w:tcPr>
            <w:tcW w:w="1235" w:type="dxa"/>
            <w:noWrap/>
            <w:vAlign w:val="center"/>
          </w:tcPr>
          <w:p w14:paraId="285139F3">
            <w:pPr>
              <w:widowControl/>
              <w:adjustRightInd w:val="0"/>
              <w:snapToGrid w:val="0"/>
              <w:ind w:firstLine="0" w:firstLineChars="0"/>
              <w:jc w:val="center"/>
              <w:rPr>
                <w:rFonts w:eastAsia="仿宋" w:cs="Times New Roman"/>
                <w:color w:val="000000"/>
                <w:kern w:val="0"/>
                <w:sz w:val="21"/>
                <w:szCs w:val="21"/>
              </w:rPr>
            </w:pPr>
          </w:p>
        </w:tc>
        <w:tc>
          <w:tcPr>
            <w:tcW w:w="1028" w:type="dxa"/>
            <w:noWrap/>
            <w:vAlign w:val="center"/>
          </w:tcPr>
          <w:p w14:paraId="7E5FE4C1">
            <w:pPr>
              <w:widowControl/>
              <w:adjustRightInd w:val="0"/>
              <w:snapToGrid w:val="0"/>
              <w:ind w:firstLine="0" w:firstLineChars="0"/>
              <w:jc w:val="center"/>
              <w:rPr>
                <w:rFonts w:eastAsia="仿宋" w:cs="Times New Roman"/>
                <w:color w:val="000000"/>
                <w:kern w:val="0"/>
                <w:sz w:val="21"/>
                <w:szCs w:val="21"/>
              </w:rPr>
            </w:pPr>
            <w:r>
              <w:rPr>
                <w:rFonts w:hint="eastAsia" w:eastAsia="仿宋" w:cs="Times New Roman"/>
                <w:color w:val="000000"/>
                <w:kern w:val="0"/>
                <w:sz w:val="21"/>
                <w:szCs w:val="21"/>
              </w:rPr>
              <w:t>0.75</w:t>
            </w:r>
          </w:p>
        </w:tc>
        <w:tc>
          <w:tcPr>
            <w:tcW w:w="1111" w:type="dxa"/>
            <w:noWrap/>
            <w:vAlign w:val="center"/>
          </w:tcPr>
          <w:p w14:paraId="75E68862">
            <w:pPr>
              <w:widowControl/>
              <w:adjustRightInd w:val="0"/>
              <w:snapToGrid w:val="0"/>
              <w:ind w:firstLine="0" w:firstLineChars="0"/>
              <w:jc w:val="center"/>
              <w:rPr>
                <w:rFonts w:eastAsia="仿宋" w:cs="Times New Roman"/>
                <w:color w:val="000000"/>
                <w:kern w:val="0"/>
                <w:sz w:val="21"/>
                <w:szCs w:val="21"/>
              </w:rPr>
            </w:pPr>
            <w:r>
              <w:rPr>
                <w:rFonts w:hint="eastAsia" w:eastAsia="仿宋" w:cs="Times New Roman"/>
                <w:color w:val="000000"/>
                <w:kern w:val="0"/>
                <w:sz w:val="21"/>
                <w:szCs w:val="21"/>
              </w:rPr>
              <w:t>0.75</w:t>
            </w:r>
          </w:p>
        </w:tc>
      </w:tr>
      <w:tr w14:paraId="370F6F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24" w:type="dxa"/>
            <w:noWrap/>
            <w:vAlign w:val="center"/>
          </w:tcPr>
          <w:p w14:paraId="7B14C708">
            <w:pPr>
              <w:widowControl/>
              <w:adjustRightInd w:val="0"/>
              <w:snapToGrid w:val="0"/>
              <w:ind w:firstLine="0" w:firstLineChars="0"/>
              <w:jc w:val="center"/>
              <w:rPr>
                <w:rFonts w:eastAsia="仿宋" w:cs="Times New Roman"/>
                <w:color w:val="000000"/>
                <w:kern w:val="0"/>
                <w:sz w:val="21"/>
                <w:szCs w:val="21"/>
              </w:rPr>
            </w:pPr>
            <w:r>
              <w:rPr>
                <w:rFonts w:hint="eastAsia" w:eastAsia="仿宋" w:cs="Times New Roman"/>
                <w:color w:val="000000"/>
                <w:kern w:val="0"/>
                <w:sz w:val="21"/>
                <w:szCs w:val="21"/>
              </w:rPr>
              <w:t>3</w:t>
            </w:r>
          </w:p>
        </w:tc>
        <w:tc>
          <w:tcPr>
            <w:tcW w:w="3171" w:type="dxa"/>
            <w:noWrap/>
            <w:vAlign w:val="center"/>
          </w:tcPr>
          <w:p w14:paraId="4DFA695E">
            <w:pPr>
              <w:widowControl/>
              <w:adjustRightInd w:val="0"/>
              <w:snapToGrid w:val="0"/>
              <w:ind w:firstLine="0" w:firstLineChars="0"/>
              <w:jc w:val="center"/>
              <w:rPr>
                <w:rFonts w:eastAsia="仿宋" w:cs="Times New Roman"/>
                <w:color w:val="000000"/>
                <w:kern w:val="0"/>
                <w:sz w:val="21"/>
                <w:szCs w:val="21"/>
              </w:rPr>
            </w:pPr>
            <w:r>
              <w:rPr>
                <w:rFonts w:eastAsia="仿宋" w:cs="Times New Roman"/>
                <w:color w:val="000000"/>
                <w:kern w:val="0"/>
                <w:sz w:val="21"/>
                <w:szCs w:val="21"/>
              </w:rPr>
              <w:t>质量抽检费（1%）</w:t>
            </w:r>
          </w:p>
        </w:tc>
        <w:tc>
          <w:tcPr>
            <w:tcW w:w="1444" w:type="dxa"/>
            <w:noWrap/>
            <w:vAlign w:val="center"/>
          </w:tcPr>
          <w:p w14:paraId="22D2BE3F">
            <w:pPr>
              <w:widowControl/>
              <w:adjustRightInd w:val="0"/>
              <w:snapToGrid w:val="0"/>
              <w:ind w:firstLine="0" w:firstLineChars="0"/>
              <w:jc w:val="center"/>
              <w:rPr>
                <w:rFonts w:eastAsia="仿宋" w:cs="Times New Roman"/>
                <w:color w:val="000000"/>
                <w:kern w:val="0"/>
                <w:sz w:val="21"/>
                <w:szCs w:val="21"/>
              </w:rPr>
            </w:pPr>
          </w:p>
        </w:tc>
        <w:tc>
          <w:tcPr>
            <w:tcW w:w="1235" w:type="dxa"/>
            <w:noWrap/>
            <w:vAlign w:val="center"/>
          </w:tcPr>
          <w:p w14:paraId="31E4FE90">
            <w:pPr>
              <w:widowControl/>
              <w:adjustRightInd w:val="0"/>
              <w:snapToGrid w:val="0"/>
              <w:ind w:firstLine="0" w:firstLineChars="0"/>
              <w:jc w:val="center"/>
              <w:rPr>
                <w:rFonts w:eastAsia="仿宋" w:cs="Times New Roman"/>
                <w:color w:val="000000"/>
                <w:kern w:val="0"/>
                <w:sz w:val="21"/>
                <w:szCs w:val="21"/>
              </w:rPr>
            </w:pPr>
          </w:p>
        </w:tc>
        <w:tc>
          <w:tcPr>
            <w:tcW w:w="1028" w:type="dxa"/>
            <w:noWrap/>
            <w:vAlign w:val="center"/>
          </w:tcPr>
          <w:p w14:paraId="03BAF417">
            <w:pPr>
              <w:widowControl/>
              <w:adjustRightInd w:val="0"/>
              <w:snapToGrid w:val="0"/>
              <w:ind w:firstLine="0" w:firstLineChars="0"/>
              <w:jc w:val="center"/>
              <w:rPr>
                <w:rFonts w:eastAsia="仿宋" w:cs="Times New Roman"/>
                <w:color w:val="000000"/>
                <w:kern w:val="0"/>
                <w:sz w:val="21"/>
                <w:szCs w:val="21"/>
              </w:rPr>
            </w:pPr>
            <w:r>
              <w:rPr>
                <w:rFonts w:hint="eastAsia" w:eastAsia="仿宋" w:cs="Times New Roman"/>
                <w:color w:val="000000"/>
                <w:kern w:val="0"/>
                <w:sz w:val="21"/>
                <w:szCs w:val="21"/>
              </w:rPr>
              <w:t>0.25</w:t>
            </w:r>
          </w:p>
        </w:tc>
        <w:tc>
          <w:tcPr>
            <w:tcW w:w="1111" w:type="dxa"/>
            <w:noWrap/>
            <w:vAlign w:val="center"/>
          </w:tcPr>
          <w:p w14:paraId="0381D5B1">
            <w:pPr>
              <w:widowControl/>
              <w:adjustRightInd w:val="0"/>
              <w:snapToGrid w:val="0"/>
              <w:ind w:firstLine="0" w:firstLineChars="0"/>
              <w:jc w:val="center"/>
              <w:rPr>
                <w:rFonts w:eastAsia="仿宋" w:cs="Times New Roman"/>
                <w:color w:val="000000"/>
                <w:kern w:val="0"/>
                <w:sz w:val="21"/>
                <w:szCs w:val="21"/>
              </w:rPr>
            </w:pPr>
            <w:r>
              <w:rPr>
                <w:rFonts w:hint="eastAsia" w:eastAsia="仿宋" w:cs="Times New Roman"/>
                <w:color w:val="000000"/>
                <w:kern w:val="0"/>
                <w:sz w:val="21"/>
                <w:szCs w:val="21"/>
              </w:rPr>
              <w:t>0.25</w:t>
            </w:r>
          </w:p>
        </w:tc>
      </w:tr>
      <w:tr w14:paraId="6C2A81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24" w:type="dxa"/>
            <w:noWrap/>
            <w:vAlign w:val="center"/>
          </w:tcPr>
          <w:p w14:paraId="34E92FFD">
            <w:pPr>
              <w:widowControl/>
              <w:adjustRightInd w:val="0"/>
              <w:snapToGrid w:val="0"/>
              <w:ind w:firstLine="0" w:firstLineChars="0"/>
              <w:jc w:val="center"/>
              <w:rPr>
                <w:rFonts w:eastAsia="仿宋" w:cs="Times New Roman"/>
                <w:color w:val="000000"/>
                <w:kern w:val="0"/>
                <w:sz w:val="21"/>
                <w:szCs w:val="21"/>
              </w:rPr>
            </w:pPr>
            <w:r>
              <w:rPr>
                <w:rFonts w:hint="eastAsia" w:eastAsia="仿宋" w:cs="Times New Roman"/>
                <w:color w:val="000000"/>
                <w:kern w:val="0"/>
                <w:sz w:val="21"/>
                <w:szCs w:val="21"/>
              </w:rPr>
              <w:t>4</w:t>
            </w:r>
          </w:p>
        </w:tc>
        <w:tc>
          <w:tcPr>
            <w:tcW w:w="3171" w:type="dxa"/>
            <w:noWrap/>
            <w:vAlign w:val="center"/>
          </w:tcPr>
          <w:p w14:paraId="5E3CB86A">
            <w:pPr>
              <w:widowControl/>
              <w:adjustRightInd w:val="0"/>
              <w:snapToGrid w:val="0"/>
              <w:ind w:firstLine="0" w:firstLineChars="0"/>
              <w:jc w:val="center"/>
              <w:rPr>
                <w:rFonts w:eastAsia="仿宋" w:cs="Times New Roman"/>
                <w:color w:val="000000"/>
                <w:kern w:val="0"/>
                <w:sz w:val="21"/>
                <w:szCs w:val="21"/>
              </w:rPr>
            </w:pPr>
            <w:r>
              <w:rPr>
                <w:rFonts w:eastAsia="仿宋" w:cs="Times New Roman"/>
                <w:color w:val="000000"/>
                <w:kern w:val="0"/>
                <w:sz w:val="21"/>
                <w:szCs w:val="21"/>
              </w:rPr>
              <w:t>用水协会制度建设及宣传费</w:t>
            </w:r>
          </w:p>
        </w:tc>
        <w:tc>
          <w:tcPr>
            <w:tcW w:w="1444" w:type="dxa"/>
            <w:noWrap/>
            <w:vAlign w:val="center"/>
          </w:tcPr>
          <w:p w14:paraId="4AC4B304">
            <w:pPr>
              <w:widowControl/>
              <w:adjustRightInd w:val="0"/>
              <w:snapToGrid w:val="0"/>
              <w:ind w:firstLine="0" w:firstLineChars="0"/>
              <w:jc w:val="center"/>
              <w:rPr>
                <w:rFonts w:eastAsia="仿宋" w:cs="Times New Roman"/>
                <w:color w:val="000000"/>
                <w:kern w:val="0"/>
                <w:sz w:val="21"/>
                <w:szCs w:val="21"/>
              </w:rPr>
            </w:pPr>
          </w:p>
        </w:tc>
        <w:tc>
          <w:tcPr>
            <w:tcW w:w="1235" w:type="dxa"/>
            <w:noWrap/>
            <w:vAlign w:val="center"/>
          </w:tcPr>
          <w:p w14:paraId="7B96741F">
            <w:pPr>
              <w:widowControl/>
              <w:adjustRightInd w:val="0"/>
              <w:snapToGrid w:val="0"/>
              <w:ind w:firstLine="0" w:firstLineChars="0"/>
              <w:jc w:val="center"/>
              <w:rPr>
                <w:rFonts w:eastAsia="仿宋" w:cs="Times New Roman"/>
                <w:color w:val="000000"/>
                <w:kern w:val="0"/>
                <w:sz w:val="21"/>
                <w:szCs w:val="21"/>
              </w:rPr>
            </w:pPr>
          </w:p>
        </w:tc>
        <w:tc>
          <w:tcPr>
            <w:tcW w:w="1028" w:type="dxa"/>
            <w:noWrap/>
            <w:vAlign w:val="center"/>
          </w:tcPr>
          <w:p w14:paraId="481FE4F4">
            <w:pPr>
              <w:widowControl/>
              <w:adjustRightInd w:val="0"/>
              <w:snapToGrid w:val="0"/>
              <w:ind w:firstLine="0" w:firstLineChars="0"/>
              <w:jc w:val="center"/>
              <w:rPr>
                <w:rFonts w:eastAsia="仿宋" w:cs="Times New Roman"/>
                <w:color w:val="000000"/>
                <w:kern w:val="0"/>
                <w:sz w:val="21"/>
                <w:szCs w:val="21"/>
              </w:rPr>
            </w:pPr>
            <w:r>
              <w:rPr>
                <w:rFonts w:hint="eastAsia" w:eastAsia="仿宋" w:cs="Times New Roman"/>
                <w:color w:val="000000"/>
                <w:kern w:val="0"/>
                <w:sz w:val="21"/>
                <w:szCs w:val="21"/>
              </w:rPr>
              <w:t>2.80</w:t>
            </w:r>
          </w:p>
        </w:tc>
        <w:tc>
          <w:tcPr>
            <w:tcW w:w="1111" w:type="dxa"/>
            <w:noWrap/>
            <w:vAlign w:val="center"/>
          </w:tcPr>
          <w:p w14:paraId="092ECA3E">
            <w:pPr>
              <w:widowControl/>
              <w:adjustRightInd w:val="0"/>
              <w:snapToGrid w:val="0"/>
              <w:ind w:firstLine="0" w:firstLineChars="0"/>
              <w:jc w:val="center"/>
              <w:rPr>
                <w:rFonts w:eastAsia="仿宋" w:cs="Times New Roman"/>
                <w:color w:val="000000"/>
                <w:kern w:val="0"/>
                <w:sz w:val="21"/>
                <w:szCs w:val="21"/>
              </w:rPr>
            </w:pPr>
            <w:r>
              <w:rPr>
                <w:rFonts w:hint="eastAsia" w:eastAsia="仿宋" w:cs="Times New Roman"/>
                <w:color w:val="000000"/>
                <w:kern w:val="0"/>
                <w:sz w:val="21"/>
                <w:szCs w:val="21"/>
              </w:rPr>
              <w:t>2.80</w:t>
            </w:r>
          </w:p>
        </w:tc>
      </w:tr>
      <w:tr w14:paraId="06EB34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24" w:type="dxa"/>
            <w:noWrap/>
            <w:vAlign w:val="center"/>
          </w:tcPr>
          <w:p w14:paraId="1C20B52B">
            <w:pPr>
              <w:widowControl/>
              <w:adjustRightInd w:val="0"/>
              <w:snapToGrid w:val="0"/>
              <w:ind w:firstLine="0" w:firstLineChars="0"/>
              <w:jc w:val="center"/>
              <w:rPr>
                <w:rFonts w:eastAsia="仿宋" w:cs="Times New Roman"/>
                <w:color w:val="000000"/>
                <w:kern w:val="0"/>
                <w:sz w:val="21"/>
                <w:szCs w:val="21"/>
              </w:rPr>
            </w:pPr>
          </w:p>
        </w:tc>
        <w:tc>
          <w:tcPr>
            <w:tcW w:w="3171" w:type="dxa"/>
            <w:noWrap/>
            <w:vAlign w:val="center"/>
          </w:tcPr>
          <w:p w14:paraId="3CC4C158">
            <w:pPr>
              <w:widowControl/>
              <w:adjustRightInd w:val="0"/>
              <w:snapToGrid w:val="0"/>
              <w:ind w:firstLine="0" w:firstLineChars="0"/>
              <w:jc w:val="center"/>
              <w:rPr>
                <w:rFonts w:eastAsia="仿宋" w:cs="Times New Roman"/>
                <w:color w:val="000000"/>
                <w:kern w:val="0"/>
                <w:sz w:val="21"/>
                <w:szCs w:val="21"/>
              </w:rPr>
            </w:pPr>
            <w:r>
              <w:rPr>
                <w:rFonts w:eastAsia="仿宋" w:cs="Times New Roman"/>
                <w:color w:val="000000"/>
                <w:kern w:val="0"/>
                <w:sz w:val="21"/>
                <w:szCs w:val="21"/>
              </w:rPr>
              <w:t>一至五部分合计</w:t>
            </w:r>
          </w:p>
        </w:tc>
        <w:tc>
          <w:tcPr>
            <w:tcW w:w="1444" w:type="dxa"/>
            <w:noWrap/>
            <w:vAlign w:val="center"/>
          </w:tcPr>
          <w:p w14:paraId="2EBF7F55">
            <w:pPr>
              <w:widowControl/>
              <w:adjustRightInd w:val="0"/>
              <w:snapToGrid w:val="0"/>
              <w:ind w:firstLine="0" w:firstLineChars="0"/>
              <w:jc w:val="center"/>
              <w:rPr>
                <w:rFonts w:eastAsia="仿宋" w:cs="Times New Roman"/>
                <w:color w:val="000000"/>
                <w:kern w:val="0"/>
                <w:sz w:val="21"/>
                <w:szCs w:val="21"/>
              </w:rPr>
            </w:pPr>
            <w:r>
              <w:rPr>
                <w:rFonts w:hint="eastAsia" w:eastAsia="仿宋" w:cs="Times New Roman"/>
                <w:color w:val="000000"/>
                <w:kern w:val="0"/>
                <w:sz w:val="21"/>
                <w:szCs w:val="21"/>
              </w:rPr>
              <w:t>3.27</w:t>
            </w:r>
          </w:p>
        </w:tc>
        <w:tc>
          <w:tcPr>
            <w:tcW w:w="1235" w:type="dxa"/>
            <w:noWrap/>
            <w:vAlign w:val="center"/>
          </w:tcPr>
          <w:p w14:paraId="20A12E46">
            <w:pPr>
              <w:widowControl/>
              <w:adjustRightInd w:val="0"/>
              <w:snapToGrid w:val="0"/>
              <w:ind w:firstLine="0" w:firstLineChars="0"/>
              <w:jc w:val="center"/>
              <w:rPr>
                <w:rFonts w:eastAsia="仿宋" w:cs="Times New Roman"/>
                <w:color w:val="000000"/>
                <w:kern w:val="0"/>
                <w:sz w:val="21"/>
                <w:szCs w:val="21"/>
              </w:rPr>
            </w:pPr>
            <w:r>
              <w:rPr>
                <w:rFonts w:hint="eastAsia" w:eastAsia="仿宋" w:cs="Times New Roman"/>
                <w:color w:val="000000"/>
                <w:kern w:val="0"/>
                <w:sz w:val="21"/>
                <w:szCs w:val="21"/>
              </w:rPr>
              <w:t>21.80</w:t>
            </w:r>
          </w:p>
        </w:tc>
        <w:tc>
          <w:tcPr>
            <w:tcW w:w="1028" w:type="dxa"/>
            <w:noWrap/>
            <w:vAlign w:val="center"/>
          </w:tcPr>
          <w:p w14:paraId="42C3E230">
            <w:pPr>
              <w:widowControl/>
              <w:adjustRightInd w:val="0"/>
              <w:snapToGrid w:val="0"/>
              <w:ind w:firstLine="0" w:firstLineChars="0"/>
              <w:jc w:val="center"/>
              <w:rPr>
                <w:rFonts w:eastAsia="仿宋" w:cs="Times New Roman"/>
                <w:color w:val="000000"/>
                <w:kern w:val="0"/>
                <w:sz w:val="21"/>
                <w:szCs w:val="21"/>
              </w:rPr>
            </w:pPr>
            <w:r>
              <w:rPr>
                <w:rFonts w:hint="eastAsia" w:eastAsia="仿宋" w:cs="Times New Roman"/>
                <w:color w:val="000000"/>
                <w:kern w:val="0"/>
                <w:sz w:val="21"/>
                <w:szCs w:val="21"/>
              </w:rPr>
              <w:t>4.93</w:t>
            </w:r>
          </w:p>
        </w:tc>
        <w:tc>
          <w:tcPr>
            <w:tcW w:w="1111" w:type="dxa"/>
            <w:noWrap/>
            <w:vAlign w:val="center"/>
          </w:tcPr>
          <w:p w14:paraId="5E2FC040">
            <w:pPr>
              <w:widowControl/>
              <w:adjustRightInd w:val="0"/>
              <w:snapToGrid w:val="0"/>
              <w:ind w:firstLine="0" w:firstLineChars="0"/>
              <w:jc w:val="center"/>
              <w:rPr>
                <w:rFonts w:eastAsia="仿宋" w:cs="Times New Roman"/>
                <w:color w:val="000000"/>
                <w:kern w:val="0"/>
                <w:sz w:val="21"/>
                <w:szCs w:val="21"/>
              </w:rPr>
            </w:pPr>
            <w:r>
              <w:rPr>
                <w:rFonts w:hint="eastAsia" w:eastAsia="仿宋" w:cs="Times New Roman"/>
                <w:color w:val="000000"/>
                <w:kern w:val="0"/>
                <w:sz w:val="21"/>
                <w:szCs w:val="21"/>
              </w:rPr>
              <w:t>4.93</w:t>
            </w:r>
          </w:p>
        </w:tc>
      </w:tr>
      <w:tr w14:paraId="365DE6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24" w:type="dxa"/>
            <w:noWrap/>
            <w:vAlign w:val="center"/>
          </w:tcPr>
          <w:p w14:paraId="67DACE18">
            <w:pPr>
              <w:widowControl/>
              <w:adjustRightInd w:val="0"/>
              <w:snapToGrid w:val="0"/>
              <w:ind w:firstLine="0" w:firstLineChars="0"/>
              <w:jc w:val="center"/>
              <w:rPr>
                <w:rFonts w:eastAsia="仿宋" w:cs="Times New Roman"/>
                <w:color w:val="000000"/>
                <w:kern w:val="0"/>
                <w:sz w:val="21"/>
                <w:szCs w:val="21"/>
              </w:rPr>
            </w:pPr>
            <w:r>
              <w:rPr>
                <w:rFonts w:eastAsia="仿宋" w:cs="Times New Roman"/>
                <w:color w:val="000000"/>
                <w:kern w:val="0"/>
                <w:sz w:val="21"/>
                <w:szCs w:val="21"/>
              </w:rPr>
              <w:t>六</w:t>
            </w:r>
          </w:p>
        </w:tc>
        <w:tc>
          <w:tcPr>
            <w:tcW w:w="3171" w:type="dxa"/>
            <w:noWrap/>
            <w:vAlign w:val="center"/>
          </w:tcPr>
          <w:p w14:paraId="6A389591">
            <w:pPr>
              <w:widowControl/>
              <w:adjustRightInd w:val="0"/>
              <w:snapToGrid w:val="0"/>
              <w:ind w:firstLine="0" w:firstLineChars="0"/>
              <w:jc w:val="center"/>
              <w:rPr>
                <w:rFonts w:eastAsia="仿宋" w:cs="Times New Roman"/>
                <w:color w:val="000000"/>
                <w:kern w:val="0"/>
                <w:sz w:val="21"/>
                <w:szCs w:val="21"/>
              </w:rPr>
            </w:pPr>
            <w:r>
              <w:rPr>
                <w:rFonts w:eastAsia="仿宋" w:cs="Times New Roman"/>
                <w:color w:val="000000"/>
                <w:kern w:val="0"/>
                <w:sz w:val="21"/>
                <w:szCs w:val="21"/>
              </w:rPr>
              <w:t>预备费</w:t>
            </w:r>
          </w:p>
        </w:tc>
        <w:tc>
          <w:tcPr>
            <w:tcW w:w="1444" w:type="dxa"/>
            <w:noWrap/>
            <w:vAlign w:val="center"/>
          </w:tcPr>
          <w:p w14:paraId="32D687A1">
            <w:pPr>
              <w:widowControl/>
              <w:adjustRightInd w:val="0"/>
              <w:snapToGrid w:val="0"/>
              <w:ind w:firstLine="0" w:firstLineChars="0"/>
              <w:jc w:val="center"/>
              <w:rPr>
                <w:rFonts w:eastAsia="仿宋" w:cs="Times New Roman"/>
                <w:color w:val="000000"/>
                <w:kern w:val="0"/>
                <w:sz w:val="21"/>
                <w:szCs w:val="21"/>
              </w:rPr>
            </w:pPr>
          </w:p>
        </w:tc>
        <w:tc>
          <w:tcPr>
            <w:tcW w:w="1235" w:type="dxa"/>
            <w:noWrap/>
            <w:vAlign w:val="center"/>
          </w:tcPr>
          <w:p w14:paraId="4088FB56">
            <w:pPr>
              <w:widowControl/>
              <w:adjustRightInd w:val="0"/>
              <w:snapToGrid w:val="0"/>
              <w:ind w:firstLine="0" w:firstLineChars="0"/>
              <w:jc w:val="center"/>
              <w:rPr>
                <w:rFonts w:eastAsia="仿宋" w:cs="Times New Roman"/>
                <w:color w:val="000000"/>
                <w:kern w:val="0"/>
                <w:sz w:val="21"/>
                <w:szCs w:val="21"/>
              </w:rPr>
            </w:pPr>
          </w:p>
        </w:tc>
        <w:tc>
          <w:tcPr>
            <w:tcW w:w="1028" w:type="dxa"/>
            <w:noWrap/>
            <w:vAlign w:val="center"/>
          </w:tcPr>
          <w:p w14:paraId="3EB2BA2A">
            <w:pPr>
              <w:widowControl/>
              <w:adjustRightInd w:val="0"/>
              <w:snapToGrid w:val="0"/>
              <w:ind w:firstLine="0" w:firstLineChars="0"/>
              <w:jc w:val="center"/>
              <w:rPr>
                <w:rFonts w:eastAsia="仿宋" w:cs="Times New Roman"/>
                <w:color w:val="000000"/>
                <w:kern w:val="0"/>
                <w:sz w:val="21"/>
                <w:szCs w:val="21"/>
              </w:rPr>
            </w:pPr>
          </w:p>
        </w:tc>
        <w:tc>
          <w:tcPr>
            <w:tcW w:w="1111" w:type="dxa"/>
            <w:noWrap/>
            <w:vAlign w:val="center"/>
          </w:tcPr>
          <w:p w14:paraId="256BA937">
            <w:pPr>
              <w:widowControl/>
              <w:adjustRightInd w:val="0"/>
              <w:snapToGrid w:val="0"/>
              <w:ind w:firstLine="0" w:firstLineChars="0"/>
              <w:jc w:val="center"/>
              <w:rPr>
                <w:rFonts w:eastAsia="仿宋" w:cs="Times New Roman"/>
                <w:color w:val="000000"/>
                <w:kern w:val="0"/>
                <w:sz w:val="21"/>
                <w:szCs w:val="21"/>
              </w:rPr>
            </w:pPr>
          </w:p>
        </w:tc>
      </w:tr>
      <w:tr w14:paraId="6C5BE1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24" w:type="dxa"/>
            <w:noWrap/>
            <w:vAlign w:val="center"/>
          </w:tcPr>
          <w:p w14:paraId="13D23297">
            <w:pPr>
              <w:widowControl/>
              <w:adjustRightInd w:val="0"/>
              <w:snapToGrid w:val="0"/>
              <w:ind w:firstLine="0" w:firstLineChars="0"/>
              <w:jc w:val="center"/>
              <w:rPr>
                <w:rFonts w:eastAsia="仿宋" w:cs="Times New Roman"/>
                <w:color w:val="000000"/>
                <w:kern w:val="0"/>
                <w:sz w:val="21"/>
                <w:szCs w:val="21"/>
              </w:rPr>
            </w:pPr>
            <w:r>
              <w:rPr>
                <w:rFonts w:eastAsia="仿宋" w:cs="Times New Roman"/>
                <w:color w:val="000000"/>
                <w:kern w:val="0"/>
                <w:sz w:val="21"/>
                <w:szCs w:val="21"/>
              </w:rPr>
              <w:t>七</w:t>
            </w:r>
          </w:p>
        </w:tc>
        <w:tc>
          <w:tcPr>
            <w:tcW w:w="3171" w:type="dxa"/>
            <w:noWrap/>
            <w:vAlign w:val="center"/>
          </w:tcPr>
          <w:p w14:paraId="1627EF10">
            <w:pPr>
              <w:widowControl/>
              <w:adjustRightInd w:val="0"/>
              <w:snapToGrid w:val="0"/>
              <w:ind w:firstLine="0" w:firstLineChars="0"/>
              <w:jc w:val="center"/>
              <w:rPr>
                <w:rFonts w:eastAsia="仿宋" w:cs="Times New Roman"/>
                <w:color w:val="000000"/>
                <w:kern w:val="0"/>
                <w:sz w:val="21"/>
                <w:szCs w:val="21"/>
              </w:rPr>
            </w:pPr>
            <w:r>
              <w:rPr>
                <w:rFonts w:eastAsia="仿宋" w:cs="Times New Roman"/>
                <w:color w:val="000000"/>
                <w:kern w:val="0"/>
                <w:sz w:val="21"/>
                <w:szCs w:val="21"/>
              </w:rPr>
              <w:t>总投资</w:t>
            </w:r>
          </w:p>
        </w:tc>
        <w:tc>
          <w:tcPr>
            <w:tcW w:w="1444" w:type="dxa"/>
            <w:noWrap/>
            <w:vAlign w:val="center"/>
          </w:tcPr>
          <w:p w14:paraId="29F1BC52">
            <w:pPr>
              <w:widowControl/>
              <w:adjustRightInd w:val="0"/>
              <w:snapToGrid w:val="0"/>
              <w:ind w:firstLine="0" w:firstLineChars="0"/>
              <w:jc w:val="center"/>
              <w:rPr>
                <w:rFonts w:eastAsia="仿宋" w:cs="Times New Roman"/>
                <w:color w:val="000000"/>
                <w:kern w:val="0"/>
                <w:sz w:val="21"/>
                <w:szCs w:val="21"/>
              </w:rPr>
            </w:pPr>
            <w:r>
              <w:rPr>
                <w:rFonts w:hint="eastAsia" w:eastAsia="仿宋" w:cs="Times New Roman"/>
                <w:color w:val="000000"/>
                <w:kern w:val="0"/>
                <w:sz w:val="21"/>
                <w:szCs w:val="21"/>
              </w:rPr>
              <w:t>3.27</w:t>
            </w:r>
          </w:p>
        </w:tc>
        <w:tc>
          <w:tcPr>
            <w:tcW w:w="1235" w:type="dxa"/>
            <w:noWrap/>
            <w:vAlign w:val="center"/>
          </w:tcPr>
          <w:p w14:paraId="137B0DFA">
            <w:pPr>
              <w:widowControl/>
              <w:adjustRightInd w:val="0"/>
              <w:snapToGrid w:val="0"/>
              <w:ind w:firstLine="0" w:firstLineChars="0"/>
              <w:jc w:val="center"/>
              <w:rPr>
                <w:rFonts w:eastAsia="仿宋" w:cs="Times New Roman"/>
                <w:color w:val="000000"/>
                <w:kern w:val="0"/>
                <w:sz w:val="21"/>
                <w:szCs w:val="21"/>
              </w:rPr>
            </w:pPr>
            <w:r>
              <w:rPr>
                <w:rFonts w:hint="eastAsia" w:eastAsia="仿宋" w:cs="Times New Roman"/>
                <w:color w:val="000000"/>
                <w:kern w:val="0"/>
                <w:sz w:val="21"/>
                <w:szCs w:val="21"/>
              </w:rPr>
              <w:t>21.80</w:t>
            </w:r>
          </w:p>
        </w:tc>
        <w:tc>
          <w:tcPr>
            <w:tcW w:w="1028" w:type="dxa"/>
            <w:noWrap/>
            <w:vAlign w:val="center"/>
          </w:tcPr>
          <w:p w14:paraId="2B1CA050">
            <w:pPr>
              <w:widowControl/>
              <w:adjustRightInd w:val="0"/>
              <w:snapToGrid w:val="0"/>
              <w:ind w:firstLine="0" w:firstLineChars="0"/>
              <w:jc w:val="center"/>
              <w:rPr>
                <w:rFonts w:eastAsia="仿宋" w:cs="Times New Roman"/>
                <w:color w:val="000000"/>
                <w:kern w:val="0"/>
                <w:sz w:val="21"/>
                <w:szCs w:val="21"/>
              </w:rPr>
            </w:pPr>
            <w:r>
              <w:rPr>
                <w:rFonts w:hint="eastAsia" w:eastAsia="仿宋" w:cs="Times New Roman"/>
                <w:color w:val="000000"/>
                <w:kern w:val="0"/>
                <w:sz w:val="21"/>
                <w:szCs w:val="21"/>
              </w:rPr>
              <w:t>4.93</w:t>
            </w:r>
          </w:p>
        </w:tc>
        <w:tc>
          <w:tcPr>
            <w:tcW w:w="1111" w:type="dxa"/>
            <w:noWrap/>
            <w:vAlign w:val="center"/>
          </w:tcPr>
          <w:p w14:paraId="7F40EF6C">
            <w:pPr>
              <w:widowControl/>
              <w:adjustRightInd w:val="0"/>
              <w:snapToGrid w:val="0"/>
              <w:ind w:firstLine="0" w:firstLineChars="0"/>
              <w:jc w:val="center"/>
              <w:rPr>
                <w:rFonts w:eastAsia="仿宋" w:cs="Times New Roman"/>
                <w:color w:val="000000"/>
                <w:kern w:val="0"/>
                <w:sz w:val="21"/>
                <w:szCs w:val="21"/>
              </w:rPr>
            </w:pPr>
            <w:r>
              <w:rPr>
                <w:rFonts w:hint="eastAsia" w:eastAsia="仿宋" w:cs="Times New Roman"/>
                <w:color w:val="000000"/>
                <w:kern w:val="0"/>
                <w:sz w:val="21"/>
                <w:szCs w:val="21"/>
              </w:rPr>
              <w:t>30.00</w:t>
            </w:r>
          </w:p>
        </w:tc>
      </w:tr>
    </w:tbl>
    <w:p w14:paraId="33564253">
      <w:pPr>
        <w:pStyle w:val="79"/>
        <w:rPr>
          <w:rFonts w:ascii="Times New Roman" w:hAnsi="Times New Roman" w:cs="Times New Roman"/>
        </w:rPr>
      </w:pPr>
      <w:r>
        <w:rPr>
          <w:rFonts w:ascii="Times New Roman" w:hAnsi="Times New Roman" w:cs="Times New Roman"/>
        </w:rPr>
        <w:t>设备安装工程投资表</w:t>
      </w:r>
    </w:p>
    <w:tbl>
      <w:tblPr>
        <w:tblStyle w:val="32"/>
        <w:tblW w:w="885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0"/>
        <w:gridCol w:w="2088"/>
        <w:gridCol w:w="780"/>
        <w:gridCol w:w="781"/>
        <w:gridCol w:w="1043"/>
        <w:gridCol w:w="1204"/>
        <w:gridCol w:w="1131"/>
        <w:gridCol w:w="1043"/>
      </w:tblGrid>
      <w:tr w14:paraId="2908FD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780" w:type="dxa"/>
            <w:vMerge w:val="restart"/>
            <w:noWrap/>
            <w:vAlign w:val="center"/>
          </w:tcPr>
          <w:p w14:paraId="5322975F">
            <w:pPr>
              <w:widowControl/>
              <w:adjustRightInd w:val="0"/>
              <w:snapToGrid w:val="0"/>
              <w:ind w:firstLine="0" w:firstLineChars="0"/>
              <w:rPr>
                <w:rFonts w:eastAsia="仿宋" w:cs="Times New Roman"/>
                <w:color w:val="000000"/>
                <w:kern w:val="0"/>
                <w:sz w:val="21"/>
                <w:szCs w:val="21"/>
              </w:rPr>
            </w:pPr>
            <w:r>
              <w:rPr>
                <w:rFonts w:eastAsia="仿宋" w:cs="Times New Roman"/>
                <w:color w:val="000000"/>
                <w:kern w:val="0"/>
                <w:sz w:val="21"/>
                <w:szCs w:val="21"/>
              </w:rPr>
              <w:t>编号</w:t>
            </w:r>
          </w:p>
        </w:tc>
        <w:tc>
          <w:tcPr>
            <w:tcW w:w="2088" w:type="dxa"/>
            <w:vMerge w:val="restart"/>
            <w:noWrap/>
            <w:vAlign w:val="center"/>
          </w:tcPr>
          <w:p w14:paraId="69CF2E0C">
            <w:pPr>
              <w:widowControl/>
              <w:adjustRightInd w:val="0"/>
              <w:snapToGrid w:val="0"/>
              <w:ind w:firstLine="0" w:firstLineChars="0"/>
              <w:jc w:val="center"/>
              <w:rPr>
                <w:rFonts w:eastAsia="仿宋" w:cs="Times New Roman"/>
                <w:color w:val="000000"/>
                <w:kern w:val="0"/>
                <w:sz w:val="21"/>
                <w:szCs w:val="21"/>
              </w:rPr>
            </w:pPr>
            <w:r>
              <w:rPr>
                <w:rFonts w:eastAsia="仿宋" w:cs="Times New Roman"/>
                <w:color w:val="000000"/>
                <w:kern w:val="0"/>
                <w:sz w:val="21"/>
                <w:szCs w:val="21"/>
              </w:rPr>
              <w:t>工程或费用名称</w:t>
            </w:r>
          </w:p>
        </w:tc>
        <w:tc>
          <w:tcPr>
            <w:tcW w:w="780" w:type="dxa"/>
            <w:vMerge w:val="restart"/>
            <w:noWrap/>
            <w:vAlign w:val="center"/>
          </w:tcPr>
          <w:p w14:paraId="462236C0">
            <w:pPr>
              <w:widowControl/>
              <w:adjustRightInd w:val="0"/>
              <w:snapToGrid w:val="0"/>
              <w:ind w:firstLine="0" w:firstLineChars="0"/>
              <w:jc w:val="center"/>
              <w:rPr>
                <w:rFonts w:eastAsia="仿宋" w:cs="Times New Roman"/>
                <w:color w:val="000000"/>
                <w:kern w:val="0"/>
                <w:sz w:val="21"/>
                <w:szCs w:val="21"/>
              </w:rPr>
            </w:pPr>
            <w:r>
              <w:rPr>
                <w:rFonts w:eastAsia="仿宋" w:cs="Times New Roman"/>
                <w:color w:val="000000"/>
                <w:kern w:val="0"/>
                <w:sz w:val="21"/>
                <w:szCs w:val="21"/>
              </w:rPr>
              <w:t>单位</w:t>
            </w:r>
          </w:p>
        </w:tc>
        <w:tc>
          <w:tcPr>
            <w:tcW w:w="781" w:type="dxa"/>
            <w:vMerge w:val="restart"/>
            <w:noWrap/>
            <w:vAlign w:val="center"/>
          </w:tcPr>
          <w:p w14:paraId="7A16559C">
            <w:pPr>
              <w:widowControl/>
              <w:adjustRightInd w:val="0"/>
              <w:snapToGrid w:val="0"/>
              <w:ind w:firstLine="0" w:firstLineChars="0"/>
              <w:jc w:val="center"/>
              <w:rPr>
                <w:rFonts w:eastAsia="仿宋" w:cs="Times New Roman"/>
                <w:color w:val="000000"/>
                <w:kern w:val="0"/>
                <w:sz w:val="21"/>
                <w:szCs w:val="21"/>
              </w:rPr>
            </w:pPr>
            <w:r>
              <w:rPr>
                <w:rFonts w:eastAsia="仿宋" w:cs="Times New Roman"/>
                <w:color w:val="000000"/>
                <w:kern w:val="0"/>
                <w:sz w:val="21"/>
                <w:szCs w:val="21"/>
              </w:rPr>
              <w:t>数量</w:t>
            </w:r>
          </w:p>
        </w:tc>
        <w:tc>
          <w:tcPr>
            <w:tcW w:w="2247" w:type="dxa"/>
            <w:gridSpan w:val="2"/>
            <w:noWrap/>
            <w:vAlign w:val="center"/>
          </w:tcPr>
          <w:p w14:paraId="55C64B37">
            <w:pPr>
              <w:widowControl/>
              <w:adjustRightInd w:val="0"/>
              <w:snapToGrid w:val="0"/>
              <w:ind w:firstLine="0" w:firstLineChars="0"/>
              <w:jc w:val="center"/>
              <w:rPr>
                <w:rFonts w:eastAsia="仿宋" w:cs="Times New Roman"/>
                <w:color w:val="000000"/>
                <w:kern w:val="0"/>
                <w:sz w:val="21"/>
                <w:szCs w:val="21"/>
              </w:rPr>
            </w:pPr>
            <w:r>
              <w:rPr>
                <w:rFonts w:eastAsia="仿宋" w:cs="Times New Roman"/>
                <w:color w:val="000000"/>
                <w:kern w:val="0"/>
                <w:sz w:val="21"/>
                <w:szCs w:val="21"/>
              </w:rPr>
              <w:t>单价（元）</w:t>
            </w:r>
          </w:p>
        </w:tc>
        <w:tc>
          <w:tcPr>
            <w:tcW w:w="2174" w:type="dxa"/>
            <w:gridSpan w:val="2"/>
            <w:noWrap/>
            <w:vAlign w:val="center"/>
          </w:tcPr>
          <w:p w14:paraId="78E062CD">
            <w:pPr>
              <w:widowControl/>
              <w:adjustRightInd w:val="0"/>
              <w:snapToGrid w:val="0"/>
              <w:ind w:firstLine="0" w:firstLineChars="0"/>
              <w:jc w:val="center"/>
              <w:rPr>
                <w:rFonts w:eastAsia="仿宋" w:cs="Times New Roman"/>
                <w:color w:val="000000"/>
                <w:kern w:val="0"/>
                <w:sz w:val="21"/>
                <w:szCs w:val="21"/>
              </w:rPr>
            </w:pPr>
            <w:r>
              <w:rPr>
                <w:rFonts w:eastAsia="仿宋" w:cs="Times New Roman"/>
                <w:color w:val="000000"/>
                <w:kern w:val="0"/>
                <w:sz w:val="21"/>
                <w:szCs w:val="21"/>
              </w:rPr>
              <w:t>合计（元）</w:t>
            </w:r>
          </w:p>
        </w:tc>
      </w:tr>
      <w:tr w14:paraId="694C45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780" w:type="dxa"/>
            <w:vMerge w:val="continue"/>
            <w:vAlign w:val="center"/>
          </w:tcPr>
          <w:p w14:paraId="5350C0CA">
            <w:pPr>
              <w:widowControl/>
              <w:spacing w:line="240" w:lineRule="auto"/>
              <w:ind w:firstLine="0" w:firstLineChars="0"/>
              <w:jc w:val="left"/>
              <w:rPr>
                <w:rFonts w:eastAsia="仿宋" w:cs="Times New Roman"/>
                <w:color w:val="000000"/>
                <w:kern w:val="0"/>
                <w:sz w:val="21"/>
                <w:szCs w:val="21"/>
              </w:rPr>
            </w:pPr>
          </w:p>
        </w:tc>
        <w:tc>
          <w:tcPr>
            <w:tcW w:w="2088" w:type="dxa"/>
            <w:vMerge w:val="continue"/>
            <w:vAlign w:val="center"/>
          </w:tcPr>
          <w:p w14:paraId="19E6D8D3">
            <w:pPr>
              <w:widowControl/>
              <w:spacing w:line="240" w:lineRule="auto"/>
              <w:ind w:firstLine="0" w:firstLineChars="0"/>
              <w:jc w:val="left"/>
              <w:rPr>
                <w:rFonts w:eastAsia="仿宋" w:cs="Times New Roman"/>
                <w:color w:val="000000"/>
                <w:kern w:val="0"/>
                <w:sz w:val="21"/>
                <w:szCs w:val="21"/>
              </w:rPr>
            </w:pPr>
          </w:p>
        </w:tc>
        <w:tc>
          <w:tcPr>
            <w:tcW w:w="780" w:type="dxa"/>
            <w:vMerge w:val="continue"/>
            <w:vAlign w:val="center"/>
          </w:tcPr>
          <w:p w14:paraId="31EAF8E4">
            <w:pPr>
              <w:widowControl/>
              <w:spacing w:line="240" w:lineRule="auto"/>
              <w:ind w:firstLine="0" w:firstLineChars="0"/>
              <w:jc w:val="left"/>
              <w:rPr>
                <w:rFonts w:eastAsia="仿宋" w:cs="Times New Roman"/>
                <w:color w:val="000000"/>
                <w:kern w:val="0"/>
                <w:sz w:val="21"/>
                <w:szCs w:val="21"/>
              </w:rPr>
            </w:pPr>
          </w:p>
        </w:tc>
        <w:tc>
          <w:tcPr>
            <w:tcW w:w="781" w:type="dxa"/>
            <w:vMerge w:val="continue"/>
            <w:vAlign w:val="center"/>
          </w:tcPr>
          <w:p w14:paraId="4E886AA2">
            <w:pPr>
              <w:widowControl/>
              <w:spacing w:line="240" w:lineRule="auto"/>
              <w:ind w:firstLine="0" w:firstLineChars="0"/>
              <w:jc w:val="left"/>
              <w:rPr>
                <w:rFonts w:eastAsia="仿宋" w:cs="Times New Roman"/>
                <w:color w:val="000000"/>
                <w:kern w:val="0"/>
                <w:sz w:val="21"/>
                <w:szCs w:val="21"/>
              </w:rPr>
            </w:pPr>
          </w:p>
        </w:tc>
        <w:tc>
          <w:tcPr>
            <w:tcW w:w="1043" w:type="dxa"/>
            <w:noWrap/>
            <w:vAlign w:val="center"/>
          </w:tcPr>
          <w:p w14:paraId="4272AE9A">
            <w:pPr>
              <w:widowControl/>
              <w:adjustRightInd w:val="0"/>
              <w:snapToGrid w:val="0"/>
              <w:ind w:firstLine="0" w:firstLineChars="0"/>
              <w:jc w:val="center"/>
              <w:rPr>
                <w:rFonts w:eastAsia="仿宋" w:cs="Times New Roman"/>
                <w:color w:val="000000"/>
                <w:kern w:val="0"/>
                <w:sz w:val="21"/>
                <w:szCs w:val="21"/>
              </w:rPr>
            </w:pPr>
            <w:r>
              <w:rPr>
                <w:rFonts w:eastAsia="仿宋" w:cs="Times New Roman"/>
                <w:color w:val="000000"/>
                <w:kern w:val="0"/>
                <w:sz w:val="21"/>
                <w:szCs w:val="21"/>
              </w:rPr>
              <w:t>设备费</w:t>
            </w:r>
          </w:p>
        </w:tc>
        <w:tc>
          <w:tcPr>
            <w:tcW w:w="1204" w:type="dxa"/>
            <w:noWrap/>
            <w:vAlign w:val="center"/>
          </w:tcPr>
          <w:p w14:paraId="287CD919">
            <w:pPr>
              <w:widowControl/>
              <w:adjustRightInd w:val="0"/>
              <w:snapToGrid w:val="0"/>
              <w:ind w:firstLine="0" w:firstLineChars="0"/>
              <w:jc w:val="center"/>
              <w:rPr>
                <w:rFonts w:eastAsia="仿宋" w:cs="Times New Roman"/>
                <w:color w:val="000000"/>
                <w:kern w:val="0"/>
                <w:sz w:val="21"/>
                <w:szCs w:val="21"/>
              </w:rPr>
            </w:pPr>
            <w:r>
              <w:rPr>
                <w:rFonts w:eastAsia="仿宋" w:cs="Times New Roman"/>
                <w:color w:val="000000"/>
                <w:kern w:val="0"/>
                <w:sz w:val="21"/>
                <w:szCs w:val="21"/>
              </w:rPr>
              <w:t>安装费</w:t>
            </w:r>
          </w:p>
        </w:tc>
        <w:tc>
          <w:tcPr>
            <w:tcW w:w="1131" w:type="dxa"/>
            <w:noWrap/>
            <w:vAlign w:val="center"/>
          </w:tcPr>
          <w:p w14:paraId="24217228">
            <w:pPr>
              <w:widowControl/>
              <w:adjustRightInd w:val="0"/>
              <w:snapToGrid w:val="0"/>
              <w:ind w:firstLine="0" w:firstLineChars="0"/>
              <w:jc w:val="center"/>
              <w:rPr>
                <w:rFonts w:eastAsia="仿宋" w:cs="Times New Roman"/>
                <w:color w:val="000000"/>
                <w:kern w:val="0"/>
                <w:sz w:val="21"/>
                <w:szCs w:val="21"/>
              </w:rPr>
            </w:pPr>
            <w:r>
              <w:rPr>
                <w:rFonts w:eastAsia="仿宋" w:cs="Times New Roman"/>
                <w:color w:val="000000"/>
                <w:kern w:val="0"/>
                <w:sz w:val="21"/>
                <w:szCs w:val="21"/>
              </w:rPr>
              <w:t>设备费</w:t>
            </w:r>
          </w:p>
        </w:tc>
        <w:tc>
          <w:tcPr>
            <w:tcW w:w="1043" w:type="dxa"/>
            <w:noWrap/>
            <w:vAlign w:val="center"/>
          </w:tcPr>
          <w:p w14:paraId="0C5DF0FA">
            <w:pPr>
              <w:widowControl/>
              <w:adjustRightInd w:val="0"/>
              <w:snapToGrid w:val="0"/>
              <w:ind w:firstLine="0" w:firstLineChars="0"/>
              <w:jc w:val="center"/>
              <w:rPr>
                <w:rFonts w:eastAsia="仿宋" w:cs="Times New Roman"/>
                <w:color w:val="000000"/>
                <w:kern w:val="0"/>
                <w:sz w:val="21"/>
                <w:szCs w:val="21"/>
              </w:rPr>
            </w:pPr>
            <w:r>
              <w:rPr>
                <w:rFonts w:eastAsia="仿宋" w:cs="Times New Roman"/>
                <w:color w:val="000000"/>
                <w:kern w:val="0"/>
                <w:sz w:val="21"/>
                <w:szCs w:val="21"/>
              </w:rPr>
              <w:t>安装费</w:t>
            </w:r>
          </w:p>
        </w:tc>
      </w:tr>
      <w:tr w14:paraId="3E13EB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4429" w:type="dxa"/>
            <w:gridSpan w:val="4"/>
            <w:noWrap/>
            <w:vAlign w:val="center"/>
          </w:tcPr>
          <w:p w14:paraId="4AC99446">
            <w:pPr>
              <w:widowControl/>
              <w:adjustRightInd w:val="0"/>
              <w:snapToGrid w:val="0"/>
              <w:ind w:firstLine="0" w:firstLineChars="0"/>
              <w:jc w:val="center"/>
              <w:rPr>
                <w:rFonts w:eastAsia="仿宋" w:cs="Times New Roman"/>
                <w:color w:val="000000"/>
                <w:kern w:val="0"/>
                <w:sz w:val="21"/>
                <w:szCs w:val="21"/>
              </w:rPr>
            </w:pPr>
            <w:r>
              <w:rPr>
                <w:rFonts w:eastAsia="仿宋" w:cs="Times New Roman"/>
                <w:color w:val="000000"/>
                <w:kern w:val="0"/>
                <w:sz w:val="21"/>
                <w:szCs w:val="21"/>
              </w:rPr>
              <w:t>第二部分：机电设备及安装工程</w:t>
            </w:r>
          </w:p>
        </w:tc>
        <w:tc>
          <w:tcPr>
            <w:tcW w:w="1043" w:type="dxa"/>
            <w:noWrap/>
            <w:vAlign w:val="center"/>
          </w:tcPr>
          <w:p w14:paraId="4B862254">
            <w:pPr>
              <w:widowControl/>
              <w:adjustRightInd w:val="0"/>
              <w:snapToGrid w:val="0"/>
              <w:ind w:firstLine="0" w:firstLineChars="0"/>
              <w:jc w:val="center"/>
              <w:rPr>
                <w:rFonts w:eastAsia="仿宋" w:cs="Times New Roman"/>
                <w:color w:val="000000"/>
                <w:kern w:val="0"/>
                <w:sz w:val="21"/>
                <w:szCs w:val="21"/>
              </w:rPr>
            </w:pPr>
            <w:r>
              <w:rPr>
                <w:rFonts w:eastAsia="仿宋" w:cs="Times New Roman"/>
                <w:color w:val="000000"/>
                <w:kern w:val="0"/>
                <w:sz w:val="21"/>
                <w:szCs w:val="21"/>
              </w:rPr>
              <w:t>　</w:t>
            </w:r>
          </w:p>
        </w:tc>
        <w:tc>
          <w:tcPr>
            <w:tcW w:w="1204" w:type="dxa"/>
            <w:noWrap/>
            <w:vAlign w:val="center"/>
          </w:tcPr>
          <w:p w14:paraId="7FEA154A">
            <w:pPr>
              <w:widowControl/>
              <w:adjustRightInd w:val="0"/>
              <w:snapToGrid w:val="0"/>
              <w:ind w:firstLine="0" w:firstLineChars="0"/>
              <w:jc w:val="center"/>
              <w:rPr>
                <w:rFonts w:eastAsia="仿宋" w:cs="Times New Roman"/>
                <w:color w:val="000000"/>
                <w:kern w:val="0"/>
                <w:sz w:val="21"/>
                <w:szCs w:val="21"/>
              </w:rPr>
            </w:pPr>
            <w:r>
              <w:rPr>
                <w:rFonts w:eastAsia="仿宋" w:cs="Times New Roman"/>
                <w:color w:val="000000"/>
                <w:kern w:val="0"/>
                <w:sz w:val="21"/>
                <w:szCs w:val="21"/>
              </w:rPr>
              <w:t>　</w:t>
            </w:r>
          </w:p>
        </w:tc>
        <w:tc>
          <w:tcPr>
            <w:tcW w:w="1131" w:type="dxa"/>
            <w:noWrap/>
            <w:vAlign w:val="center"/>
          </w:tcPr>
          <w:p w14:paraId="1C456D4F">
            <w:pPr>
              <w:widowControl/>
              <w:adjustRightInd w:val="0"/>
              <w:snapToGrid w:val="0"/>
              <w:ind w:firstLine="0" w:firstLineChars="0"/>
              <w:jc w:val="center"/>
              <w:rPr>
                <w:rFonts w:eastAsia="仿宋" w:cs="Times New Roman"/>
                <w:color w:val="000000"/>
                <w:kern w:val="0"/>
                <w:sz w:val="21"/>
                <w:szCs w:val="21"/>
              </w:rPr>
            </w:pPr>
            <w:r>
              <w:rPr>
                <w:rFonts w:hint="eastAsia" w:eastAsia="仿宋" w:cs="Times New Roman"/>
                <w:color w:val="000000"/>
                <w:kern w:val="0"/>
                <w:sz w:val="21"/>
                <w:szCs w:val="21"/>
              </w:rPr>
              <w:t>217965</w:t>
            </w:r>
          </w:p>
        </w:tc>
        <w:tc>
          <w:tcPr>
            <w:tcW w:w="1043" w:type="dxa"/>
            <w:noWrap/>
            <w:vAlign w:val="center"/>
          </w:tcPr>
          <w:p w14:paraId="693D5B43">
            <w:pPr>
              <w:widowControl/>
              <w:adjustRightInd w:val="0"/>
              <w:snapToGrid w:val="0"/>
              <w:ind w:firstLine="0" w:firstLineChars="0"/>
              <w:jc w:val="center"/>
              <w:rPr>
                <w:rFonts w:eastAsia="仿宋" w:cs="Times New Roman"/>
                <w:color w:val="000000"/>
                <w:kern w:val="0"/>
                <w:sz w:val="21"/>
                <w:szCs w:val="21"/>
              </w:rPr>
            </w:pPr>
            <w:r>
              <w:rPr>
                <w:rFonts w:hint="eastAsia" w:eastAsia="仿宋" w:cs="Times New Roman"/>
                <w:color w:val="000000"/>
                <w:kern w:val="0"/>
                <w:sz w:val="21"/>
                <w:szCs w:val="21"/>
              </w:rPr>
              <w:t>32694.75</w:t>
            </w:r>
          </w:p>
        </w:tc>
      </w:tr>
      <w:tr w14:paraId="0066A6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780" w:type="dxa"/>
            <w:noWrap/>
            <w:vAlign w:val="center"/>
          </w:tcPr>
          <w:p w14:paraId="720A5718">
            <w:pPr>
              <w:widowControl/>
              <w:adjustRightInd w:val="0"/>
              <w:snapToGrid w:val="0"/>
              <w:ind w:firstLine="0" w:firstLineChars="0"/>
              <w:jc w:val="center"/>
              <w:rPr>
                <w:rFonts w:eastAsia="仿宋" w:cs="Times New Roman"/>
                <w:color w:val="000000"/>
                <w:kern w:val="0"/>
                <w:sz w:val="21"/>
                <w:szCs w:val="21"/>
              </w:rPr>
            </w:pPr>
            <w:r>
              <w:rPr>
                <w:rFonts w:eastAsia="仿宋" w:cs="Times New Roman"/>
                <w:color w:val="000000"/>
                <w:kern w:val="0"/>
                <w:sz w:val="21"/>
                <w:szCs w:val="21"/>
              </w:rPr>
              <w:t>1</w:t>
            </w:r>
          </w:p>
        </w:tc>
        <w:tc>
          <w:tcPr>
            <w:tcW w:w="2088" w:type="dxa"/>
            <w:noWrap/>
            <w:vAlign w:val="center"/>
          </w:tcPr>
          <w:p w14:paraId="25CF7672">
            <w:pPr>
              <w:widowControl/>
              <w:adjustRightInd w:val="0"/>
              <w:snapToGrid w:val="0"/>
              <w:ind w:firstLine="0" w:firstLineChars="0"/>
              <w:jc w:val="center"/>
              <w:rPr>
                <w:rFonts w:eastAsia="仿宋" w:cs="Times New Roman"/>
                <w:color w:val="000000"/>
                <w:kern w:val="0"/>
                <w:sz w:val="21"/>
                <w:szCs w:val="21"/>
              </w:rPr>
            </w:pPr>
            <w:r>
              <w:rPr>
                <w:rFonts w:eastAsia="仿宋" w:cs="Times New Roman"/>
                <w:color w:val="000000"/>
                <w:kern w:val="0"/>
                <w:sz w:val="21"/>
                <w:szCs w:val="21"/>
              </w:rPr>
              <w:t>渠道流量仪</w:t>
            </w:r>
          </w:p>
        </w:tc>
        <w:tc>
          <w:tcPr>
            <w:tcW w:w="780" w:type="dxa"/>
            <w:noWrap/>
            <w:vAlign w:val="center"/>
          </w:tcPr>
          <w:p w14:paraId="614C276B">
            <w:pPr>
              <w:widowControl/>
              <w:adjustRightInd w:val="0"/>
              <w:snapToGrid w:val="0"/>
              <w:ind w:firstLine="0" w:firstLineChars="0"/>
              <w:jc w:val="center"/>
              <w:rPr>
                <w:rFonts w:eastAsia="仿宋" w:cs="Times New Roman"/>
                <w:color w:val="000000"/>
                <w:kern w:val="0"/>
                <w:sz w:val="21"/>
                <w:szCs w:val="21"/>
              </w:rPr>
            </w:pPr>
            <w:r>
              <w:rPr>
                <w:rFonts w:eastAsia="仿宋" w:cs="Times New Roman"/>
                <w:color w:val="000000"/>
                <w:kern w:val="0"/>
                <w:sz w:val="21"/>
                <w:szCs w:val="21"/>
              </w:rPr>
              <w:t>个</w:t>
            </w:r>
          </w:p>
        </w:tc>
        <w:tc>
          <w:tcPr>
            <w:tcW w:w="781" w:type="dxa"/>
            <w:noWrap/>
            <w:vAlign w:val="center"/>
          </w:tcPr>
          <w:p w14:paraId="21AFF290">
            <w:pPr>
              <w:widowControl/>
              <w:adjustRightInd w:val="0"/>
              <w:snapToGrid w:val="0"/>
              <w:ind w:firstLine="0" w:firstLineChars="0"/>
              <w:jc w:val="center"/>
              <w:rPr>
                <w:rFonts w:eastAsia="仿宋" w:cs="Times New Roman"/>
                <w:color w:val="000000"/>
                <w:kern w:val="0"/>
                <w:sz w:val="21"/>
                <w:szCs w:val="21"/>
              </w:rPr>
            </w:pPr>
            <w:r>
              <w:rPr>
                <w:rFonts w:hint="eastAsia" w:eastAsia="仿宋" w:cs="Times New Roman"/>
                <w:color w:val="000000"/>
                <w:kern w:val="0"/>
                <w:sz w:val="21"/>
                <w:szCs w:val="21"/>
              </w:rPr>
              <w:t>9</w:t>
            </w:r>
          </w:p>
        </w:tc>
        <w:tc>
          <w:tcPr>
            <w:tcW w:w="1043" w:type="dxa"/>
            <w:noWrap/>
            <w:vAlign w:val="center"/>
          </w:tcPr>
          <w:p w14:paraId="579146FA">
            <w:pPr>
              <w:widowControl/>
              <w:adjustRightInd w:val="0"/>
              <w:snapToGrid w:val="0"/>
              <w:ind w:firstLine="0" w:firstLineChars="0"/>
              <w:jc w:val="center"/>
              <w:rPr>
                <w:rFonts w:eastAsia="仿宋" w:cs="Times New Roman"/>
                <w:color w:val="000000"/>
                <w:kern w:val="0"/>
                <w:sz w:val="21"/>
                <w:szCs w:val="21"/>
              </w:rPr>
            </w:pPr>
            <w:r>
              <w:rPr>
                <w:rFonts w:eastAsia="仿宋" w:cs="Times New Roman"/>
                <w:color w:val="000000"/>
                <w:kern w:val="0"/>
                <w:sz w:val="21"/>
                <w:szCs w:val="21"/>
              </w:rPr>
              <w:t>19285</w:t>
            </w:r>
          </w:p>
        </w:tc>
        <w:tc>
          <w:tcPr>
            <w:tcW w:w="1204" w:type="dxa"/>
            <w:noWrap/>
            <w:vAlign w:val="center"/>
          </w:tcPr>
          <w:p w14:paraId="27455CB8">
            <w:pPr>
              <w:widowControl/>
              <w:adjustRightInd w:val="0"/>
              <w:snapToGrid w:val="0"/>
              <w:ind w:firstLine="0" w:firstLineChars="0"/>
              <w:jc w:val="center"/>
              <w:rPr>
                <w:rFonts w:eastAsia="仿宋" w:cs="Times New Roman"/>
                <w:color w:val="000000"/>
                <w:kern w:val="0"/>
                <w:sz w:val="21"/>
                <w:szCs w:val="21"/>
              </w:rPr>
            </w:pPr>
            <w:r>
              <w:rPr>
                <w:rFonts w:eastAsia="仿宋" w:cs="Times New Roman"/>
                <w:color w:val="000000"/>
                <w:kern w:val="0"/>
                <w:sz w:val="21"/>
                <w:szCs w:val="21"/>
              </w:rPr>
              <w:t>2892.75</w:t>
            </w:r>
          </w:p>
        </w:tc>
        <w:tc>
          <w:tcPr>
            <w:tcW w:w="1131" w:type="dxa"/>
            <w:noWrap/>
            <w:vAlign w:val="center"/>
          </w:tcPr>
          <w:p w14:paraId="5CCE88F3">
            <w:pPr>
              <w:widowControl/>
              <w:adjustRightInd w:val="0"/>
              <w:snapToGrid w:val="0"/>
              <w:ind w:firstLine="0" w:firstLineChars="0"/>
              <w:jc w:val="center"/>
              <w:rPr>
                <w:rFonts w:eastAsia="仿宋" w:cs="Times New Roman"/>
                <w:color w:val="000000"/>
                <w:kern w:val="0"/>
                <w:sz w:val="21"/>
                <w:szCs w:val="21"/>
              </w:rPr>
            </w:pPr>
            <w:r>
              <w:rPr>
                <w:rFonts w:hint="eastAsia" w:eastAsia="仿宋" w:cs="Times New Roman"/>
                <w:color w:val="000000"/>
                <w:kern w:val="0"/>
                <w:sz w:val="21"/>
                <w:szCs w:val="21"/>
              </w:rPr>
              <w:t>173565</w:t>
            </w:r>
          </w:p>
        </w:tc>
        <w:tc>
          <w:tcPr>
            <w:tcW w:w="1043" w:type="dxa"/>
            <w:noWrap/>
            <w:vAlign w:val="center"/>
          </w:tcPr>
          <w:p w14:paraId="126B8CF0">
            <w:pPr>
              <w:widowControl/>
              <w:adjustRightInd w:val="0"/>
              <w:snapToGrid w:val="0"/>
              <w:ind w:firstLine="0" w:firstLineChars="0"/>
              <w:jc w:val="center"/>
              <w:rPr>
                <w:rFonts w:eastAsia="仿宋" w:cs="Times New Roman"/>
                <w:color w:val="000000"/>
                <w:kern w:val="0"/>
                <w:sz w:val="21"/>
                <w:szCs w:val="21"/>
              </w:rPr>
            </w:pPr>
            <w:r>
              <w:rPr>
                <w:rFonts w:hint="eastAsia" w:eastAsia="仿宋" w:cs="Times New Roman"/>
                <w:color w:val="000000"/>
                <w:kern w:val="0"/>
                <w:sz w:val="21"/>
                <w:szCs w:val="21"/>
              </w:rPr>
              <w:t>26034.75</w:t>
            </w:r>
          </w:p>
        </w:tc>
      </w:tr>
      <w:tr w14:paraId="0421C8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780" w:type="dxa"/>
            <w:noWrap/>
            <w:vAlign w:val="center"/>
          </w:tcPr>
          <w:p w14:paraId="7676B15C">
            <w:pPr>
              <w:widowControl/>
              <w:adjustRightInd w:val="0"/>
              <w:snapToGrid w:val="0"/>
              <w:ind w:firstLine="0" w:firstLineChars="0"/>
              <w:jc w:val="center"/>
              <w:rPr>
                <w:rFonts w:eastAsia="仿宋" w:cs="Times New Roman"/>
                <w:color w:val="000000"/>
                <w:kern w:val="0"/>
                <w:sz w:val="21"/>
                <w:szCs w:val="21"/>
              </w:rPr>
            </w:pPr>
            <w:r>
              <w:rPr>
                <w:rFonts w:hint="eastAsia" w:eastAsia="仿宋" w:cs="Times New Roman"/>
                <w:color w:val="000000"/>
                <w:kern w:val="0"/>
                <w:sz w:val="21"/>
                <w:szCs w:val="21"/>
              </w:rPr>
              <w:t>2</w:t>
            </w:r>
          </w:p>
        </w:tc>
        <w:tc>
          <w:tcPr>
            <w:tcW w:w="2088" w:type="dxa"/>
            <w:noWrap/>
            <w:vAlign w:val="center"/>
          </w:tcPr>
          <w:p w14:paraId="4E8F1C70">
            <w:pPr>
              <w:widowControl/>
              <w:adjustRightInd w:val="0"/>
              <w:snapToGrid w:val="0"/>
              <w:ind w:firstLine="0" w:firstLineChars="0"/>
              <w:jc w:val="center"/>
              <w:rPr>
                <w:rFonts w:eastAsia="仿宋" w:cs="Times New Roman"/>
                <w:color w:val="000000"/>
                <w:kern w:val="0"/>
                <w:sz w:val="21"/>
                <w:szCs w:val="21"/>
              </w:rPr>
            </w:pPr>
            <w:r>
              <w:rPr>
                <w:rFonts w:eastAsia="仿宋" w:cs="Times New Roman"/>
                <w:color w:val="000000"/>
                <w:kern w:val="0"/>
                <w:sz w:val="21"/>
                <w:szCs w:val="21"/>
              </w:rPr>
              <w:t>管道流量仪</w:t>
            </w:r>
          </w:p>
        </w:tc>
        <w:tc>
          <w:tcPr>
            <w:tcW w:w="780" w:type="dxa"/>
            <w:noWrap/>
            <w:vAlign w:val="center"/>
          </w:tcPr>
          <w:p w14:paraId="6D3C0AB7">
            <w:pPr>
              <w:widowControl/>
              <w:adjustRightInd w:val="0"/>
              <w:snapToGrid w:val="0"/>
              <w:ind w:firstLine="0" w:firstLineChars="0"/>
              <w:jc w:val="center"/>
              <w:rPr>
                <w:rFonts w:eastAsia="仿宋" w:cs="Times New Roman"/>
                <w:color w:val="000000"/>
                <w:kern w:val="0"/>
                <w:sz w:val="21"/>
                <w:szCs w:val="21"/>
              </w:rPr>
            </w:pPr>
            <w:r>
              <w:rPr>
                <w:rFonts w:eastAsia="仿宋" w:cs="Times New Roman"/>
                <w:color w:val="000000"/>
                <w:kern w:val="0"/>
                <w:sz w:val="21"/>
                <w:szCs w:val="21"/>
              </w:rPr>
              <w:t>个</w:t>
            </w:r>
          </w:p>
        </w:tc>
        <w:tc>
          <w:tcPr>
            <w:tcW w:w="781" w:type="dxa"/>
            <w:noWrap/>
            <w:vAlign w:val="center"/>
          </w:tcPr>
          <w:p w14:paraId="0FD5798E">
            <w:pPr>
              <w:widowControl/>
              <w:adjustRightInd w:val="0"/>
              <w:snapToGrid w:val="0"/>
              <w:ind w:firstLine="0" w:firstLineChars="0"/>
              <w:jc w:val="center"/>
              <w:rPr>
                <w:rFonts w:eastAsia="仿宋" w:cs="Times New Roman"/>
                <w:color w:val="000000"/>
                <w:kern w:val="0"/>
                <w:sz w:val="21"/>
                <w:szCs w:val="21"/>
              </w:rPr>
            </w:pPr>
            <w:r>
              <w:rPr>
                <w:rFonts w:hint="eastAsia" w:eastAsia="仿宋" w:cs="Times New Roman"/>
                <w:color w:val="000000"/>
                <w:kern w:val="0"/>
                <w:sz w:val="21"/>
                <w:szCs w:val="21"/>
              </w:rPr>
              <w:t>2</w:t>
            </w:r>
          </w:p>
        </w:tc>
        <w:tc>
          <w:tcPr>
            <w:tcW w:w="1043" w:type="dxa"/>
            <w:noWrap/>
            <w:vAlign w:val="center"/>
          </w:tcPr>
          <w:p w14:paraId="0CE558A6">
            <w:pPr>
              <w:widowControl/>
              <w:adjustRightInd w:val="0"/>
              <w:snapToGrid w:val="0"/>
              <w:ind w:firstLine="0" w:firstLineChars="0"/>
              <w:jc w:val="center"/>
              <w:rPr>
                <w:rFonts w:eastAsia="仿宋" w:cs="Times New Roman"/>
                <w:color w:val="000000"/>
                <w:kern w:val="0"/>
                <w:sz w:val="21"/>
                <w:szCs w:val="21"/>
              </w:rPr>
            </w:pPr>
            <w:r>
              <w:rPr>
                <w:rFonts w:hint="eastAsia" w:eastAsia="仿宋" w:cs="Times New Roman"/>
                <w:color w:val="000000"/>
                <w:kern w:val="0"/>
                <w:sz w:val="21"/>
                <w:szCs w:val="21"/>
              </w:rPr>
              <w:t>22200</w:t>
            </w:r>
          </w:p>
        </w:tc>
        <w:tc>
          <w:tcPr>
            <w:tcW w:w="1204" w:type="dxa"/>
            <w:noWrap/>
            <w:vAlign w:val="center"/>
          </w:tcPr>
          <w:p w14:paraId="3B64BEDA">
            <w:pPr>
              <w:widowControl/>
              <w:adjustRightInd w:val="0"/>
              <w:snapToGrid w:val="0"/>
              <w:ind w:firstLine="0" w:firstLineChars="0"/>
              <w:jc w:val="center"/>
              <w:rPr>
                <w:rFonts w:eastAsia="仿宋" w:cs="Times New Roman"/>
                <w:color w:val="000000"/>
                <w:kern w:val="0"/>
                <w:sz w:val="21"/>
                <w:szCs w:val="21"/>
              </w:rPr>
            </w:pPr>
            <w:r>
              <w:rPr>
                <w:rFonts w:hint="eastAsia" w:eastAsia="仿宋" w:cs="Times New Roman"/>
                <w:color w:val="000000"/>
                <w:kern w:val="0"/>
                <w:sz w:val="21"/>
                <w:szCs w:val="21"/>
              </w:rPr>
              <w:t>3330</w:t>
            </w:r>
          </w:p>
        </w:tc>
        <w:tc>
          <w:tcPr>
            <w:tcW w:w="1131" w:type="dxa"/>
            <w:noWrap/>
            <w:vAlign w:val="center"/>
          </w:tcPr>
          <w:p w14:paraId="733A6061">
            <w:pPr>
              <w:widowControl/>
              <w:adjustRightInd w:val="0"/>
              <w:snapToGrid w:val="0"/>
              <w:ind w:firstLine="0" w:firstLineChars="0"/>
              <w:jc w:val="center"/>
              <w:rPr>
                <w:rFonts w:eastAsia="仿宋" w:cs="Times New Roman"/>
                <w:color w:val="000000"/>
                <w:kern w:val="0"/>
                <w:sz w:val="21"/>
                <w:szCs w:val="21"/>
              </w:rPr>
            </w:pPr>
            <w:r>
              <w:rPr>
                <w:rFonts w:hint="eastAsia" w:eastAsia="仿宋" w:cs="Times New Roman"/>
                <w:color w:val="000000"/>
                <w:kern w:val="0"/>
                <w:sz w:val="21"/>
                <w:szCs w:val="21"/>
              </w:rPr>
              <w:t>44400</w:t>
            </w:r>
          </w:p>
        </w:tc>
        <w:tc>
          <w:tcPr>
            <w:tcW w:w="1043" w:type="dxa"/>
            <w:noWrap/>
            <w:vAlign w:val="center"/>
          </w:tcPr>
          <w:p w14:paraId="20CE6A19">
            <w:pPr>
              <w:widowControl/>
              <w:adjustRightInd w:val="0"/>
              <w:snapToGrid w:val="0"/>
              <w:ind w:firstLine="0" w:firstLineChars="0"/>
              <w:jc w:val="center"/>
              <w:rPr>
                <w:rFonts w:eastAsia="仿宋" w:cs="Times New Roman"/>
                <w:color w:val="000000"/>
                <w:kern w:val="0"/>
                <w:sz w:val="21"/>
                <w:szCs w:val="21"/>
              </w:rPr>
            </w:pPr>
            <w:r>
              <w:rPr>
                <w:rFonts w:hint="eastAsia" w:eastAsia="仿宋" w:cs="Times New Roman"/>
                <w:color w:val="000000"/>
                <w:kern w:val="0"/>
                <w:sz w:val="21"/>
                <w:szCs w:val="21"/>
              </w:rPr>
              <w:t>6660</w:t>
            </w:r>
          </w:p>
        </w:tc>
      </w:tr>
    </w:tbl>
    <w:p w14:paraId="19FA438F">
      <w:pPr>
        <w:pStyle w:val="3"/>
        <w:rPr>
          <w:rFonts w:ascii="Times New Roman" w:hAnsi="Times New Roman" w:cs="Times New Roman"/>
        </w:rPr>
      </w:pPr>
      <w:bookmarkStart w:id="52" w:name="_Toc109121665"/>
      <w:r>
        <w:rPr>
          <w:rFonts w:ascii="Times New Roman" w:hAnsi="Times New Roman" w:cs="Times New Roman"/>
        </w:rPr>
        <w:t>资金筹措</w:t>
      </w:r>
      <w:bookmarkEnd w:id="52"/>
    </w:p>
    <w:p w14:paraId="065B78BD">
      <w:pPr>
        <w:ind w:firstLine="560"/>
        <w:rPr>
          <w:rFonts w:cs="Times New Roman"/>
          <w:sz w:val="24"/>
          <w:szCs w:val="24"/>
        </w:rPr>
      </w:pPr>
      <w:r>
        <w:rPr>
          <w:rFonts w:cs="Times New Roman"/>
        </w:rPr>
        <w:t>富民县农业水价综合改革项目预算总投资</w:t>
      </w:r>
      <w:r>
        <w:rPr>
          <w:rFonts w:hint="eastAsia" w:cs="Times New Roman"/>
        </w:rPr>
        <w:t>30.00</w:t>
      </w:r>
      <w:r>
        <w:rPr>
          <w:rFonts w:cs="Times New Roman"/>
        </w:rPr>
        <w:t>万元。</w:t>
      </w:r>
    </w:p>
    <w:p w14:paraId="53C7E745">
      <w:pPr>
        <w:ind w:firstLine="560"/>
        <w:rPr>
          <w:rFonts w:cs="Times New Roman"/>
        </w:rPr>
        <w:sectPr>
          <w:pgSz w:w="12240" w:h="15840"/>
          <w:pgMar w:top="1440" w:right="1803" w:bottom="1440" w:left="1803" w:header="720" w:footer="720" w:gutter="0"/>
          <w:pgNumType w:fmt="numberInDash"/>
          <w:cols w:space="0" w:num="1"/>
          <w:docGrid w:linePitch="312" w:charSpace="0"/>
        </w:sectPr>
      </w:pPr>
    </w:p>
    <w:p w14:paraId="032490DB">
      <w:pPr>
        <w:pStyle w:val="2"/>
        <w:rPr>
          <w:rFonts w:cs="Times New Roman"/>
        </w:rPr>
      </w:pPr>
      <w:bookmarkStart w:id="53" w:name="_Toc109121666"/>
      <w:r>
        <w:rPr>
          <w:rFonts w:cs="Times New Roman"/>
        </w:rPr>
        <w:t>效益分析</w:t>
      </w:r>
      <w:bookmarkEnd w:id="53"/>
    </w:p>
    <w:p w14:paraId="1C42C5FE">
      <w:pPr>
        <w:pStyle w:val="3"/>
        <w:rPr>
          <w:rFonts w:ascii="Times New Roman" w:hAnsi="Times New Roman" w:cs="Times New Roman"/>
        </w:rPr>
      </w:pPr>
      <w:bookmarkStart w:id="54" w:name="_Toc109121667"/>
      <w:r>
        <w:rPr>
          <w:rFonts w:ascii="Times New Roman" w:hAnsi="Times New Roman" w:cs="Times New Roman"/>
        </w:rPr>
        <w:t>经济效益</w:t>
      </w:r>
      <w:bookmarkEnd w:id="54"/>
    </w:p>
    <w:p w14:paraId="50C628C0">
      <w:pPr>
        <w:ind w:firstLine="560"/>
        <w:rPr>
          <w:rFonts w:cs="Times New Roman"/>
        </w:rPr>
      </w:pPr>
      <w:r>
        <w:rPr>
          <w:rFonts w:cs="Times New Roman"/>
        </w:rPr>
        <w:t>2022年项目实施后，可改善灌溉面积8400亩。项目区以种植玉米、小麦为主。玉米每亩预计可增产25kg，总产量增加21.00万kg，以2.5元/kg计，项目区玉米年增收52.5万元。小麦每亩预计可增产50kg，以综合价4元/kg计，项目区小麦年增收126.0万元。经果林每亩预计可增产20kg，以综合价1.0元/kg计，项目区经果林年增收16.8万元。整个项目区农业增产效益195.3万元。</w:t>
      </w:r>
    </w:p>
    <w:p w14:paraId="0E870DCE">
      <w:pPr>
        <w:ind w:firstLine="560"/>
        <w:rPr>
          <w:rFonts w:cs="Times New Roman"/>
        </w:rPr>
      </w:pPr>
      <w:r>
        <w:rPr>
          <w:rFonts w:cs="Times New Roman"/>
        </w:rPr>
        <w:t>项目实施后，每亩地预计可节水30m</w:t>
      </w:r>
      <w:r>
        <w:rPr>
          <w:rFonts w:cs="Times New Roman"/>
          <w:vertAlign w:val="superscript"/>
        </w:rPr>
        <w:t>3</w:t>
      </w:r>
      <w:r>
        <w:rPr>
          <w:rFonts w:cs="Times New Roman"/>
        </w:rPr>
        <w:t>，年节水量可达到25.2万m</w:t>
      </w:r>
      <w:r>
        <w:rPr>
          <w:rFonts w:cs="Times New Roman"/>
          <w:vertAlign w:val="superscript"/>
        </w:rPr>
        <w:t>3</w:t>
      </w:r>
      <w:r>
        <w:rPr>
          <w:rFonts w:cs="Times New Roman"/>
        </w:rPr>
        <w:t>，每立方米水按成本水价0.5元计算，年节水效益12.6万元。</w:t>
      </w:r>
    </w:p>
    <w:p w14:paraId="7F7379B2">
      <w:pPr>
        <w:ind w:firstLine="560"/>
        <w:rPr>
          <w:rFonts w:cs="Times New Roman"/>
        </w:rPr>
      </w:pPr>
      <w:r>
        <w:rPr>
          <w:rFonts w:cs="Times New Roman"/>
        </w:rPr>
        <w:t>综上计算，项目可产生经济效益207.9万元。</w:t>
      </w:r>
    </w:p>
    <w:p w14:paraId="37B69B90">
      <w:pPr>
        <w:ind w:firstLine="560"/>
        <w:rPr>
          <w:rFonts w:cs="Times New Roman"/>
        </w:rPr>
      </w:pPr>
      <w:r>
        <w:rPr>
          <w:rFonts w:cs="Times New Roman"/>
        </w:rPr>
        <w:t>2023年及2024年改革面积实施后，预计经济效益与2022年趋势相符。</w:t>
      </w:r>
    </w:p>
    <w:p w14:paraId="3F0F38FB">
      <w:pPr>
        <w:pStyle w:val="3"/>
        <w:rPr>
          <w:rFonts w:ascii="Times New Roman" w:hAnsi="Times New Roman" w:cs="Times New Roman"/>
        </w:rPr>
      </w:pPr>
      <w:bookmarkStart w:id="55" w:name="_Toc109121668"/>
      <w:r>
        <w:rPr>
          <w:rFonts w:ascii="Times New Roman" w:hAnsi="Times New Roman" w:cs="Times New Roman"/>
        </w:rPr>
        <w:t>环境效益</w:t>
      </w:r>
      <w:bookmarkEnd w:id="55"/>
    </w:p>
    <w:p w14:paraId="040CEDAB">
      <w:pPr>
        <w:ind w:firstLine="560"/>
        <w:rPr>
          <w:rFonts w:cs="Times New Roman"/>
        </w:rPr>
      </w:pPr>
      <w:r>
        <w:rPr>
          <w:rFonts w:cs="Times New Roman"/>
        </w:rPr>
        <w:t>项目实施完成后，提高了水资源利用率，灌区环境充分得以改善，节约的水量可进一步扩大林草地的灌溉，有利于项目区的生态环境的改善。</w:t>
      </w:r>
    </w:p>
    <w:p w14:paraId="66B49045">
      <w:pPr>
        <w:ind w:firstLine="560"/>
        <w:rPr>
          <w:rFonts w:cs="Times New Roman"/>
        </w:rPr>
      </w:pPr>
      <w:r>
        <w:rPr>
          <w:rFonts w:cs="Times New Roman"/>
        </w:rPr>
        <w:t>同时有效降低了地下水的开采量，大大减缓地下水位区域性持续下降，确</w:t>
      </w:r>
      <w:r>
        <w:rPr>
          <w:rFonts w:cs="Times New Roman"/>
          <w:spacing w:val="-18"/>
        </w:rPr>
        <w:t>保</w:t>
      </w:r>
      <w:r>
        <w:rPr>
          <w:rFonts w:cs="Times New Roman"/>
        </w:rPr>
        <w:t>水质优化，维持生态平衡等方面具有十分重要的作用。</w:t>
      </w:r>
    </w:p>
    <w:p w14:paraId="566388FE">
      <w:pPr>
        <w:pStyle w:val="3"/>
        <w:rPr>
          <w:rFonts w:ascii="Times New Roman" w:hAnsi="Times New Roman" w:cs="Times New Roman"/>
        </w:rPr>
      </w:pPr>
      <w:bookmarkStart w:id="56" w:name="_Toc109121669"/>
      <w:r>
        <w:rPr>
          <w:rFonts w:ascii="Times New Roman" w:hAnsi="Times New Roman" w:cs="Times New Roman"/>
        </w:rPr>
        <w:t>社会效益</w:t>
      </w:r>
      <w:bookmarkEnd w:id="56"/>
    </w:p>
    <w:p w14:paraId="421E02EA">
      <w:pPr>
        <w:ind w:firstLine="560"/>
        <w:rPr>
          <w:rFonts w:cs="Times New Roman" w:eastAsiaTheme="minorEastAsia"/>
          <w:szCs w:val="28"/>
        </w:rPr>
      </w:pPr>
      <w:r>
        <w:rPr>
          <w:rFonts w:cs="Times New Roman"/>
        </w:rPr>
        <w:t>富民县农业综合水价改革项目实施后，</w:t>
      </w:r>
      <w:r>
        <w:rPr>
          <w:rFonts w:cs="Times New Roman" w:eastAsiaTheme="minorEastAsia"/>
          <w:szCs w:val="28"/>
        </w:rPr>
        <w:t>可有力推动灌区节水和工程良性运行，灌区水利基础设施将进一步完善，农业生产条件得到改善，农业综合生产能力显著增强。确保水利工程管护机制愈发健全，管理人员得到落实，管理运行费用得到保障；加之水费征收结余资金可用于水利工程改造，从而提高灌溉效率，促进水资源保护，真正达到“以水养水”的目的。农业水价收取后，调动了农民节水的积极性，农民节约用水，非但不增加农民的支出，还可通过减少浪费减少支出；水价改革增加有效灌溉面积，提高农田灌溉的保障率，解决了末级渠系由于供水不足被迫打井和利用柴油机提水的问题，减轻了农民额外隐性负担。</w:t>
      </w:r>
    </w:p>
    <w:p w14:paraId="5C7212E7">
      <w:pPr>
        <w:ind w:firstLine="560"/>
        <w:rPr>
          <w:rFonts w:cs="Times New Roman"/>
        </w:rPr>
      </w:pPr>
      <w:r>
        <w:rPr>
          <w:rFonts w:cs="Times New Roman" w:eastAsiaTheme="minorEastAsia"/>
          <w:szCs w:val="28"/>
        </w:rPr>
        <w:t>总之，农业水价改革符合各方的长远利益和根本利益，其必要性和可行性是显而易见的。</w:t>
      </w:r>
    </w:p>
    <w:p w14:paraId="1CB52E52">
      <w:pPr>
        <w:ind w:firstLine="560"/>
        <w:rPr>
          <w:rFonts w:cs="Times New Roman"/>
        </w:rPr>
      </w:pPr>
    </w:p>
    <w:p w14:paraId="510DD4D1">
      <w:pPr>
        <w:ind w:firstLine="560"/>
        <w:rPr>
          <w:rFonts w:cs="Times New Roman"/>
        </w:rPr>
        <w:sectPr>
          <w:pgSz w:w="12240" w:h="15840"/>
          <w:pgMar w:top="1440" w:right="1803" w:bottom="1440" w:left="1803" w:header="720" w:footer="720" w:gutter="0"/>
          <w:pgNumType w:fmt="numberInDash"/>
          <w:cols w:space="0" w:num="1"/>
          <w:docGrid w:linePitch="312" w:charSpace="0"/>
        </w:sectPr>
      </w:pPr>
    </w:p>
    <w:p w14:paraId="474D9BC2">
      <w:pPr>
        <w:pStyle w:val="2"/>
        <w:rPr>
          <w:rFonts w:cs="Times New Roman"/>
        </w:rPr>
      </w:pPr>
      <w:bookmarkStart w:id="57" w:name="_Toc109121670"/>
      <w:r>
        <w:rPr>
          <w:rFonts w:cs="Times New Roman"/>
        </w:rPr>
        <w:t>保障措施</w:t>
      </w:r>
      <w:bookmarkEnd w:id="57"/>
    </w:p>
    <w:p w14:paraId="64A94B69">
      <w:pPr>
        <w:pStyle w:val="3"/>
        <w:rPr>
          <w:rFonts w:ascii="Times New Roman" w:hAnsi="Times New Roman" w:cs="Times New Roman"/>
        </w:rPr>
      </w:pPr>
      <w:bookmarkStart w:id="58" w:name="_Toc109121671"/>
      <w:r>
        <w:rPr>
          <w:rFonts w:ascii="Times New Roman" w:hAnsi="Times New Roman" w:cs="Times New Roman"/>
        </w:rPr>
        <w:t>加强组织领导，落实改革任务</w:t>
      </w:r>
      <w:bookmarkEnd w:id="58"/>
    </w:p>
    <w:p w14:paraId="43FE148D">
      <w:pPr>
        <w:ind w:firstLine="560"/>
        <w:rPr>
          <w:rFonts w:cs="Times New Roman"/>
        </w:rPr>
      </w:pPr>
      <w:r>
        <w:rPr>
          <w:rFonts w:cs="Times New Roman"/>
        </w:rPr>
        <w:t>富民县成立以副县长为组长、县政府办主任、县财政局局长为副组长、水务、发改、农业、林业、各街道办及乡镇等部门一把手为成员的富民县农业水价综合改革工作领导小组。领导小组下设办公室在县水务局，县水务局局长兼任办公室主任，负责领导小组日常工作。领导小组主要贯彻落实省、市、县关于农业水价综合改革工作的决策部署，统筹推进全县农业水价综合改革工作；研究制定我县农业水价综合改革工作重大政策；协调解决实施中的重大问题。县发改局负责做好成本监审、水价制定等工作；县财政局负责做好资金整合和统筹、落实精准补贴和节水奖励资金等工作；县水务局负责做好农田水利设施建设、水权确权颁证、水利工程产权制度改革等工作；县农业局负责做好节水灌溉技术推广、产业结构调整等工作。</w:t>
      </w:r>
    </w:p>
    <w:p w14:paraId="4B1844D1">
      <w:pPr>
        <w:pStyle w:val="3"/>
        <w:rPr>
          <w:rFonts w:ascii="Times New Roman" w:hAnsi="Times New Roman" w:cs="Times New Roman"/>
        </w:rPr>
      </w:pPr>
      <w:bookmarkStart w:id="59" w:name="_Toc109121672"/>
      <w:r>
        <w:rPr>
          <w:rFonts w:ascii="Times New Roman" w:hAnsi="Times New Roman" w:cs="Times New Roman"/>
        </w:rPr>
        <w:t>落实改革资金，确保改革实施</w:t>
      </w:r>
      <w:bookmarkEnd w:id="59"/>
    </w:p>
    <w:p w14:paraId="3B1F5012">
      <w:pPr>
        <w:ind w:firstLine="560"/>
        <w:rPr>
          <w:rFonts w:cs="Times New Roman"/>
        </w:rPr>
      </w:pPr>
      <w:r>
        <w:rPr>
          <w:rFonts w:cs="Times New Roman"/>
        </w:rPr>
        <w:t>各部门要确保资金落实到位，项目实施资金有保障，在建设管理过程中，坚持科学安排、合理配置、专款专用、专账核算、严格监管原则，项目资金管理制度完善，真正做到合理、有效、规范使用。以工程产权界定为基础、水权有偿交易为纽带，合理投资回报为吸引，鼓励社会资本以多种形式参与农业水价综合改革。特别是节水奖励和精准补贴资金要专款专用，筹集使用均进行公示。</w:t>
      </w:r>
    </w:p>
    <w:p w14:paraId="4F764A15">
      <w:pPr>
        <w:pStyle w:val="3"/>
        <w:rPr>
          <w:rFonts w:ascii="Times New Roman" w:hAnsi="Times New Roman" w:cs="Times New Roman"/>
        </w:rPr>
      </w:pPr>
      <w:bookmarkStart w:id="60" w:name="_Toc109121673"/>
      <w:r>
        <w:rPr>
          <w:rFonts w:ascii="Times New Roman" w:hAnsi="Times New Roman" w:cs="Times New Roman"/>
        </w:rPr>
        <w:t>加强改革宣传，推广节水技术</w:t>
      </w:r>
      <w:bookmarkEnd w:id="60"/>
    </w:p>
    <w:p w14:paraId="327BC129">
      <w:pPr>
        <w:ind w:firstLine="560"/>
        <w:rPr>
          <w:rFonts w:cs="Times New Roman"/>
        </w:rPr>
      </w:pPr>
      <w:r>
        <w:rPr>
          <w:rFonts w:cs="Times New Roman"/>
        </w:rPr>
        <w:t>农业水价综合改革工作是一项探索性的工作，政策性强、情况复杂，涉及到农村千家万户的利益。应充分利用电视、广播、网络、报刊等媒体，采取调研参观、座谈交流、培训教育、宣传报道等多种方式和途径加大宣传力度，让用水户切实认识到农业水价综合改革的紧迫性和重要意义，了解到农业水价综合改革带来的节水效益、增产效益，赢得群众理解和支持。提高用水户有偿用水、节约用水的自觉性。形成广泛支持、关心、参与改革的良好氛围。同时积极动员全县各相关职能部门，采取有力措施，推进富民县农业水价综合改革工作各项任务顺利完成。</w:t>
      </w:r>
    </w:p>
    <w:p w14:paraId="1B4535DC">
      <w:pPr>
        <w:ind w:firstLine="560"/>
        <w:rPr>
          <w:rFonts w:cs="Times New Roman"/>
        </w:rPr>
      </w:pPr>
      <w:r>
        <w:rPr>
          <w:rFonts w:cs="Times New Roman"/>
        </w:rPr>
        <w:t>根据土壤和作物生长期需水量，实施科学精准灌溉。合理调整农业种植结构，建立作物生育阶段需水与降水季节分配相吻合的节水型农业种植结构，调控农业灌溉水量。构建与水资源相匹配的农业生产布局，推广雨热同期的农作物种植模式，加快高效节水技术推广，以种植大户、家庭农场、农民用水合作组织等新型经营主体为重点，大力发展喷灌、滴管、管灌等高效节水灌 溉和水肥、水药一体化技术，同时积极推广深松整地、覆盖保墙、增施有机肥以及合理施用土壤保水剂等农艺节水技术，提高灌溉水利用率。加强农业用水技术宣传培训和技术指导，开展节水农业技术试验示范，提高农民科学用水、节约用水意识和技术水平。</w:t>
      </w:r>
    </w:p>
    <w:p w14:paraId="78A05BC8">
      <w:pPr>
        <w:pStyle w:val="3"/>
        <w:rPr>
          <w:rFonts w:ascii="Times New Roman" w:hAnsi="Times New Roman" w:cs="Times New Roman"/>
        </w:rPr>
      </w:pPr>
      <w:bookmarkStart w:id="61" w:name="_Toc109121674"/>
      <w:r>
        <w:rPr>
          <w:rFonts w:ascii="Times New Roman" w:hAnsi="Times New Roman" w:cs="Times New Roman"/>
        </w:rPr>
        <w:t>建立考核机制，确保改革成效</w:t>
      </w:r>
      <w:bookmarkEnd w:id="61"/>
    </w:p>
    <w:p w14:paraId="7B5CA54A">
      <w:pPr>
        <w:ind w:firstLine="560"/>
        <w:rPr>
          <w:rFonts w:cs="Times New Roman"/>
        </w:rPr>
      </w:pPr>
      <w:r>
        <w:rPr>
          <w:rFonts w:cs="Times New Roman"/>
        </w:rPr>
        <w:t>县政府将此项改革任务纳入各单位年度目标考核内容，通过签订责任书，明确目标责任，形成齐抓共管、各负其责的工作格局。</w:t>
      </w:r>
    </w:p>
    <w:p w14:paraId="569DF821">
      <w:pPr>
        <w:pStyle w:val="15"/>
        <w:snapToGrid w:val="0"/>
        <w:ind w:firstLine="560"/>
        <w:rPr>
          <w:rFonts w:cs="Times New Roman"/>
          <w:szCs w:val="24"/>
          <w:shd w:val="clear" w:color="auto" w:fill="FFFFFF"/>
        </w:rPr>
      </w:pPr>
    </w:p>
    <w:sectPr>
      <w:pgSz w:w="12240" w:h="15840"/>
      <w:pgMar w:top="1440" w:right="1803" w:bottom="1440" w:left="1803" w:header="720" w:footer="720" w:gutter="0"/>
      <w:pgNumType w:fmt="numberInDash"/>
      <w:cols w:space="0" w:num="1"/>
      <w:docGrid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560"/>
      </w:pPr>
      <w:r>
        <w:separator/>
      </w:r>
    </w:p>
  </w:endnote>
  <w:endnote w:type="continuationSeparator" w:id="1">
    <w:p>
      <w:pPr>
        <w:spacing w:line="240" w:lineRule="auto"/>
        <w:ind w:firstLine="5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Cambria">
    <w:panose1 w:val="02040503050406030204"/>
    <w:charset w:val="00"/>
    <w:family w:val="roman"/>
    <w:pitch w:val="default"/>
    <w:sig w:usb0="E00006FF" w:usb1="420024FF" w:usb2="02000000" w:usb3="00000000" w:csb0="2000019F" w:csb1="00000000"/>
  </w:font>
  <w:font w:name="楷体">
    <w:panose1 w:val="02010609060101010101"/>
    <w:charset w:val="86"/>
    <w:family w:val="modern"/>
    <w:pitch w:val="default"/>
    <w:sig w:usb0="800002BF" w:usb1="38CF7CFA" w:usb2="00000016" w:usb3="00000000" w:csb0="00040001" w:csb1="00000000"/>
  </w:font>
  <w:font w:name="仿宋">
    <w:panose1 w:val="02010609060101010101"/>
    <w:charset w:val="86"/>
    <w:family w:val="modern"/>
    <w:pitch w:val="default"/>
    <w:sig w:usb0="800002BF" w:usb1="38CF7CFA" w:usb2="00000016" w:usb3="00000000" w:csb0="00040001" w:csb1="00000000"/>
  </w:font>
  <w:font w:name="仿宋_GB2312">
    <w:panose1 w:val="0201060903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B598F6">
    <w:pPr>
      <w:pStyle w:val="22"/>
      <w:ind w:firstLine="0" w:firstLineChars="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A62ED3">
    <w:pPr>
      <w:pStyle w:val="22"/>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0D2C90">
    <w:pPr>
      <w:pStyle w:val="22"/>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435959752"/>
      <w:docPartObj>
        <w:docPartGallery w:val="autotext"/>
      </w:docPartObj>
    </w:sdtPr>
    <w:sdtEndPr>
      <w:rPr>
        <w:rFonts w:ascii="Times New Roman" w:hAnsi="Times New Roman" w:cs="Times New Roman"/>
        <w:sz w:val="21"/>
        <w:szCs w:val="21"/>
      </w:rPr>
    </w:sdtEndPr>
    <w:sdtContent>
      <w:p w14:paraId="3C47E135">
        <w:pPr>
          <w:pStyle w:val="22"/>
          <w:ind w:firstLine="0" w:firstLineChars="0"/>
          <w:jc w:val="center"/>
          <w:rPr>
            <w:rFonts w:ascii="Times New Roman" w:hAnsi="Times New Roman" w:cs="Times New Roman"/>
            <w:sz w:val="21"/>
            <w:szCs w:val="21"/>
          </w:rPr>
        </w:pPr>
        <w:r>
          <w:rPr>
            <w:rFonts w:ascii="Times New Roman" w:hAnsi="Times New Roman" w:cs="Times New Roman"/>
            <w:sz w:val="21"/>
            <w:szCs w:val="21"/>
          </w:rPr>
          <w:fldChar w:fldCharType="begin"/>
        </w:r>
        <w:r>
          <w:rPr>
            <w:rFonts w:ascii="Times New Roman" w:hAnsi="Times New Roman" w:cs="Times New Roman"/>
            <w:sz w:val="21"/>
            <w:szCs w:val="21"/>
          </w:rPr>
          <w:instrText xml:space="preserve">PAGE   \* MERGEFORMAT</w:instrText>
        </w:r>
        <w:r>
          <w:rPr>
            <w:rFonts w:ascii="Times New Roman" w:hAnsi="Times New Roman" w:cs="Times New Roman"/>
            <w:sz w:val="21"/>
            <w:szCs w:val="21"/>
          </w:rPr>
          <w:fldChar w:fldCharType="separate"/>
        </w:r>
        <w:r>
          <w:rPr>
            <w:rFonts w:ascii="Times New Roman" w:hAnsi="Times New Roman" w:cs="Times New Roman"/>
            <w:sz w:val="21"/>
            <w:szCs w:val="21"/>
            <w:lang w:val="zh-CN"/>
          </w:rPr>
          <w:t>III</w:t>
        </w:r>
        <w:r>
          <w:rPr>
            <w:rFonts w:ascii="Times New Roman" w:hAnsi="Times New Roman" w:cs="Times New Roman"/>
            <w:sz w:val="21"/>
            <w:szCs w:val="21"/>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618793939"/>
      <w:docPartObj>
        <w:docPartGallery w:val="autotext"/>
      </w:docPartObj>
    </w:sdtPr>
    <w:sdtEndPr>
      <w:rPr>
        <w:rFonts w:ascii="Times New Roman" w:hAnsi="Times New Roman" w:cs="Times New Roman"/>
        <w:sz w:val="21"/>
        <w:szCs w:val="21"/>
      </w:rPr>
    </w:sdtEndPr>
    <w:sdtContent>
      <w:p w14:paraId="25C6855B">
        <w:pPr>
          <w:pStyle w:val="22"/>
          <w:ind w:firstLine="0" w:firstLineChars="0"/>
          <w:jc w:val="center"/>
          <w:rPr>
            <w:rFonts w:ascii="Times New Roman" w:hAnsi="Times New Roman" w:cs="Times New Roman"/>
            <w:sz w:val="21"/>
            <w:szCs w:val="21"/>
          </w:rPr>
        </w:pPr>
        <w:r>
          <w:rPr>
            <w:rFonts w:ascii="Times New Roman" w:hAnsi="Times New Roman" w:cs="Times New Roman"/>
            <w:sz w:val="21"/>
            <w:szCs w:val="21"/>
          </w:rPr>
          <w:fldChar w:fldCharType="begin"/>
        </w:r>
        <w:r>
          <w:rPr>
            <w:rFonts w:ascii="Times New Roman" w:hAnsi="Times New Roman" w:cs="Times New Roman"/>
            <w:sz w:val="21"/>
            <w:szCs w:val="21"/>
          </w:rPr>
          <w:instrText xml:space="preserve">PAGE   \* MERGEFORMAT</w:instrText>
        </w:r>
        <w:r>
          <w:rPr>
            <w:rFonts w:ascii="Times New Roman" w:hAnsi="Times New Roman" w:cs="Times New Roman"/>
            <w:sz w:val="21"/>
            <w:szCs w:val="21"/>
          </w:rPr>
          <w:fldChar w:fldCharType="separate"/>
        </w:r>
        <w:r>
          <w:rPr>
            <w:rFonts w:ascii="Times New Roman" w:hAnsi="Times New Roman" w:cs="Times New Roman"/>
            <w:sz w:val="21"/>
            <w:szCs w:val="21"/>
            <w:lang w:val="zh-CN"/>
          </w:rPr>
          <w:t>ii</w:t>
        </w:r>
        <w:r>
          <w:rPr>
            <w:rFonts w:ascii="Times New Roman" w:hAnsi="Times New Roman" w:cs="Times New Roman"/>
            <w:sz w:val="21"/>
            <w:szCs w:val="21"/>
          </w:rP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336842649"/>
      <w:docPartObj>
        <w:docPartGallery w:val="autotext"/>
      </w:docPartObj>
    </w:sdtPr>
    <w:sdtEndPr>
      <w:rPr>
        <w:rFonts w:ascii="Times New Roman" w:hAnsi="Times New Roman" w:cs="Times New Roman"/>
        <w:sz w:val="21"/>
        <w:szCs w:val="21"/>
      </w:rPr>
    </w:sdtEndPr>
    <w:sdtContent>
      <w:p w14:paraId="24B376B2">
        <w:pPr>
          <w:pStyle w:val="22"/>
          <w:ind w:firstLine="0" w:firstLineChars="0"/>
          <w:jc w:val="center"/>
          <w:rPr>
            <w:rFonts w:ascii="Times New Roman" w:hAnsi="Times New Roman" w:cs="Times New Roman"/>
            <w:sz w:val="21"/>
            <w:szCs w:val="21"/>
          </w:rPr>
        </w:pPr>
        <w:r>
          <w:rPr>
            <w:rFonts w:ascii="Times New Roman" w:hAnsi="Times New Roman" w:cs="Times New Roman"/>
            <w:sz w:val="21"/>
            <w:szCs w:val="21"/>
          </w:rPr>
          <w:fldChar w:fldCharType="begin"/>
        </w:r>
        <w:r>
          <w:rPr>
            <w:rFonts w:ascii="Times New Roman" w:hAnsi="Times New Roman" w:cs="Times New Roman"/>
            <w:sz w:val="21"/>
            <w:szCs w:val="21"/>
          </w:rPr>
          <w:instrText xml:space="preserve">PAGE   \* MERGEFORMAT</w:instrText>
        </w:r>
        <w:r>
          <w:rPr>
            <w:rFonts w:ascii="Times New Roman" w:hAnsi="Times New Roman" w:cs="Times New Roman"/>
            <w:sz w:val="21"/>
            <w:szCs w:val="21"/>
          </w:rPr>
          <w:fldChar w:fldCharType="separate"/>
        </w:r>
        <w:r>
          <w:rPr>
            <w:rFonts w:ascii="Times New Roman" w:hAnsi="Times New Roman" w:cs="Times New Roman"/>
            <w:sz w:val="21"/>
            <w:szCs w:val="21"/>
            <w:lang w:val="zh-CN"/>
          </w:rPr>
          <w:t>-</w:t>
        </w:r>
        <w:r>
          <w:rPr>
            <w:rFonts w:ascii="Times New Roman" w:hAnsi="Times New Roman" w:cs="Times New Roman"/>
            <w:sz w:val="21"/>
            <w:szCs w:val="21"/>
          </w:rPr>
          <w:t xml:space="preserve"> 40 -</w:t>
        </w:r>
        <w:r>
          <w:rPr>
            <w:rFonts w:ascii="Times New Roman" w:hAnsi="Times New Roman" w:cs="Times New Roman"/>
            <w:sz w:val="21"/>
            <w:szCs w:val="21"/>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560"/>
      </w:pPr>
      <w:r>
        <w:separator/>
      </w:r>
    </w:p>
  </w:footnote>
  <w:footnote w:type="continuationSeparator" w:id="1">
    <w:p>
      <w:pPr>
        <w:spacing w:line="360" w:lineRule="auto"/>
        <w:ind w:firstLine="56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E81D75">
    <w:pPr>
      <w:pStyle w:val="23"/>
      <w:pBdr>
        <w:bottom w:val="none" w:color="auto" w:sz="0" w:space="0"/>
      </w:pBdr>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CDD770">
    <w:pPr>
      <w:pStyle w:val="23"/>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94FA03">
    <w:pPr>
      <w:pStyle w:val="23"/>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50B65D">
    <w:pPr>
      <w:pStyle w:val="23"/>
      <w:spacing w:line="240" w:lineRule="auto"/>
      <w:ind w:firstLine="0" w:firstLineChars="0"/>
      <w:rPr>
        <w:rFonts w:ascii="仿宋" w:hAnsi="仿宋" w:eastAsia="仿宋"/>
        <w:b/>
        <w:spacing w:val="20"/>
        <w:sz w:val="24"/>
      </w:rPr>
    </w:pPr>
    <w:r>
      <w:rPr>
        <w:rFonts w:hint="eastAsia" w:ascii="仿宋" w:hAnsi="仿宋" w:eastAsia="仿宋"/>
        <w:b/>
        <w:spacing w:val="20"/>
        <w:sz w:val="24"/>
      </w:rPr>
      <w:t>昆明市富民县农业水价综合改革实施方案</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23470F68"/>
    <w:multiLevelType w:val="multilevel"/>
    <w:tmpl w:val="23470F68"/>
    <w:lvl w:ilvl="0" w:tentative="0">
      <w:start w:val="1"/>
      <w:numFmt w:val="decimal"/>
      <w:suff w:val="space"/>
      <w:lvlText w:val="%1"/>
      <w:lvlJc w:val="left"/>
      <w:pPr>
        <w:ind w:left="0" w:firstLine="0"/>
      </w:pPr>
      <w:rPr>
        <w:rFonts w:hint="eastAsia"/>
      </w:rPr>
    </w:lvl>
    <w:lvl w:ilvl="1" w:tentative="0">
      <w:start w:val="1"/>
      <w:numFmt w:val="decimal"/>
      <w:suff w:val="space"/>
      <w:lvlText w:val="%1.%2"/>
      <w:lvlJc w:val="left"/>
      <w:pPr>
        <w:ind w:left="567" w:hanging="567"/>
      </w:pPr>
      <w:rPr>
        <w:rFonts w:hint="eastAsia"/>
      </w:rPr>
    </w:lvl>
    <w:lvl w:ilvl="2" w:tentative="0">
      <w:start w:val="1"/>
      <w:numFmt w:val="decimal"/>
      <w:pStyle w:val="4"/>
      <w:suff w:val="space"/>
      <w:lvlText w:val="%1.%2.%3"/>
      <w:lvlJc w:val="left"/>
      <w:pPr>
        <w:ind w:left="567" w:hanging="567"/>
      </w:pPr>
      <w:rPr>
        <w:rFonts w:ascii="Times New Roman" w:hAnsi="Times New Roman" w:cs="Times New Roman"/>
        <w:b w:val="0"/>
        <w:bCs w:val="0"/>
        <w:i w:val="0"/>
        <w:iCs w:val="0"/>
        <w:caps w:val="0"/>
        <w:smallCaps w:val="0"/>
        <w:strike w:val="0"/>
        <w:dstrike w:val="0"/>
        <w:outline w:val="0"/>
        <w:shadow w:val="0"/>
        <w:emboss w:val="0"/>
        <w:imprint w:val="0"/>
        <w:snapToGrid w:val="0"/>
        <w:vanish w:val="0"/>
        <w:color w:val="000000"/>
        <w:spacing w:val="0"/>
        <w:w w:val="0"/>
        <w:kern w:val="0"/>
        <w:position w:val="0"/>
        <w:sz w:val="0"/>
        <w:szCs w:val="0"/>
        <w:u w:val="none" w:color="000000"/>
        <w:shd w:val="clear" w:color="000000" w:fill="000000"/>
        <w:vertAlign w:val="baseline"/>
        <w:lang w:val="zh-CN" w:eastAsia="zh-CN"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3" w:tentative="0">
      <w:start w:val="1"/>
      <w:numFmt w:val="decimal"/>
      <w:pStyle w:val="5"/>
      <w:suff w:val="space"/>
      <w:lvlText w:val="%1.%2.%3.%4"/>
      <w:lvlJc w:val="left"/>
      <w:pPr>
        <w:ind w:left="567" w:hanging="567"/>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1">
    <w:nsid w:val="2FB91818"/>
    <w:multiLevelType w:val="multilevel"/>
    <w:tmpl w:val="2FB91818"/>
    <w:lvl w:ilvl="0" w:tentative="0">
      <w:start w:val="1"/>
      <w:numFmt w:val="decimal"/>
      <w:pStyle w:val="2"/>
      <w:suff w:val="space"/>
      <w:lvlText w:val="%1"/>
      <w:lvlJc w:val="left"/>
      <w:pPr>
        <w:ind w:left="0" w:firstLine="0"/>
      </w:pPr>
      <w:rPr>
        <w:rFonts w:hint="eastAsia"/>
      </w:rPr>
    </w:lvl>
    <w:lvl w:ilvl="1" w:tentative="0">
      <w:start w:val="1"/>
      <w:numFmt w:val="decimal"/>
      <w:pStyle w:val="3"/>
      <w:suff w:val="space"/>
      <w:lvlText w:val="%1.%2"/>
      <w:lvlJc w:val="left"/>
      <w:pPr>
        <w:ind w:left="0" w:firstLine="567"/>
      </w:pPr>
      <w:rPr>
        <w:rFonts w:hint="eastAsia"/>
      </w:rPr>
    </w:lvl>
    <w:lvl w:ilvl="2" w:tentative="0">
      <w:start w:val="1"/>
      <w:numFmt w:val="decimal"/>
      <w:pStyle w:val="73"/>
      <w:suff w:val="space"/>
      <w:lvlText w:val="%1.%2.%3"/>
      <w:lvlJc w:val="left"/>
      <w:pPr>
        <w:ind w:left="0" w:firstLine="567"/>
      </w:pPr>
      <w:rPr>
        <w:rFonts w:hint="eastAsia"/>
      </w:rPr>
    </w:lvl>
    <w:lvl w:ilvl="3" w:tentative="0">
      <w:start w:val="1"/>
      <w:numFmt w:val="decimal"/>
      <w:pStyle w:val="75"/>
      <w:suff w:val="space"/>
      <w:lvlText w:val="%1.%2.%3.%4"/>
      <w:lvlJc w:val="left"/>
      <w:pPr>
        <w:ind w:left="0" w:firstLine="567"/>
      </w:pPr>
      <w:rPr>
        <w:rFonts w:ascii="Times New Roman" w:hAnsi="Times New Roman" w:cs="Times New Roman"/>
        <w:b w:val="0"/>
        <w:bCs w:val="0"/>
        <w:i w:val="0"/>
        <w:iCs w:val="0"/>
        <w:caps w:val="0"/>
        <w:smallCaps w:val="0"/>
        <w:strike w:val="0"/>
        <w:dstrike w:val="0"/>
        <w:outline w:val="0"/>
        <w:shadow w:val="0"/>
        <w:emboss w:val="0"/>
        <w:imprint w:val="0"/>
        <w:snapToGrid w:val="0"/>
        <w:vanish w:val="0"/>
        <w:color w:val="000000"/>
        <w:spacing w:val="0"/>
        <w:w w:val="0"/>
        <w:kern w:val="0"/>
        <w:position w:val="0"/>
        <w:sz w:val="0"/>
        <w:szCs w:val="0"/>
        <w:u w:val="none" w:color="000000"/>
        <w:shd w:val="clear" w:color="000000" w:fill="000000"/>
        <w:vertAlign w:val="baseline"/>
        <w:lang w:val="zh-CN" w:eastAsia="zh-CN"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4" w:tentative="0">
      <w:start w:val="1"/>
      <w:numFmt w:val="decimal"/>
      <w:lvlRestart w:val="2"/>
      <w:pStyle w:val="77"/>
      <w:suff w:val="space"/>
      <w:lvlText w:val="图%1.%2-%5"/>
      <w:lvlJc w:val="center"/>
      <w:pPr>
        <w:ind w:left="0" w:firstLine="0"/>
      </w:pPr>
      <w:rPr>
        <w:rFonts w:hint="eastAsia"/>
        <w:b w:val="0"/>
      </w:rPr>
    </w:lvl>
    <w:lvl w:ilvl="5" w:tentative="0">
      <w:start w:val="1"/>
      <w:numFmt w:val="decimal"/>
      <w:lvlRestart w:val="2"/>
      <w:pStyle w:val="79"/>
      <w:suff w:val="space"/>
      <w:lvlText w:val="表%1.%2-%6"/>
      <w:lvlJc w:val="center"/>
      <w:pPr>
        <w:ind w:left="0" w:firstLine="0"/>
      </w:pPr>
      <w:rPr>
        <w:rFonts w:hint="eastAsia"/>
        <w:b w:val="0"/>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bordersDoNotSurroundHeader w:val="1"/>
  <w:bordersDoNotSurroundFooter w:val="1"/>
  <w:hideSpellingErrors/>
  <w:documentProtection w:enforcement="0"/>
  <w:defaultTabStop w:val="420"/>
  <w:drawingGridHorizontalSpacing w:val="210"/>
  <w:drawingGridVerticalSpacing w:val="-794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2M2YzM5NjUzZDA3M2E4ZDhhMDc2NGM0OTgxMDlkN2QifQ=="/>
  </w:docVars>
  <w:rsids>
    <w:rsidRoot w:val="00DF207D"/>
    <w:rsid w:val="00000292"/>
    <w:rsid w:val="000010D1"/>
    <w:rsid w:val="00001B40"/>
    <w:rsid w:val="00001B78"/>
    <w:rsid w:val="00001D94"/>
    <w:rsid w:val="000023ED"/>
    <w:rsid w:val="00005DDD"/>
    <w:rsid w:val="000067E0"/>
    <w:rsid w:val="000069D3"/>
    <w:rsid w:val="00006DAE"/>
    <w:rsid w:val="00007861"/>
    <w:rsid w:val="00013127"/>
    <w:rsid w:val="00013303"/>
    <w:rsid w:val="00021922"/>
    <w:rsid w:val="00021BF3"/>
    <w:rsid w:val="00024354"/>
    <w:rsid w:val="00024578"/>
    <w:rsid w:val="0002486C"/>
    <w:rsid w:val="00025B22"/>
    <w:rsid w:val="000265D6"/>
    <w:rsid w:val="00027C5B"/>
    <w:rsid w:val="0003126B"/>
    <w:rsid w:val="0003137B"/>
    <w:rsid w:val="00031E6D"/>
    <w:rsid w:val="0003530E"/>
    <w:rsid w:val="00036E30"/>
    <w:rsid w:val="00041A40"/>
    <w:rsid w:val="00041AB2"/>
    <w:rsid w:val="00042987"/>
    <w:rsid w:val="00043C7B"/>
    <w:rsid w:val="000444B3"/>
    <w:rsid w:val="00046018"/>
    <w:rsid w:val="00046779"/>
    <w:rsid w:val="0004740F"/>
    <w:rsid w:val="0004747C"/>
    <w:rsid w:val="000558D6"/>
    <w:rsid w:val="00056596"/>
    <w:rsid w:val="00056B1B"/>
    <w:rsid w:val="0005782C"/>
    <w:rsid w:val="00060593"/>
    <w:rsid w:val="0006113D"/>
    <w:rsid w:val="00062910"/>
    <w:rsid w:val="00062CA3"/>
    <w:rsid w:val="00063781"/>
    <w:rsid w:val="000645D7"/>
    <w:rsid w:val="000655B5"/>
    <w:rsid w:val="0006702A"/>
    <w:rsid w:val="0006777F"/>
    <w:rsid w:val="00070419"/>
    <w:rsid w:val="000706BB"/>
    <w:rsid w:val="00070F6E"/>
    <w:rsid w:val="0007270C"/>
    <w:rsid w:val="0007477B"/>
    <w:rsid w:val="00076835"/>
    <w:rsid w:val="00080C1A"/>
    <w:rsid w:val="0008102C"/>
    <w:rsid w:val="00081592"/>
    <w:rsid w:val="000821BD"/>
    <w:rsid w:val="000830BC"/>
    <w:rsid w:val="00086D1A"/>
    <w:rsid w:val="00087AD4"/>
    <w:rsid w:val="000912AD"/>
    <w:rsid w:val="000918A0"/>
    <w:rsid w:val="00091BF6"/>
    <w:rsid w:val="000927E5"/>
    <w:rsid w:val="00093595"/>
    <w:rsid w:val="00093BDB"/>
    <w:rsid w:val="00095D16"/>
    <w:rsid w:val="00097829"/>
    <w:rsid w:val="000A0ECC"/>
    <w:rsid w:val="000A0F67"/>
    <w:rsid w:val="000A573E"/>
    <w:rsid w:val="000A6A93"/>
    <w:rsid w:val="000A77C6"/>
    <w:rsid w:val="000B14F5"/>
    <w:rsid w:val="000B223F"/>
    <w:rsid w:val="000B32C7"/>
    <w:rsid w:val="000B3CB7"/>
    <w:rsid w:val="000B45EB"/>
    <w:rsid w:val="000B48D5"/>
    <w:rsid w:val="000B48FA"/>
    <w:rsid w:val="000B7C3F"/>
    <w:rsid w:val="000B7DB2"/>
    <w:rsid w:val="000C15A1"/>
    <w:rsid w:val="000C26DE"/>
    <w:rsid w:val="000C3103"/>
    <w:rsid w:val="000C35F7"/>
    <w:rsid w:val="000C3CF2"/>
    <w:rsid w:val="000C3EAA"/>
    <w:rsid w:val="000C602F"/>
    <w:rsid w:val="000C619A"/>
    <w:rsid w:val="000C71B3"/>
    <w:rsid w:val="000D5628"/>
    <w:rsid w:val="000D6DE8"/>
    <w:rsid w:val="000E1BBD"/>
    <w:rsid w:val="000E2189"/>
    <w:rsid w:val="000E2246"/>
    <w:rsid w:val="000E2500"/>
    <w:rsid w:val="000E3928"/>
    <w:rsid w:val="000E65E2"/>
    <w:rsid w:val="000E70FF"/>
    <w:rsid w:val="000E7C93"/>
    <w:rsid w:val="000F29DE"/>
    <w:rsid w:val="000F2AAC"/>
    <w:rsid w:val="000F2FA8"/>
    <w:rsid w:val="000F538B"/>
    <w:rsid w:val="000F5D00"/>
    <w:rsid w:val="000F5D0D"/>
    <w:rsid w:val="000F6681"/>
    <w:rsid w:val="000F74DA"/>
    <w:rsid w:val="001002D0"/>
    <w:rsid w:val="001031A9"/>
    <w:rsid w:val="00104ABC"/>
    <w:rsid w:val="00105B03"/>
    <w:rsid w:val="0010684A"/>
    <w:rsid w:val="0010698A"/>
    <w:rsid w:val="00111515"/>
    <w:rsid w:val="00111884"/>
    <w:rsid w:val="00111967"/>
    <w:rsid w:val="00112913"/>
    <w:rsid w:val="0011642D"/>
    <w:rsid w:val="00116C19"/>
    <w:rsid w:val="00116CD8"/>
    <w:rsid w:val="00120890"/>
    <w:rsid w:val="00122025"/>
    <w:rsid w:val="001235FF"/>
    <w:rsid w:val="00124D6E"/>
    <w:rsid w:val="00126F26"/>
    <w:rsid w:val="00130436"/>
    <w:rsid w:val="00132EC3"/>
    <w:rsid w:val="0013553B"/>
    <w:rsid w:val="00142332"/>
    <w:rsid w:val="00143969"/>
    <w:rsid w:val="0014403A"/>
    <w:rsid w:val="00144AE1"/>
    <w:rsid w:val="00145442"/>
    <w:rsid w:val="00146D24"/>
    <w:rsid w:val="001476D0"/>
    <w:rsid w:val="00151255"/>
    <w:rsid w:val="00151958"/>
    <w:rsid w:val="001532CD"/>
    <w:rsid w:val="00156BCF"/>
    <w:rsid w:val="00166761"/>
    <w:rsid w:val="00171031"/>
    <w:rsid w:val="00171982"/>
    <w:rsid w:val="001778C9"/>
    <w:rsid w:val="00180662"/>
    <w:rsid w:val="00181703"/>
    <w:rsid w:val="001827DE"/>
    <w:rsid w:val="00182F54"/>
    <w:rsid w:val="00183708"/>
    <w:rsid w:val="00183C6C"/>
    <w:rsid w:val="00183C6D"/>
    <w:rsid w:val="00185D27"/>
    <w:rsid w:val="00191EC7"/>
    <w:rsid w:val="00192674"/>
    <w:rsid w:val="00194015"/>
    <w:rsid w:val="00194FCB"/>
    <w:rsid w:val="001A0440"/>
    <w:rsid w:val="001A089A"/>
    <w:rsid w:val="001A0C7B"/>
    <w:rsid w:val="001A14CE"/>
    <w:rsid w:val="001A26DA"/>
    <w:rsid w:val="001A27DF"/>
    <w:rsid w:val="001A54DF"/>
    <w:rsid w:val="001A683B"/>
    <w:rsid w:val="001A7D4D"/>
    <w:rsid w:val="001A7D8B"/>
    <w:rsid w:val="001B2A93"/>
    <w:rsid w:val="001B3BCD"/>
    <w:rsid w:val="001B6916"/>
    <w:rsid w:val="001B7504"/>
    <w:rsid w:val="001C1EB6"/>
    <w:rsid w:val="001C3018"/>
    <w:rsid w:val="001C41AA"/>
    <w:rsid w:val="001C63AD"/>
    <w:rsid w:val="001C6582"/>
    <w:rsid w:val="001C772F"/>
    <w:rsid w:val="001D073E"/>
    <w:rsid w:val="001D0E95"/>
    <w:rsid w:val="001D17B1"/>
    <w:rsid w:val="001D1873"/>
    <w:rsid w:val="001D2772"/>
    <w:rsid w:val="001D55C1"/>
    <w:rsid w:val="001D5D84"/>
    <w:rsid w:val="001D7EEC"/>
    <w:rsid w:val="001E138B"/>
    <w:rsid w:val="001E197E"/>
    <w:rsid w:val="001E320F"/>
    <w:rsid w:val="001E3334"/>
    <w:rsid w:val="001E53AB"/>
    <w:rsid w:val="001E6368"/>
    <w:rsid w:val="001E654A"/>
    <w:rsid w:val="001E74FB"/>
    <w:rsid w:val="001E775E"/>
    <w:rsid w:val="001E78CC"/>
    <w:rsid w:val="001F05CE"/>
    <w:rsid w:val="001F161C"/>
    <w:rsid w:val="001F37B7"/>
    <w:rsid w:val="001F6E1C"/>
    <w:rsid w:val="0020061E"/>
    <w:rsid w:val="00200DAB"/>
    <w:rsid w:val="00201F7B"/>
    <w:rsid w:val="00203627"/>
    <w:rsid w:val="002039FC"/>
    <w:rsid w:val="002040CA"/>
    <w:rsid w:val="00204147"/>
    <w:rsid w:val="00204E46"/>
    <w:rsid w:val="00205BC5"/>
    <w:rsid w:val="00205F4E"/>
    <w:rsid w:val="002073FC"/>
    <w:rsid w:val="00207DC2"/>
    <w:rsid w:val="00207EEC"/>
    <w:rsid w:val="0021027B"/>
    <w:rsid w:val="002104DC"/>
    <w:rsid w:val="00211676"/>
    <w:rsid w:val="0021181E"/>
    <w:rsid w:val="002153F4"/>
    <w:rsid w:val="0021559F"/>
    <w:rsid w:val="002161A5"/>
    <w:rsid w:val="002161D8"/>
    <w:rsid w:val="00216990"/>
    <w:rsid w:val="00220AA1"/>
    <w:rsid w:val="002218E1"/>
    <w:rsid w:val="00222E80"/>
    <w:rsid w:val="002234AF"/>
    <w:rsid w:val="0022521C"/>
    <w:rsid w:val="002259CC"/>
    <w:rsid w:val="00226A4D"/>
    <w:rsid w:val="00227785"/>
    <w:rsid w:val="002316FE"/>
    <w:rsid w:val="00231A9D"/>
    <w:rsid w:val="00231D57"/>
    <w:rsid w:val="0023330E"/>
    <w:rsid w:val="002345E6"/>
    <w:rsid w:val="00236103"/>
    <w:rsid w:val="00240C0F"/>
    <w:rsid w:val="0024152B"/>
    <w:rsid w:val="002432DE"/>
    <w:rsid w:val="0024612B"/>
    <w:rsid w:val="00247A64"/>
    <w:rsid w:val="00250345"/>
    <w:rsid w:val="00250645"/>
    <w:rsid w:val="00250977"/>
    <w:rsid w:val="00252CF2"/>
    <w:rsid w:val="00253C2F"/>
    <w:rsid w:val="00254C93"/>
    <w:rsid w:val="00256F28"/>
    <w:rsid w:val="00261493"/>
    <w:rsid w:val="0026160D"/>
    <w:rsid w:val="00261F0D"/>
    <w:rsid w:val="00266F61"/>
    <w:rsid w:val="002713F7"/>
    <w:rsid w:val="002735A4"/>
    <w:rsid w:val="0027415C"/>
    <w:rsid w:val="002761DE"/>
    <w:rsid w:val="00281DB6"/>
    <w:rsid w:val="00282FB1"/>
    <w:rsid w:val="00287322"/>
    <w:rsid w:val="00290641"/>
    <w:rsid w:val="00290717"/>
    <w:rsid w:val="00293295"/>
    <w:rsid w:val="0029376A"/>
    <w:rsid w:val="002950E3"/>
    <w:rsid w:val="002962CB"/>
    <w:rsid w:val="002A0A1E"/>
    <w:rsid w:val="002A2A32"/>
    <w:rsid w:val="002A2FAA"/>
    <w:rsid w:val="002A344A"/>
    <w:rsid w:val="002A64B4"/>
    <w:rsid w:val="002A67AE"/>
    <w:rsid w:val="002B0D71"/>
    <w:rsid w:val="002B13B9"/>
    <w:rsid w:val="002B28F0"/>
    <w:rsid w:val="002B4267"/>
    <w:rsid w:val="002B4688"/>
    <w:rsid w:val="002B4D79"/>
    <w:rsid w:val="002B5ED2"/>
    <w:rsid w:val="002B63CC"/>
    <w:rsid w:val="002B76F3"/>
    <w:rsid w:val="002B7FB2"/>
    <w:rsid w:val="002C02C8"/>
    <w:rsid w:val="002C192D"/>
    <w:rsid w:val="002C2C03"/>
    <w:rsid w:val="002C4781"/>
    <w:rsid w:val="002C6F21"/>
    <w:rsid w:val="002D0A0B"/>
    <w:rsid w:val="002D45E3"/>
    <w:rsid w:val="002D46B8"/>
    <w:rsid w:val="002D4C24"/>
    <w:rsid w:val="002D78F0"/>
    <w:rsid w:val="002D7D36"/>
    <w:rsid w:val="002E0C5D"/>
    <w:rsid w:val="002E0C74"/>
    <w:rsid w:val="002E0E76"/>
    <w:rsid w:val="002E30C4"/>
    <w:rsid w:val="002E35F4"/>
    <w:rsid w:val="002E59DE"/>
    <w:rsid w:val="002E5E1D"/>
    <w:rsid w:val="002E710B"/>
    <w:rsid w:val="002F05A1"/>
    <w:rsid w:val="002F2800"/>
    <w:rsid w:val="002F2A8F"/>
    <w:rsid w:val="002F74CB"/>
    <w:rsid w:val="002F7D6E"/>
    <w:rsid w:val="00301B62"/>
    <w:rsid w:val="0030243A"/>
    <w:rsid w:val="00303182"/>
    <w:rsid w:val="00303941"/>
    <w:rsid w:val="00303949"/>
    <w:rsid w:val="0030413F"/>
    <w:rsid w:val="00305A83"/>
    <w:rsid w:val="00305C97"/>
    <w:rsid w:val="00306753"/>
    <w:rsid w:val="003144C6"/>
    <w:rsid w:val="00315AC1"/>
    <w:rsid w:val="003168EE"/>
    <w:rsid w:val="0031726D"/>
    <w:rsid w:val="0032081D"/>
    <w:rsid w:val="00321167"/>
    <w:rsid w:val="003238FE"/>
    <w:rsid w:val="00324A44"/>
    <w:rsid w:val="003324CE"/>
    <w:rsid w:val="00333C17"/>
    <w:rsid w:val="00334D27"/>
    <w:rsid w:val="00335B38"/>
    <w:rsid w:val="00336CF9"/>
    <w:rsid w:val="003373AD"/>
    <w:rsid w:val="00340E79"/>
    <w:rsid w:val="00344F2E"/>
    <w:rsid w:val="003457BF"/>
    <w:rsid w:val="00345C7F"/>
    <w:rsid w:val="00346226"/>
    <w:rsid w:val="0034760B"/>
    <w:rsid w:val="0034762B"/>
    <w:rsid w:val="00352FCC"/>
    <w:rsid w:val="003535A9"/>
    <w:rsid w:val="00354125"/>
    <w:rsid w:val="00356480"/>
    <w:rsid w:val="00356F0A"/>
    <w:rsid w:val="00357067"/>
    <w:rsid w:val="00357731"/>
    <w:rsid w:val="003634C0"/>
    <w:rsid w:val="0036415B"/>
    <w:rsid w:val="00366A2F"/>
    <w:rsid w:val="003671C1"/>
    <w:rsid w:val="00367D57"/>
    <w:rsid w:val="0037088D"/>
    <w:rsid w:val="003726B0"/>
    <w:rsid w:val="00372EFC"/>
    <w:rsid w:val="003853AD"/>
    <w:rsid w:val="003865E1"/>
    <w:rsid w:val="00387F5C"/>
    <w:rsid w:val="00390667"/>
    <w:rsid w:val="00391195"/>
    <w:rsid w:val="00393357"/>
    <w:rsid w:val="003937E4"/>
    <w:rsid w:val="00394130"/>
    <w:rsid w:val="00395B1C"/>
    <w:rsid w:val="0039609A"/>
    <w:rsid w:val="003A16E9"/>
    <w:rsid w:val="003A2B42"/>
    <w:rsid w:val="003A434C"/>
    <w:rsid w:val="003A6347"/>
    <w:rsid w:val="003B00C4"/>
    <w:rsid w:val="003B1FA9"/>
    <w:rsid w:val="003B6BCD"/>
    <w:rsid w:val="003B7FBE"/>
    <w:rsid w:val="003C2D74"/>
    <w:rsid w:val="003C2FDE"/>
    <w:rsid w:val="003C45BC"/>
    <w:rsid w:val="003C468E"/>
    <w:rsid w:val="003C5058"/>
    <w:rsid w:val="003C6A56"/>
    <w:rsid w:val="003C6BAF"/>
    <w:rsid w:val="003C7FDB"/>
    <w:rsid w:val="003D0429"/>
    <w:rsid w:val="003D095A"/>
    <w:rsid w:val="003D1512"/>
    <w:rsid w:val="003D262A"/>
    <w:rsid w:val="003D333E"/>
    <w:rsid w:val="003D4533"/>
    <w:rsid w:val="003D54C7"/>
    <w:rsid w:val="003D6206"/>
    <w:rsid w:val="003D6C8F"/>
    <w:rsid w:val="003E04A2"/>
    <w:rsid w:val="003E234D"/>
    <w:rsid w:val="003E50AF"/>
    <w:rsid w:val="003E5335"/>
    <w:rsid w:val="003E5EF4"/>
    <w:rsid w:val="003E6E37"/>
    <w:rsid w:val="003F077D"/>
    <w:rsid w:val="003F1C6E"/>
    <w:rsid w:val="003F2226"/>
    <w:rsid w:val="003F2717"/>
    <w:rsid w:val="003F2ABA"/>
    <w:rsid w:val="003F36EC"/>
    <w:rsid w:val="003F477C"/>
    <w:rsid w:val="003F4FD4"/>
    <w:rsid w:val="003F57C5"/>
    <w:rsid w:val="004031D1"/>
    <w:rsid w:val="00406219"/>
    <w:rsid w:val="0040795A"/>
    <w:rsid w:val="0041037B"/>
    <w:rsid w:val="0041041E"/>
    <w:rsid w:val="00411A1B"/>
    <w:rsid w:val="00412547"/>
    <w:rsid w:val="004127CA"/>
    <w:rsid w:val="0041541A"/>
    <w:rsid w:val="00415C03"/>
    <w:rsid w:val="00417071"/>
    <w:rsid w:val="00420B3D"/>
    <w:rsid w:val="00423880"/>
    <w:rsid w:val="004238C8"/>
    <w:rsid w:val="004240B8"/>
    <w:rsid w:val="004278D4"/>
    <w:rsid w:val="00427C41"/>
    <w:rsid w:val="00427E9E"/>
    <w:rsid w:val="00431F17"/>
    <w:rsid w:val="004323C0"/>
    <w:rsid w:val="004331BA"/>
    <w:rsid w:val="004338A4"/>
    <w:rsid w:val="00433A6F"/>
    <w:rsid w:val="00434846"/>
    <w:rsid w:val="00436672"/>
    <w:rsid w:val="004366E1"/>
    <w:rsid w:val="00436CAF"/>
    <w:rsid w:val="00440549"/>
    <w:rsid w:val="00440D69"/>
    <w:rsid w:val="004419DD"/>
    <w:rsid w:val="004447F1"/>
    <w:rsid w:val="00445CE6"/>
    <w:rsid w:val="004461C8"/>
    <w:rsid w:val="00447415"/>
    <w:rsid w:val="004479D3"/>
    <w:rsid w:val="0045356B"/>
    <w:rsid w:val="00455CF3"/>
    <w:rsid w:val="00456FD7"/>
    <w:rsid w:val="00457CC6"/>
    <w:rsid w:val="004610BA"/>
    <w:rsid w:val="00461FB4"/>
    <w:rsid w:val="00466846"/>
    <w:rsid w:val="004668F0"/>
    <w:rsid w:val="00466E2B"/>
    <w:rsid w:val="00470056"/>
    <w:rsid w:val="00470686"/>
    <w:rsid w:val="004736EA"/>
    <w:rsid w:val="0047390C"/>
    <w:rsid w:val="00476734"/>
    <w:rsid w:val="004767DE"/>
    <w:rsid w:val="00477FB3"/>
    <w:rsid w:val="0048070C"/>
    <w:rsid w:val="00481140"/>
    <w:rsid w:val="004811CE"/>
    <w:rsid w:val="0048326C"/>
    <w:rsid w:val="00483B5A"/>
    <w:rsid w:val="00491776"/>
    <w:rsid w:val="004918C4"/>
    <w:rsid w:val="00494223"/>
    <w:rsid w:val="004974EC"/>
    <w:rsid w:val="004A05BA"/>
    <w:rsid w:val="004A2B58"/>
    <w:rsid w:val="004A3975"/>
    <w:rsid w:val="004A3D93"/>
    <w:rsid w:val="004A56EF"/>
    <w:rsid w:val="004A70D2"/>
    <w:rsid w:val="004B0778"/>
    <w:rsid w:val="004B3151"/>
    <w:rsid w:val="004B3C2D"/>
    <w:rsid w:val="004B6751"/>
    <w:rsid w:val="004B6912"/>
    <w:rsid w:val="004B7510"/>
    <w:rsid w:val="004C1EBC"/>
    <w:rsid w:val="004C2EDB"/>
    <w:rsid w:val="004C64D1"/>
    <w:rsid w:val="004D0055"/>
    <w:rsid w:val="004D1545"/>
    <w:rsid w:val="004D20BE"/>
    <w:rsid w:val="004D5262"/>
    <w:rsid w:val="004E082A"/>
    <w:rsid w:val="004E0939"/>
    <w:rsid w:val="004E096C"/>
    <w:rsid w:val="004E25D5"/>
    <w:rsid w:val="004E2803"/>
    <w:rsid w:val="004E5516"/>
    <w:rsid w:val="004E6496"/>
    <w:rsid w:val="004E687E"/>
    <w:rsid w:val="004E7754"/>
    <w:rsid w:val="004F070C"/>
    <w:rsid w:val="004F0CB1"/>
    <w:rsid w:val="004F28A5"/>
    <w:rsid w:val="004F4EB8"/>
    <w:rsid w:val="004F555C"/>
    <w:rsid w:val="004F6530"/>
    <w:rsid w:val="004F7CFE"/>
    <w:rsid w:val="00500824"/>
    <w:rsid w:val="00503B85"/>
    <w:rsid w:val="00504EDA"/>
    <w:rsid w:val="00505D10"/>
    <w:rsid w:val="00507860"/>
    <w:rsid w:val="005133E7"/>
    <w:rsid w:val="005148BD"/>
    <w:rsid w:val="00516587"/>
    <w:rsid w:val="005215AD"/>
    <w:rsid w:val="005220E8"/>
    <w:rsid w:val="005246F1"/>
    <w:rsid w:val="0052781A"/>
    <w:rsid w:val="00530A55"/>
    <w:rsid w:val="005325F5"/>
    <w:rsid w:val="0053307E"/>
    <w:rsid w:val="005353AD"/>
    <w:rsid w:val="00535450"/>
    <w:rsid w:val="00535F11"/>
    <w:rsid w:val="00536004"/>
    <w:rsid w:val="00537460"/>
    <w:rsid w:val="0054102C"/>
    <w:rsid w:val="00541368"/>
    <w:rsid w:val="0054229B"/>
    <w:rsid w:val="005432BD"/>
    <w:rsid w:val="00544591"/>
    <w:rsid w:val="00545888"/>
    <w:rsid w:val="00546712"/>
    <w:rsid w:val="0054726D"/>
    <w:rsid w:val="00550AEF"/>
    <w:rsid w:val="00551BDB"/>
    <w:rsid w:val="00552D46"/>
    <w:rsid w:val="005532E7"/>
    <w:rsid w:val="00554062"/>
    <w:rsid w:val="00555322"/>
    <w:rsid w:val="0055565F"/>
    <w:rsid w:val="00556A2E"/>
    <w:rsid w:val="005574B4"/>
    <w:rsid w:val="00560065"/>
    <w:rsid w:val="00560140"/>
    <w:rsid w:val="005625E9"/>
    <w:rsid w:val="00564D85"/>
    <w:rsid w:val="00565422"/>
    <w:rsid w:val="005658EF"/>
    <w:rsid w:val="00571918"/>
    <w:rsid w:val="005723B0"/>
    <w:rsid w:val="005738B2"/>
    <w:rsid w:val="00574F44"/>
    <w:rsid w:val="00576D1A"/>
    <w:rsid w:val="00580C1C"/>
    <w:rsid w:val="00581177"/>
    <w:rsid w:val="0058119C"/>
    <w:rsid w:val="00583EE6"/>
    <w:rsid w:val="00584114"/>
    <w:rsid w:val="005929F8"/>
    <w:rsid w:val="00593BD1"/>
    <w:rsid w:val="00594BBF"/>
    <w:rsid w:val="00595EBD"/>
    <w:rsid w:val="00597D97"/>
    <w:rsid w:val="00597FEC"/>
    <w:rsid w:val="005A06AF"/>
    <w:rsid w:val="005A63BF"/>
    <w:rsid w:val="005A6CF9"/>
    <w:rsid w:val="005A72C8"/>
    <w:rsid w:val="005B03FC"/>
    <w:rsid w:val="005B1305"/>
    <w:rsid w:val="005B465B"/>
    <w:rsid w:val="005B4A00"/>
    <w:rsid w:val="005B529B"/>
    <w:rsid w:val="005C3D71"/>
    <w:rsid w:val="005C4D41"/>
    <w:rsid w:val="005C5266"/>
    <w:rsid w:val="005C78A3"/>
    <w:rsid w:val="005C78F2"/>
    <w:rsid w:val="005D00EB"/>
    <w:rsid w:val="005D0EAC"/>
    <w:rsid w:val="005D4F0B"/>
    <w:rsid w:val="005D4FB8"/>
    <w:rsid w:val="005D7CE2"/>
    <w:rsid w:val="005E0161"/>
    <w:rsid w:val="005E247B"/>
    <w:rsid w:val="005E295A"/>
    <w:rsid w:val="005E55EE"/>
    <w:rsid w:val="005E62B9"/>
    <w:rsid w:val="005E7B61"/>
    <w:rsid w:val="005E7EF5"/>
    <w:rsid w:val="005F0E80"/>
    <w:rsid w:val="005F1D45"/>
    <w:rsid w:val="005F248A"/>
    <w:rsid w:val="005F2994"/>
    <w:rsid w:val="005F3B72"/>
    <w:rsid w:val="005F4B9E"/>
    <w:rsid w:val="005F6E20"/>
    <w:rsid w:val="005F7371"/>
    <w:rsid w:val="00600A61"/>
    <w:rsid w:val="00600DB8"/>
    <w:rsid w:val="00602571"/>
    <w:rsid w:val="00602C40"/>
    <w:rsid w:val="00603889"/>
    <w:rsid w:val="0060575F"/>
    <w:rsid w:val="00606CEB"/>
    <w:rsid w:val="00606FCA"/>
    <w:rsid w:val="00607616"/>
    <w:rsid w:val="00610A1E"/>
    <w:rsid w:val="006113A5"/>
    <w:rsid w:val="00611F39"/>
    <w:rsid w:val="00613171"/>
    <w:rsid w:val="0061464F"/>
    <w:rsid w:val="00615914"/>
    <w:rsid w:val="00617B37"/>
    <w:rsid w:val="006228D5"/>
    <w:rsid w:val="00625101"/>
    <w:rsid w:val="006256AE"/>
    <w:rsid w:val="006271E0"/>
    <w:rsid w:val="00627AF0"/>
    <w:rsid w:val="0063003D"/>
    <w:rsid w:val="00630698"/>
    <w:rsid w:val="00630D06"/>
    <w:rsid w:val="006332E7"/>
    <w:rsid w:val="00637B05"/>
    <w:rsid w:val="00637D3D"/>
    <w:rsid w:val="0064036B"/>
    <w:rsid w:val="0064414B"/>
    <w:rsid w:val="0064477A"/>
    <w:rsid w:val="0064558A"/>
    <w:rsid w:val="00646ACE"/>
    <w:rsid w:val="00646AEC"/>
    <w:rsid w:val="00646E03"/>
    <w:rsid w:val="0065214A"/>
    <w:rsid w:val="0065597A"/>
    <w:rsid w:val="00655B16"/>
    <w:rsid w:val="00655B59"/>
    <w:rsid w:val="0065720B"/>
    <w:rsid w:val="00657243"/>
    <w:rsid w:val="00657BA9"/>
    <w:rsid w:val="006601FC"/>
    <w:rsid w:val="00660EE1"/>
    <w:rsid w:val="006643FE"/>
    <w:rsid w:val="006652B2"/>
    <w:rsid w:val="00667184"/>
    <w:rsid w:val="006709DA"/>
    <w:rsid w:val="00672097"/>
    <w:rsid w:val="006743CE"/>
    <w:rsid w:val="0067735A"/>
    <w:rsid w:val="00677981"/>
    <w:rsid w:val="006816A5"/>
    <w:rsid w:val="00681868"/>
    <w:rsid w:val="00681AC8"/>
    <w:rsid w:val="00681D8A"/>
    <w:rsid w:val="00682175"/>
    <w:rsid w:val="00684233"/>
    <w:rsid w:val="00684706"/>
    <w:rsid w:val="00693BD4"/>
    <w:rsid w:val="006947F4"/>
    <w:rsid w:val="00694B79"/>
    <w:rsid w:val="00696E0E"/>
    <w:rsid w:val="00697194"/>
    <w:rsid w:val="006A017A"/>
    <w:rsid w:val="006A031B"/>
    <w:rsid w:val="006A1C32"/>
    <w:rsid w:val="006B0B89"/>
    <w:rsid w:val="006B0F18"/>
    <w:rsid w:val="006B2285"/>
    <w:rsid w:val="006B4BF2"/>
    <w:rsid w:val="006B52C5"/>
    <w:rsid w:val="006B6571"/>
    <w:rsid w:val="006B7094"/>
    <w:rsid w:val="006C30DD"/>
    <w:rsid w:val="006C3D64"/>
    <w:rsid w:val="006C463E"/>
    <w:rsid w:val="006D038B"/>
    <w:rsid w:val="006D0595"/>
    <w:rsid w:val="006D13E1"/>
    <w:rsid w:val="006D2F85"/>
    <w:rsid w:val="006D48DF"/>
    <w:rsid w:val="006D58A4"/>
    <w:rsid w:val="006D5EEA"/>
    <w:rsid w:val="006D6415"/>
    <w:rsid w:val="006E04F3"/>
    <w:rsid w:val="006E2015"/>
    <w:rsid w:val="006E2FC2"/>
    <w:rsid w:val="006E3BA4"/>
    <w:rsid w:val="006E401A"/>
    <w:rsid w:val="006E472F"/>
    <w:rsid w:val="006E79E4"/>
    <w:rsid w:val="006E7A36"/>
    <w:rsid w:val="006E7BFE"/>
    <w:rsid w:val="006F030D"/>
    <w:rsid w:val="006F2BD1"/>
    <w:rsid w:val="006F3A46"/>
    <w:rsid w:val="006F454B"/>
    <w:rsid w:val="006F584A"/>
    <w:rsid w:val="006F60EC"/>
    <w:rsid w:val="006F679F"/>
    <w:rsid w:val="006F6E09"/>
    <w:rsid w:val="006F775C"/>
    <w:rsid w:val="00701B65"/>
    <w:rsid w:val="00701BDE"/>
    <w:rsid w:val="007023BF"/>
    <w:rsid w:val="007034B1"/>
    <w:rsid w:val="00703A1C"/>
    <w:rsid w:val="00704835"/>
    <w:rsid w:val="00705FE1"/>
    <w:rsid w:val="00707BEA"/>
    <w:rsid w:val="00707E02"/>
    <w:rsid w:val="00710EC0"/>
    <w:rsid w:val="00711586"/>
    <w:rsid w:val="00712741"/>
    <w:rsid w:val="0071390F"/>
    <w:rsid w:val="00713D5A"/>
    <w:rsid w:val="00714A2C"/>
    <w:rsid w:val="00714E4D"/>
    <w:rsid w:val="00714FCA"/>
    <w:rsid w:val="00717B4C"/>
    <w:rsid w:val="00720200"/>
    <w:rsid w:val="007206F4"/>
    <w:rsid w:val="0072155D"/>
    <w:rsid w:val="0072198D"/>
    <w:rsid w:val="007235EC"/>
    <w:rsid w:val="00723C91"/>
    <w:rsid w:val="007257E1"/>
    <w:rsid w:val="007344F5"/>
    <w:rsid w:val="00734E13"/>
    <w:rsid w:val="00736402"/>
    <w:rsid w:val="00736D82"/>
    <w:rsid w:val="007404B8"/>
    <w:rsid w:val="00741214"/>
    <w:rsid w:val="00742266"/>
    <w:rsid w:val="00744213"/>
    <w:rsid w:val="00745058"/>
    <w:rsid w:val="007455A2"/>
    <w:rsid w:val="007476C9"/>
    <w:rsid w:val="00747C8D"/>
    <w:rsid w:val="0075228C"/>
    <w:rsid w:val="007535DE"/>
    <w:rsid w:val="00754686"/>
    <w:rsid w:val="00754A1E"/>
    <w:rsid w:val="007572BC"/>
    <w:rsid w:val="0076196F"/>
    <w:rsid w:val="00763759"/>
    <w:rsid w:val="007652DE"/>
    <w:rsid w:val="00767C7B"/>
    <w:rsid w:val="00771063"/>
    <w:rsid w:val="007716B3"/>
    <w:rsid w:val="00772DC0"/>
    <w:rsid w:val="007733E1"/>
    <w:rsid w:val="0077396C"/>
    <w:rsid w:val="0077439E"/>
    <w:rsid w:val="00775E42"/>
    <w:rsid w:val="0077659F"/>
    <w:rsid w:val="00777A9B"/>
    <w:rsid w:val="00777BF0"/>
    <w:rsid w:val="00781B91"/>
    <w:rsid w:val="00782B5B"/>
    <w:rsid w:val="00784DB7"/>
    <w:rsid w:val="007867C3"/>
    <w:rsid w:val="00786B00"/>
    <w:rsid w:val="00786BA3"/>
    <w:rsid w:val="007875D9"/>
    <w:rsid w:val="0078762B"/>
    <w:rsid w:val="00792226"/>
    <w:rsid w:val="0079336E"/>
    <w:rsid w:val="007A1604"/>
    <w:rsid w:val="007A17A8"/>
    <w:rsid w:val="007A5EE1"/>
    <w:rsid w:val="007A63E6"/>
    <w:rsid w:val="007B662E"/>
    <w:rsid w:val="007B70E3"/>
    <w:rsid w:val="007B7785"/>
    <w:rsid w:val="007C076F"/>
    <w:rsid w:val="007C0829"/>
    <w:rsid w:val="007C1094"/>
    <w:rsid w:val="007C2CEA"/>
    <w:rsid w:val="007C44AA"/>
    <w:rsid w:val="007C6B04"/>
    <w:rsid w:val="007C6F28"/>
    <w:rsid w:val="007D0162"/>
    <w:rsid w:val="007D26C5"/>
    <w:rsid w:val="007D28B7"/>
    <w:rsid w:val="007D3B33"/>
    <w:rsid w:val="007D4158"/>
    <w:rsid w:val="007D48D1"/>
    <w:rsid w:val="007D7855"/>
    <w:rsid w:val="007D7AAD"/>
    <w:rsid w:val="007E0351"/>
    <w:rsid w:val="007E1184"/>
    <w:rsid w:val="007E1CBE"/>
    <w:rsid w:val="007E3F30"/>
    <w:rsid w:val="007E46DC"/>
    <w:rsid w:val="007E560F"/>
    <w:rsid w:val="007E6EDB"/>
    <w:rsid w:val="007E7574"/>
    <w:rsid w:val="007F03D0"/>
    <w:rsid w:val="007F252F"/>
    <w:rsid w:val="007F4399"/>
    <w:rsid w:val="007F49F9"/>
    <w:rsid w:val="007F4B59"/>
    <w:rsid w:val="007F5D0F"/>
    <w:rsid w:val="007F6541"/>
    <w:rsid w:val="007F709D"/>
    <w:rsid w:val="00801356"/>
    <w:rsid w:val="008021C8"/>
    <w:rsid w:val="00802301"/>
    <w:rsid w:val="008036A4"/>
    <w:rsid w:val="00805117"/>
    <w:rsid w:val="0080669B"/>
    <w:rsid w:val="008069FA"/>
    <w:rsid w:val="00806ACD"/>
    <w:rsid w:val="0080736A"/>
    <w:rsid w:val="008105E9"/>
    <w:rsid w:val="00812F1B"/>
    <w:rsid w:val="00813D9F"/>
    <w:rsid w:val="0081779E"/>
    <w:rsid w:val="00822C80"/>
    <w:rsid w:val="00825FB1"/>
    <w:rsid w:val="00826D72"/>
    <w:rsid w:val="008300FE"/>
    <w:rsid w:val="0083050F"/>
    <w:rsid w:val="0083381A"/>
    <w:rsid w:val="008338CC"/>
    <w:rsid w:val="008350C7"/>
    <w:rsid w:val="00835E1E"/>
    <w:rsid w:val="0083724D"/>
    <w:rsid w:val="00852D1B"/>
    <w:rsid w:val="00853176"/>
    <w:rsid w:val="0085326C"/>
    <w:rsid w:val="00855270"/>
    <w:rsid w:val="00857458"/>
    <w:rsid w:val="00857BA6"/>
    <w:rsid w:val="00860498"/>
    <w:rsid w:val="00863B8E"/>
    <w:rsid w:val="008647EC"/>
    <w:rsid w:val="00864F28"/>
    <w:rsid w:val="00865B54"/>
    <w:rsid w:val="00867243"/>
    <w:rsid w:val="00871E10"/>
    <w:rsid w:val="008728BB"/>
    <w:rsid w:val="00874409"/>
    <w:rsid w:val="0087457F"/>
    <w:rsid w:val="00874700"/>
    <w:rsid w:val="00874E92"/>
    <w:rsid w:val="0087510D"/>
    <w:rsid w:val="00875317"/>
    <w:rsid w:val="00880923"/>
    <w:rsid w:val="0088170E"/>
    <w:rsid w:val="00881F4A"/>
    <w:rsid w:val="00885DC4"/>
    <w:rsid w:val="00886589"/>
    <w:rsid w:val="00887BD5"/>
    <w:rsid w:val="008929F2"/>
    <w:rsid w:val="00893CB3"/>
    <w:rsid w:val="00896FB3"/>
    <w:rsid w:val="008972EE"/>
    <w:rsid w:val="008A1302"/>
    <w:rsid w:val="008A615B"/>
    <w:rsid w:val="008B05E2"/>
    <w:rsid w:val="008B07E4"/>
    <w:rsid w:val="008B17B4"/>
    <w:rsid w:val="008B1EF3"/>
    <w:rsid w:val="008B44D9"/>
    <w:rsid w:val="008B6645"/>
    <w:rsid w:val="008B6BEA"/>
    <w:rsid w:val="008C0104"/>
    <w:rsid w:val="008C2D7A"/>
    <w:rsid w:val="008C3D9E"/>
    <w:rsid w:val="008C46A5"/>
    <w:rsid w:val="008C6286"/>
    <w:rsid w:val="008C6F4E"/>
    <w:rsid w:val="008D5841"/>
    <w:rsid w:val="008E0093"/>
    <w:rsid w:val="008E0458"/>
    <w:rsid w:val="008E0E6D"/>
    <w:rsid w:val="008E2088"/>
    <w:rsid w:val="008E43F5"/>
    <w:rsid w:val="008E522A"/>
    <w:rsid w:val="008E67FB"/>
    <w:rsid w:val="008E6BB8"/>
    <w:rsid w:val="008E6E79"/>
    <w:rsid w:val="008F32AD"/>
    <w:rsid w:val="008F3CB9"/>
    <w:rsid w:val="008F5CE1"/>
    <w:rsid w:val="008F6C61"/>
    <w:rsid w:val="008F7B0B"/>
    <w:rsid w:val="008F7CAD"/>
    <w:rsid w:val="00900019"/>
    <w:rsid w:val="009007CB"/>
    <w:rsid w:val="00901638"/>
    <w:rsid w:val="00901AC1"/>
    <w:rsid w:val="009033BE"/>
    <w:rsid w:val="00904128"/>
    <w:rsid w:val="00904D16"/>
    <w:rsid w:val="009059A4"/>
    <w:rsid w:val="00907B2D"/>
    <w:rsid w:val="00911C3F"/>
    <w:rsid w:val="00915310"/>
    <w:rsid w:val="00916750"/>
    <w:rsid w:val="00917841"/>
    <w:rsid w:val="00917B8D"/>
    <w:rsid w:val="0092103C"/>
    <w:rsid w:val="00921D3B"/>
    <w:rsid w:val="009236B9"/>
    <w:rsid w:val="00925C94"/>
    <w:rsid w:val="00926C61"/>
    <w:rsid w:val="00927853"/>
    <w:rsid w:val="009307EC"/>
    <w:rsid w:val="00931E18"/>
    <w:rsid w:val="00936279"/>
    <w:rsid w:val="00936542"/>
    <w:rsid w:val="0093755B"/>
    <w:rsid w:val="00937720"/>
    <w:rsid w:val="009406A8"/>
    <w:rsid w:val="00941B2C"/>
    <w:rsid w:val="009441C1"/>
    <w:rsid w:val="0094638B"/>
    <w:rsid w:val="00946A02"/>
    <w:rsid w:val="00950451"/>
    <w:rsid w:val="00950CE7"/>
    <w:rsid w:val="00951266"/>
    <w:rsid w:val="00952A59"/>
    <w:rsid w:val="00952EF6"/>
    <w:rsid w:val="00953672"/>
    <w:rsid w:val="009561EE"/>
    <w:rsid w:val="00962141"/>
    <w:rsid w:val="0096277B"/>
    <w:rsid w:val="00962BB6"/>
    <w:rsid w:val="00963415"/>
    <w:rsid w:val="0096453C"/>
    <w:rsid w:val="00965C5E"/>
    <w:rsid w:val="009667D6"/>
    <w:rsid w:val="00966E05"/>
    <w:rsid w:val="00967373"/>
    <w:rsid w:val="00967662"/>
    <w:rsid w:val="00967BBD"/>
    <w:rsid w:val="0097245A"/>
    <w:rsid w:val="00973643"/>
    <w:rsid w:val="00973D3D"/>
    <w:rsid w:val="009743B0"/>
    <w:rsid w:val="00975E64"/>
    <w:rsid w:val="00975FAF"/>
    <w:rsid w:val="00976260"/>
    <w:rsid w:val="00983076"/>
    <w:rsid w:val="0098486F"/>
    <w:rsid w:val="00984F25"/>
    <w:rsid w:val="00987187"/>
    <w:rsid w:val="00991BDB"/>
    <w:rsid w:val="00994718"/>
    <w:rsid w:val="00995F16"/>
    <w:rsid w:val="00996BBD"/>
    <w:rsid w:val="0099761D"/>
    <w:rsid w:val="00997A64"/>
    <w:rsid w:val="009A1240"/>
    <w:rsid w:val="009A156C"/>
    <w:rsid w:val="009A1CD6"/>
    <w:rsid w:val="009A23C9"/>
    <w:rsid w:val="009A31E6"/>
    <w:rsid w:val="009A360D"/>
    <w:rsid w:val="009A36FC"/>
    <w:rsid w:val="009A439D"/>
    <w:rsid w:val="009A4F82"/>
    <w:rsid w:val="009A5CB4"/>
    <w:rsid w:val="009A6D98"/>
    <w:rsid w:val="009B0399"/>
    <w:rsid w:val="009B17E2"/>
    <w:rsid w:val="009B3FB0"/>
    <w:rsid w:val="009B41C9"/>
    <w:rsid w:val="009B55F6"/>
    <w:rsid w:val="009C11D6"/>
    <w:rsid w:val="009C3F28"/>
    <w:rsid w:val="009C5136"/>
    <w:rsid w:val="009C6814"/>
    <w:rsid w:val="009C694A"/>
    <w:rsid w:val="009C6CA8"/>
    <w:rsid w:val="009C6D35"/>
    <w:rsid w:val="009C77CE"/>
    <w:rsid w:val="009D17F0"/>
    <w:rsid w:val="009D24A5"/>
    <w:rsid w:val="009D250D"/>
    <w:rsid w:val="009D28DD"/>
    <w:rsid w:val="009D3A36"/>
    <w:rsid w:val="009D4626"/>
    <w:rsid w:val="009D5639"/>
    <w:rsid w:val="009D678D"/>
    <w:rsid w:val="009D7A6D"/>
    <w:rsid w:val="009E2C90"/>
    <w:rsid w:val="009E4B6F"/>
    <w:rsid w:val="009E6CA1"/>
    <w:rsid w:val="009E79BA"/>
    <w:rsid w:val="009E7A2A"/>
    <w:rsid w:val="009F4219"/>
    <w:rsid w:val="009F45EF"/>
    <w:rsid w:val="009F48D2"/>
    <w:rsid w:val="009F587B"/>
    <w:rsid w:val="009F7BAF"/>
    <w:rsid w:val="009F7D72"/>
    <w:rsid w:val="00A000E8"/>
    <w:rsid w:val="00A03BDD"/>
    <w:rsid w:val="00A06A08"/>
    <w:rsid w:val="00A07BAB"/>
    <w:rsid w:val="00A111C8"/>
    <w:rsid w:val="00A111CC"/>
    <w:rsid w:val="00A131A0"/>
    <w:rsid w:val="00A149B0"/>
    <w:rsid w:val="00A175AD"/>
    <w:rsid w:val="00A27508"/>
    <w:rsid w:val="00A30431"/>
    <w:rsid w:val="00A36267"/>
    <w:rsid w:val="00A3686B"/>
    <w:rsid w:val="00A376FB"/>
    <w:rsid w:val="00A37AB4"/>
    <w:rsid w:val="00A37E55"/>
    <w:rsid w:val="00A40321"/>
    <w:rsid w:val="00A404D8"/>
    <w:rsid w:val="00A409A2"/>
    <w:rsid w:val="00A414E3"/>
    <w:rsid w:val="00A41F2E"/>
    <w:rsid w:val="00A42A80"/>
    <w:rsid w:val="00A42E68"/>
    <w:rsid w:val="00A43EEF"/>
    <w:rsid w:val="00A4578D"/>
    <w:rsid w:val="00A47467"/>
    <w:rsid w:val="00A519DD"/>
    <w:rsid w:val="00A52150"/>
    <w:rsid w:val="00A531E1"/>
    <w:rsid w:val="00A53370"/>
    <w:rsid w:val="00A555E8"/>
    <w:rsid w:val="00A56111"/>
    <w:rsid w:val="00A56CA1"/>
    <w:rsid w:val="00A57E9A"/>
    <w:rsid w:val="00A60CF3"/>
    <w:rsid w:val="00A61100"/>
    <w:rsid w:val="00A64F4F"/>
    <w:rsid w:val="00A6593C"/>
    <w:rsid w:val="00A679FA"/>
    <w:rsid w:val="00A7070A"/>
    <w:rsid w:val="00A71FC8"/>
    <w:rsid w:val="00A77B97"/>
    <w:rsid w:val="00A77BE8"/>
    <w:rsid w:val="00A80F2F"/>
    <w:rsid w:val="00A8283B"/>
    <w:rsid w:val="00A83060"/>
    <w:rsid w:val="00A83CC3"/>
    <w:rsid w:val="00A84642"/>
    <w:rsid w:val="00A908FA"/>
    <w:rsid w:val="00A92685"/>
    <w:rsid w:val="00A94107"/>
    <w:rsid w:val="00A948D7"/>
    <w:rsid w:val="00A95480"/>
    <w:rsid w:val="00A96A8A"/>
    <w:rsid w:val="00A972FA"/>
    <w:rsid w:val="00AA05FF"/>
    <w:rsid w:val="00AA4B0B"/>
    <w:rsid w:val="00AA5C86"/>
    <w:rsid w:val="00AA5D24"/>
    <w:rsid w:val="00AA603E"/>
    <w:rsid w:val="00AA6184"/>
    <w:rsid w:val="00AA624C"/>
    <w:rsid w:val="00AA63B5"/>
    <w:rsid w:val="00AB0D1B"/>
    <w:rsid w:val="00AB1B03"/>
    <w:rsid w:val="00AB29BA"/>
    <w:rsid w:val="00AB2E29"/>
    <w:rsid w:val="00AB34E5"/>
    <w:rsid w:val="00AB740F"/>
    <w:rsid w:val="00AB7A9A"/>
    <w:rsid w:val="00AB7CC4"/>
    <w:rsid w:val="00AC16FF"/>
    <w:rsid w:val="00AC3833"/>
    <w:rsid w:val="00AC7882"/>
    <w:rsid w:val="00AD063D"/>
    <w:rsid w:val="00AD27D1"/>
    <w:rsid w:val="00AD3D01"/>
    <w:rsid w:val="00AD3D8C"/>
    <w:rsid w:val="00AD5D4A"/>
    <w:rsid w:val="00AD5EFF"/>
    <w:rsid w:val="00AD6355"/>
    <w:rsid w:val="00AD653E"/>
    <w:rsid w:val="00AD7970"/>
    <w:rsid w:val="00AE2D38"/>
    <w:rsid w:val="00AE435C"/>
    <w:rsid w:val="00AE5C15"/>
    <w:rsid w:val="00AE6055"/>
    <w:rsid w:val="00AF1870"/>
    <w:rsid w:val="00AF1D38"/>
    <w:rsid w:val="00AF4CD0"/>
    <w:rsid w:val="00AF54B5"/>
    <w:rsid w:val="00AF5717"/>
    <w:rsid w:val="00AF5EC8"/>
    <w:rsid w:val="00AF73A5"/>
    <w:rsid w:val="00B0051B"/>
    <w:rsid w:val="00B029B7"/>
    <w:rsid w:val="00B02BD8"/>
    <w:rsid w:val="00B04E02"/>
    <w:rsid w:val="00B05108"/>
    <w:rsid w:val="00B114E3"/>
    <w:rsid w:val="00B12883"/>
    <w:rsid w:val="00B136F2"/>
    <w:rsid w:val="00B146A0"/>
    <w:rsid w:val="00B14F54"/>
    <w:rsid w:val="00B159FA"/>
    <w:rsid w:val="00B15FAB"/>
    <w:rsid w:val="00B16FF9"/>
    <w:rsid w:val="00B20E6E"/>
    <w:rsid w:val="00B22091"/>
    <w:rsid w:val="00B23747"/>
    <w:rsid w:val="00B24C9E"/>
    <w:rsid w:val="00B26A19"/>
    <w:rsid w:val="00B26A99"/>
    <w:rsid w:val="00B27511"/>
    <w:rsid w:val="00B3108C"/>
    <w:rsid w:val="00B31102"/>
    <w:rsid w:val="00B34176"/>
    <w:rsid w:val="00B35592"/>
    <w:rsid w:val="00B355FE"/>
    <w:rsid w:val="00B36A1C"/>
    <w:rsid w:val="00B37D85"/>
    <w:rsid w:val="00B4157A"/>
    <w:rsid w:val="00B426C5"/>
    <w:rsid w:val="00B42C5C"/>
    <w:rsid w:val="00B43014"/>
    <w:rsid w:val="00B44518"/>
    <w:rsid w:val="00B44A5A"/>
    <w:rsid w:val="00B44FFA"/>
    <w:rsid w:val="00B47DA0"/>
    <w:rsid w:val="00B502AC"/>
    <w:rsid w:val="00B506BE"/>
    <w:rsid w:val="00B50C72"/>
    <w:rsid w:val="00B50DAC"/>
    <w:rsid w:val="00B52344"/>
    <w:rsid w:val="00B56437"/>
    <w:rsid w:val="00B56B13"/>
    <w:rsid w:val="00B60DA8"/>
    <w:rsid w:val="00B61F95"/>
    <w:rsid w:val="00B6237D"/>
    <w:rsid w:val="00B62CE6"/>
    <w:rsid w:val="00B63282"/>
    <w:rsid w:val="00B6743A"/>
    <w:rsid w:val="00B7053B"/>
    <w:rsid w:val="00B7178B"/>
    <w:rsid w:val="00B71CD4"/>
    <w:rsid w:val="00B73D1F"/>
    <w:rsid w:val="00B73D21"/>
    <w:rsid w:val="00B7458E"/>
    <w:rsid w:val="00B749E1"/>
    <w:rsid w:val="00B74B9A"/>
    <w:rsid w:val="00B77184"/>
    <w:rsid w:val="00B81C07"/>
    <w:rsid w:val="00B8490C"/>
    <w:rsid w:val="00B922A0"/>
    <w:rsid w:val="00B94F6A"/>
    <w:rsid w:val="00B96310"/>
    <w:rsid w:val="00BA0684"/>
    <w:rsid w:val="00BA2623"/>
    <w:rsid w:val="00BA3BFA"/>
    <w:rsid w:val="00BA55C0"/>
    <w:rsid w:val="00BA7898"/>
    <w:rsid w:val="00BB0A5C"/>
    <w:rsid w:val="00BB0DF9"/>
    <w:rsid w:val="00BB159E"/>
    <w:rsid w:val="00BB1DDD"/>
    <w:rsid w:val="00BB2C00"/>
    <w:rsid w:val="00BB3C22"/>
    <w:rsid w:val="00BB4BC3"/>
    <w:rsid w:val="00BB549A"/>
    <w:rsid w:val="00BB621A"/>
    <w:rsid w:val="00BB7F28"/>
    <w:rsid w:val="00BC045C"/>
    <w:rsid w:val="00BC3CB6"/>
    <w:rsid w:val="00BC4493"/>
    <w:rsid w:val="00BC45F9"/>
    <w:rsid w:val="00BC4B67"/>
    <w:rsid w:val="00BC4C91"/>
    <w:rsid w:val="00BC5AD5"/>
    <w:rsid w:val="00BC5E39"/>
    <w:rsid w:val="00BC629F"/>
    <w:rsid w:val="00BC6654"/>
    <w:rsid w:val="00BD1F20"/>
    <w:rsid w:val="00BD2322"/>
    <w:rsid w:val="00BD58D8"/>
    <w:rsid w:val="00BD6296"/>
    <w:rsid w:val="00BD68CE"/>
    <w:rsid w:val="00BE170C"/>
    <w:rsid w:val="00BE1F51"/>
    <w:rsid w:val="00BE3E90"/>
    <w:rsid w:val="00BE4AB4"/>
    <w:rsid w:val="00BE79B4"/>
    <w:rsid w:val="00BF034E"/>
    <w:rsid w:val="00BF415E"/>
    <w:rsid w:val="00BF696E"/>
    <w:rsid w:val="00BF6B2B"/>
    <w:rsid w:val="00BF7345"/>
    <w:rsid w:val="00C00D2A"/>
    <w:rsid w:val="00C00D83"/>
    <w:rsid w:val="00C01541"/>
    <w:rsid w:val="00C01C01"/>
    <w:rsid w:val="00C03836"/>
    <w:rsid w:val="00C03F48"/>
    <w:rsid w:val="00C051A9"/>
    <w:rsid w:val="00C05B8D"/>
    <w:rsid w:val="00C121D0"/>
    <w:rsid w:val="00C15438"/>
    <w:rsid w:val="00C15BA1"/>
    <w:rsid w:val="00C20D5B"/>
    <w:rsid w:val="00C25CD8"/>
    <w:rsid w:val="00C25ECA"/>
    <w:rsid w:val="00C26687"/>
    <w:rsid w:val="00C277A5"/>
    <w:rsid w:val="00C31D8B"/>
    <w:rsid w:val="00C323DE"/>
    <w:rsid w:val="00C32968"/>
    <w:rsid w:val="00C32D6C"/>
    <w:rsid w:val="00C33524"/>
    <w:rsid w:val="00C34750"/>
    <w:rsid w:val="00C365BE"/>
    <w:rsid w:val="00C367EE"/>
    <w:rsid w:val="00C374EE"/>
    <w:rsid w:val="00C37588"/>
    <w:rsid w:val="00C37E3F"/>
    <w:rsid w:val="00C4025E"/>
    <w:rsid w:val="00C4219A"/>
    <w:rsid w:val="00C450D7"/>
    <w:rsid w:val="00C45D84"/>
    <w:rsid w:val="00C46A51"/>
    <w:rsid w:val="00C47112"/>
    <w:rsid w:val="00C4767B"/>
    <w:rsid w:val="00C47E63"/>
    <w:rsid w:val="00C50AAD"/>
    <w:rsid w:val="00C50F46"/>
    <w:rsid w:val="00C5147E"/>
    <w:rsid w:val="00C51B13"/>
    <w:rsid w:val="00C51F88"/>
    <w:rsid w:val="00C56879"/>
    <w:rsid w:val="00C57896"/>
    <w:rsid w:val="00C608A9"/>
    <w:rsid w:val="00C6459A"/>
    <w:rsid w:val="00C70120"/>
    <w:rsid w:val="00C74100"/>
    <w:rsid w:val="00C75A17"/>
    <w:rsid w:val="00C826A5"/>
    <w:rsid w:val="00C8403A"/>
    <w:rsid w:val="00C844B8"/>
    <w:rsid w:val="00C86642"/>
    <w:rsid w:val="00C86ACC"/>
    <w:rsid w:val="00C86F36"/>
    <w:rsid w:val="00C9199C"/>
    <w:rsid w:val="00C979AF"/>
    <w:rsid w:val="00C979C6"/>
    <w:rsid w:val="00CA12A4"/>
    <w:rsid w:val="00CA19CD"/>
    <w:rsid w:val="00CA1C7E"/>
    <w:rsid w:val="00CA1FA6"/>
    <w:rsid w:val="00CA43E9"/>
    <w:rsid w:val="00CA5B6B"/>
    <w:rsid w:val="00CB0638"/>
    <w:rsid w:val="00CB2D9D"/>
    <w:rsid w:val="00CB41DB"/>
    <w:rsid w:val="00CB78A3"/>
    <w:rsid w:val="00CC09DA"/>
    <w:rsid w:val="00CC0D4E"/>
    <w:rsid w:val="00CC1DFF"/>
    <w:rsid w:val="00CC2366"/>
    <w:rsid w:val="00CC3B93"/>
    <w:rsid w:val="00CC4B51"/>
    <w:rsid w:val="00CC55E4"/>
    <w:rsid w:val="00CC62D7"/>
    <w:rsid w:val="00CC786A"/>
    <w:rsid w:val="00CD07B6"/>
    <w:rsid w:val="00CD2F71"/>
    <w:rsid w:val="00CD3B7C"/>
    <w:rsid w:val="00CD5C9F"/>
    <w:rsid w:val="00CD6D79"/>
    <w:rsid w:val="00CE251A"/>
    <w:rsid w:val="00CE3F9D"/>
    <w:rsid w:val="00CE50A3"/>
    <w:rsid w:val="00CE6729"/>
    <w:rsid w:val="00CE6B3E"/>
    <w:rsid w:val="00CE6F5C"/>
    <w:rsid w:val="00CE7DEF"/>
    <w:rsid w:val="00CF086F"/>
    <w:rsid w:val="00CF1069"/>
    <w:rsid w:val="00CF4670"/>
    <w:rsid w:val="00CF4B76"/>
    <w:rsid w:val="00CF58AF"/>
    <w:rsid w:val="00CF597E"/>
    <w:rsid w:val="00D009AE"/>
    <w:rsid w:val="00D013E5"/>
    <w:rsid w:val="00D019FB"/>
    <w:rsid w:val="00D03928"/>
    <w:rsid w:val="00D07F43"/>
    <w:rsid w:val="00D10022"/>
    <w:rsid w:val="00D10213"/>
    <w:rsid w:val="00D12CC9"/>
    <w:rsid w:val="00D13317"/>
    <w:rsid w:val="00D134CF"/>
    <w:rsid w:val="00D13D9D"/>
    <w:rsid w:val="00D14712"/>
    <w:rsid w:val="00D16C91"/>
    <w:rsid w:val="00D20850"/>
    <w:rsid w:val="00D265DD"/>
    <w:rsid w:val="00D26FEF"/>
    <w:rsid w:val="00D27E33"/>
    <w:rsid w:val="00D27F74"/>
    <w:rsid w:val="00D30B61"/>
    <w:rsid w:val="00D340DA"/>
    <w:rsid w:val="00D34B24"/>
    <w:rsid w:val="00D35B5B"/>
    <w:rsid w:val="00D3696D"/>
    <w:rsid w:val="00D36EEE"/>
    <w:rsid w:val="00D37CFB"/>
    <w:rsid w:val="00D46DFA"/>
    <w:rsid w:val="00D479D8"/>
    <w:rsid w:val="00D511D0"/>
    <w:rsid w:val="00D51350"/>
    <w:rsid w:val="00D54051"/>
    <w:rsid w:val="00D54A2F"/>
    <w:rsid w:val="00D54D8A"/>
    <w:rsid w:val="00D55C89"/>
    <w:rsid w:val="00D56570"/>
    <w:rsid w:val="00D56FE9"/>
    <w:rsid w:val="00D571D6"/>
    <w:rsid w:val="00D57711"/>
    <w:rsid w:val="00D61094"/>
    <w:rsid w:val="00D61428"/>
    <w:rsid w:val="00D61C04"/>
    <w:rsid w:val="00D6220D"/>
    <w:rsid w:val="00D63040"/>
    <w:rsid w:val="00D65243"/>
    <w:rsid w:val="00D66624"/>
    <w:rsid w:val="00D72DC3"/>
    <w:rsid w:val="00D73275"/>
    <w:rsid w:val="00D74730"/>
    <w:rsid w:val="00D75064"/>
    <w:rsid w:val="00D751E0"/>
    <w:rsid w:val="00D75220"/>
    <w:rsid w:val="00D773AC"/>
    <w:rsid w:val="00D80F59"/>
    <w:rsid w:val="00D81FC6"/>
    <w:rsid w:val="00D84474"/>
    <w:rsid w:val="00D84E31"/>
    <w:rsid w:val="00D85D16"/>
    <w:rsid w:val="00D864EB"/>
    <w:rsid w:val="00D90691"/>
    <w:rsid w:val="00D917F2"/>
    <w:rsid w:val="00D91E9A"/>
    <w:rsid w:val="00D96782"/>
    <w:rsid w:val="00D96F24"/>
    <w:rsid w:val="00DA16B3"/>
    <w:rsid w:val="00DA3C24"/>
    <w:rsid w:val="00DA4235"/>
    <w:rsid w:val="00DA740B"/>
    <w:rsid w:val="00DA7A58"/>
    <w:rsid w:val="00DA7C1C"/>
    <w:rsid w:val="00DA7FC2"/>
    <w:rsid w:val="00DB12B9"/>
    <w:rsid w:val="00DB3759"/>
    <w:rsid w:val="00DB500F"/>
    <w:rsid w:val="00DB5013"/>
    <w:rsid w:val="00DB7495"/>
    <w:rsid w:val="00DC450D"/>
    <w:rsid w:val="00DC4E8B"/>
    <w:rsid w:val="00DC516F"/>
    <w:rsid w:val="00DC5809"/>
    <w:rsid w:val="00DD1D5B"/>
    <w:rsid w:val="00DD293D"/>
    <w:rsid w:val="00DD3455"/>
    <w:rsid w:val="00DD64C1"/>
    <w:rsid w:val="00DD6B93"/>
    <w:rsid w:val="00DD6D67"/>
    <w:rsid w:val="00DE10AC"/>
    <w:rsid w:val="00DE15A2"/>
    <w:rsid w:val="00DE3330"/>
    <w:rsid w:val="00DE5F98"/>
    <w:rsid w:val="00DE7EE2"/>
    <w:rsid w:val="00DE7F19"/>
    <w:rsid w:val="00DF0892"/>
    <w:rsid w:val="00DF0F94"/>
    <w:rsid w:val="00DF16AA"/>
    <w:rsid w:val="00DF207D"/>
    <w:rsid w:val="00DF3157"/>
    <w:rsid w:val="00DF401B"/>
    <w:rsid w:val="00DF4A64"/>
    <w:rsid w:val="00DF4BE4"/>
    <w:rsid w:val="00DF55D2"/>
    <w:rsid w:val="00DF5FF7"/>
    <w:rsid w:val="00DF6883"/>
    <w:rsid w:val="00DF6FB3"/>
    <w:rsid w:val="00DF7493"/>
    <w:rsid w:val="00E0092B"/>
    <w:rsid w:val="00E01FFB"/>
    <w:rsid w:val="00E02E03"/>
    <w:rsid w:val="00E03AC7"/>
    <w:rsid w:val="00E05669"/>
    <w:rsid w:val="00E05EFE"/>
    <w:rsid w:val="00E06AAA"/>
    <w:rsid w:val="00E07A02"/>
    <w:rsid w:val="00E158C9"/>
    <w:rsid w:val="00E166B7"/>
    <w:rsid w:val="00E16A56"/>
    <w:rsid w:val="00E24756"/>
    <w:rsid w:val="00E265D0"/>
    <w:rsid w:val="00E2724E"/>
    <w:rsid w:val="00E273CB"/>
    <w:rsid w:val="00E27904"/>
    <w:rsid w:val="00E3008F"/>
    <w:rsid w:val="00E335AB"/>
    <w:rsid w:val="00E335CF"/>
    <w:rsid w:val="00E37A14"/>
    <w:rsid w:val="00E37F4E"/>
    <w:rsid w:val="00E42AC7"/>
    <w:rsid w:val="00E47A54"/>
    <w:rsid w:val="00E51AD9"/>
    <w:rsid w:val="00E51FF2"/>
    <w:rsid w:val="00E5316B"/>
    <w:rsid w:val="00E5345B"/>
    <w:rsid w:val="00E54E8E"/>
    <w:rsid w:val="00E564D1"/>
    <w:rsid w:val="00E5699C"/>
    <w:rsid w:val="00E606DD"/>
    <w:rsid w:val="00E60E09"/>
    <w:rsid w:val="00E6191A"/>
    <w:rsid w:val="00E62FEE"/>
    <w:rsid w:val="00E63C3F"/>
    <w:rsid w:val="00E641E9"/>
    <w:rsid w:val="00E64F56"/>
    <w:rsid w:val="00E6589C"/>
    <w:rsid w:val="00E66066"/>
    <w:rsid w:val="00E6614C"/>
    <w:rsid w:val="00E67221"/>
    <w:rsid w:val="00E73FC9"/>
    <w:rsid w:val="00E749CA"/>
    <w:rsid w:val="00E76B19"/>
    <w:rsid w:val="00E7722B"/>
    <w:rsid w:val="00E77A9D"/>
    <w:rsid w:val="00E8163F"/>
    <w:rsid w:val="00E819F2"/>
    <w:rsid w:val="00E825B5"/>
    <w:rsid w:val="00E82F85"/>
    <w:rsid w:val="00E843CE"/>
    <w:rsid w:val="00E84637"/>
    <w:rsid w:val="00E85F67"/>
    <w:rsid w:val="00E91D22"/>
    <w:rsid w:val="00E956D4"/>
    <w:rsid w:val="00EA4D41"/>
    <w:rsid w:val="00EA4DDE"/>
    <w:rsid w:val="00EA76CC"/>
    <w:rsid w:val="00EB0A45"/>
    <w:rsid w:val="00EB26DD"/>
    <w:rsid w:val="00EB2F62"/>
    <w:rsid w:val="00EB4E60"/>
    <w:rsid w:val="00EB7FAC"/>
    <w:rsid w:val="00EC039D"/>
    <w:rsid w:val="00EC1F10"/>
    <w:rsid w:val="00EC3CDD"/>
    <w:rsid w:val="00EC4450"/>
    <w:rsid w:val="00EC4F66"/>
    <w:rsid w:val="00EC4FA5"/>
    <w:rsid w:val="00EC6BC1"/>
    <w:rsid w:val="00EC6DFB"/>
    <w:rsid w:val="00EC7206"/>
    <w:rsid w:val="00ED0E59"/>
    <w:rsid w:val="00ED157F"/>
    <w:rsid w:val="00ED173F"/>
    <w:rsid w:val="00ED190B"/>
    <w:rsid w:val="00ED39E5"/>
    <w:rsid w:val="00ED5413"/>
    <w:rsid w:val="00EE1A95"/>
    <w:rsid w:val="00EE4F51"/>
    <w:rsid w:val="00EE50AA"/>
    <w:rsid w:val="00EE50D2"/>
    <w:rsid w:val="00EE6192"/>
    <w:rsid w:val="00EE69E0"/>
    <w:rsid w:val="00EE72D3"/>
    <w:rsid w:val="00EF17F4"/>
    <w:rsid w:val="00EF1C84"/>
    <w:rsid w:val="00EF1FD0"/>
    <w:rsid w:val="00EF321D"/>
    <w:rsid w:val="00EF4335"/>
    <w:rsid w:val="00EF6F9B"/>
    <w:rsid w:val="00EF716D"/>
    <w:rsid w:val="00F00084"/>
    <w:rsid w:val="00F001BD"/>
    <w:rsid w:val="00F01574"/>
    <w:rsid w:val="00F02699"/>
    <w:rsid w:val="00F02F4C"/>
    <w:rsid w:val="00F059A2"/>
    <w:rsid w:val="00F05CA5"/>
    <w:rsid w:val="00F0652F"/>
    <w:rsid w:val="00F11758"/>
    <w:rsid w:val="00F1268E"/>
    <w:rsid w:val="00F13F9E"/>
    <w:rsid w:val="00F149C0"/>
    <w:rsid w:val="00F1683F"/>
    <w:rsid w:val="00F16E8D"/>
    <w:rsid w:val="00F20811"/>
    <w:rsid w:val="00F2098B"/>
    <w:rsid w:val="00F22131"/>
    <w:rsid w:val="00F22AF7"/>
    <w:rsid w:val="00F23F30"/>
    <w:rsid w:val="00F25B37"/>
    <w:rsid w:val="00F3050E"/>
    <w:rsid w:val="00F31115"/>
    <w:rsid w:val="00F34FEE"/>
    <w:rsid w:val="00F44ADB"/>
    <w:rsid w:val="00F457DC"/>
    <w:rsid w:val="00F463E3"/>
    <w:rsid w:val="00F50A58"/>
    <w:rsid w:val="00F50D2C"/>
    <w:rsid w:val="00F51600"/>
    <w:rsid w:val="00F5186C"/>
    <w:rsid w:val="00F521A8"/>
    <w:rsid w:val="00F52538"/>
    <w:rsid w:val="00F54B27"/>
    <w:rsid w:val="00F5563E"/>
    <w:rsid w:val="00F55940"/>
    <w:rsid w:val="00F562BB"/>
    <w:rsid w:val="00F576FC"/>
    <w:rsid w:val="00F578EF"/>
    <w:rsid w:val="00F57B0E"/>
    <w:rsid w:val="00F57FAD"/>
    <w:rsid w:val="00F612D0"/>
    <w:rsid w:val="00F62B42"/>
    <w:rsid w:val="00F62D35"/>
    <w:rsid w:val="00F62DC0"/>
    <w:rsid w:val="00F6340A"/>
    <w:rsid w:val="00F63791"/>
    <w:rsid w:val="00F64D3B"/>
    <w:rsid w:val="00F665D6"/>
    <w:rsid w:val="00F67333"/>
    <w:rsid w:val="00F709D1"/>
    <w:rsid w:val="00F70F0B"/>
    <w:rsid w:val="00F724A8"/>
    <w:rsid w:val="00F73C07"/>
    <w:rsid w:val="00F743EC"/>
    <w:rsid w:val="00F7552B"/>
    <w:rsid w:val="00F80553"/>
    <w:rsid w:val="00F812E2"/>
    <w:rsid w:val="00F81523"/>
    <w:rsid w:val="00F8202D"/>
    <w:rsid w:val="00F820F4"/>
    <w:rsid w:val="00F82B6F"/>
    <w:rsid w:val="00F82BB2"/>
    <w:rsid w:val="00F83CE0"/>
    <w:rsid w:val="00F85521"/>
    <w:rsid w:val="00F869ED"/>
    <w:rsid w:val="00F933FB"/>
    <w:rsid w:val="00F9379C"/>
    <w:rsid w:val="00F94EFB"/>
    <w:rsid w:val="00F95923"/>
    <w:rsid w:val="00F95B0B"/>
    <w:rsid w:val="00F96C30"/>
    <w:rsid w:val="00FA467A"/>
    <w:rsid w:val="00FA4E19"/>
    <w:rsid w:val="00FA67B9"/>
    <w:rsid w:val="00FA6957"/>
    <w:rsid w:val="00FA6E35"/>
    <w:rsid w:val="00FA6EFB"/>
    <w:rsid w:val="00FB043E"/>
    <w:rsid w:val="00FB0910"/>
    <w:rsid w:val="00FB0D5A"/>
    <w:rsid w:val="00FB2A3A"/>
    <w:rsid w:val="00FB2D4C"/>
    <w:rsid w:val="00FB33C0"/>
    <w:rsid w:val="00FB3E73"/>
    <w:rsid w:val="00FB5DE9"/>
    <w:rsid w:val="00FC00AA"/>
    <w:rsid w:val="00FC1304"/>
    <w:rsid w:val="00FC416A"/>
    <w:rsid w:val="00FC5C08"/>
    <w:rsid w:val="00FC61D8"/>
    <w:rsid w:val="00FC7FD2"/>
    <w:rsid w:val="00FD1FDC"/>
    <w:rsid w:val="00FD2098"/>
    <w:rsid w:val="00FD2FFD"/>
    <w:rsid w:val="00FD3E04"/>
    <w:rsid w:val="00FD56E5"/>
    <w:rsid w:val="00FD5C01"/>
    <w:rsid w:val="00FD679E"/>
    <w:rsid w:val="00FE4570"/>
    <w:rsid w:val="00FE49E6"/>
    <w:rsid w:val="00FE58FE"/>
    <w:rsid w:val="00FF0F35"/>
    <w:rsid w:val="00FF1ABC"/>
    <w:rsid w:val="00FF4A60"/>
    <w:rsid w:val="00FF5AFA"/>
    <w:rsid w:val="00FF6A03"/>
    <w:rsid w:val="00FF6F75"/>
    <w:rsid w:val="00FF76C1"/>
    <w:rsid w:val="034D2F41"/>
    <w:rsid w:val="03D41F9D"/>
    <w:rsid w:val="054F7665"/>
    <w:rsid w:val="05AC4D94"/>
    <w:rsid w:val="065220C7"/>
    <w:rsid w:val="06524767"/>
    <w:rsid w:val="06F95B05"/>
    <w:rsid w:val="090D46C9"/>
    <w:rsid w:val="0BF417F1"/>
    <w:rsid w:val="0DBE52ED"/>
    <w:rsid w:val="0F577024"/>
    <w:rsid w:val="0FC13BE8"/>
    <w:rsid w:val="10366584"/>
    <w:rsid w:val="10522E01"/>
    <w:rsid w:val="109903FA"/>
    <w:rsid w:val="10E31030"/>
    <w:rsid w:val="11F03120"/>
    <w:rsid w:val="122D4CA1"/>
    <w:rsid w:val="12E25A35"/>
    <w:rsid w:val="15164421"/>
    <w:rsid w:val="16EB7EA4"/>
    <w:rsid w:val="17E927CE"/>
    <w:rsid w:val="19C11655"/>
    <w:rsid w:val="1AA65369"/>
    <w:rsid w:val="1C5A5F80"/>
    <w:rsid w:val="1C5D2434"/>
    <w:rsid w:val="1CC05F26"/>
    <w:rsid w:val="1F3938D6"/>
    <w:rsid w:val="1F3D37C3"/>
    <w:rsid w:val="22737B9A"/>
    <w:rsid w:val="23C41DDF"/>
    <w:rsid w:val="23CE0335"/>
    <w:rsid w:val="24826083"/>
    <w:rsid w:val="27B84396"/>
    <w:rsid w:val="27D44739"/>
    <w:rsid w:val="2AA71D35"/>
    <w:rsid w:val="2B061D6F"/>
    <w:rsid w:val="2D130A66"/>
    <w:rsid w:val="2DD771E7"/>
    <w:rsid w:val="2EC24ADE"/>
    <w:rsid w:val="2F123182"/>
    <w:rsid w:val="2F7F13E7"/>
    <w:rsid w:val="30400611"/>
    <w:rsid w:val="34F0424A"/>
    <w:rsid w:val="37A30031"/>
    <w:rsid w:val="39DB41B5"/>
    <w:rsid w:val="3DA863F6"/>
    <w:rsid w:val="3DF44BF7"/>
    <w:rsid w:val="3DFD7506"/>
    <w:rsid w:val="40CC060A"/>
    <w:rsid w:val="41001F69"/>
    <w:rsid w:val="411B60F5"/>
    <w:rsid w:val="42337EBF"/>
    <w:rsid w:val="43F65BCC"/>
    <w:rsid w:val="449816FF"/>
    <w:rsid w:val="45AD4518"/>
    <w:rsid w:val="481A5FDD"/>
    <w:rsid w:val="48957AD5"/>
    <w:rsid w:val="4D05708F"/>
    <w:rsid w:val="4F850958"/>
    <w:rsid w:val="4FB250B6"/>
    <w:rsid w:val="50045C63"/>
    <w:rsid w:val="51B17222"/>
    <w:rsid w:val="534701C6"/>
    <w:rsid w:val="54E150BB"/>
    <w:rsid w:val="560D1D33"/>
    <w:rsid w:val="56876AF1"/>
    <w:rsid w:val="57B10FCD"/>
    <w:rsid w:val="58FB7812"/>
    <w:rsid w:val="5942095E"/>
    <w:rsid w:val="5CF40B9A"/>
    <w:rsid w:val="5E4A62B5"/>
    <w:rsid w:val="5F5C5763"/>
    <w:rsid w:val="60123DCA"/>
    <w:rsid w:val="603C1431"/>
    <w:rsid w:val="60A5656E"/>
    <w:rsid w:val="60BE222E"/>
    <w:rsid w:val="61004B04"/>
    <w:rsid w:val="637B63DB"/>
    <w:rsid w:val="65457ABE"/>
    <w:rsid w:val="67E16DE8"/>
    <w:rsid w:val="68ED3CC3"/>
    <w:rsid w:val="6A011FA6"/>
    <w:rsid w:val="6B79733B"/>
    <w:rsid w:val="6BB1137D"/>
    <w:rsid w:val="6CDF36A5"/>
    <w:rsid w:val="6FA2438D"/>
    <w:rsid w:val="73BF04FC"/>
    <w:rsid w:val="763D73E4"/>
    <w:rsid w:val="76AB21B4"/>
    <w:rsid w:val="793350FC"/>
    <w:rsid w:val="793A0F95"/>
    <w:rsid w:val="795B54DE"/>
    <w:rsid w:val="798304EF"/>
    <w:rsid w:val="799F2DCA"/>
    <w:rsid w:val="7D6C0B0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semiHidden="0" w:name="heading 6"/>
    <w:lsdException w:qFormat="1" w:uiPriority="0" w:name="heading 7"/>
    <w:lsdException w:qFormat="1" w:uiPriority="0" w:name="heading 8"/>
    <w:lsdException w:qFormat="1" w:uiPriority="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iPriority="0" w:semiHidden="0" w:name="Normal Indent"/>
    <w:lsdException w:uiPriority="99" w:name="footnote text"/>
    <w:lsdException w:uiPriority="99" w:name="annotation text"/>
    <w:lsdException w:qFormat="1" w:uiPriority="0"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99" w:semiHidden="0" w:name="Body Text"/>
    <w:lsdException w:qFormat="1"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qFormat="1" w:uiPriority="99" w:semiHidden="0"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0" w:semiHidden="0" w:name="Strong"/>
    <w:lsdException w:qFormat="1" w:unhideWhenUsed="0" w:uiPriority="20" w:semiHidden="0" w:name="Emphasis"/>
    <w:lsdException w:uiPriority="99" w:name="Document Map"/>
    <w:lsdException w:qFormat="1" w:uiPriority="99" w:semiHidden="0" w:name="Plain Text"/>
    <w:lsdException w:qFormat="1" w:unhideWhenUsed="0" w:uiPriority="0"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200" w:firstLineChars="200"/>
      <w:jc w:val="both"/>
    </w:pPr>
    <w:rPr>
      <w:rFonts w:ascii="Times New Roman" w:hAnsi="Times New Roman" w:eastAsia="宋体" w:cstheme="minorBidi"/>
      <w:kern w:val="2"/>
      <w:sz w:val="28"/>
      <w:szCs w:val="22"/>
      <w:lang w:val="en-US" w:eastAsia="zh-CN" w:bidi="ar-SA"/>
    </w:rPr>
  </w:style>
  <w:style w:type="paragraph" w:styleId="2">
    <w:name w:val="heading 1"/>
    <w:basedOn w:val="1"/>
    <w:next w:val="1"/>
    <w:link w:val="37"/>
    <w:qFormat/>
    <w:uiPriority w:val="9"/>
    <w:pPr>
      <w:keepNext/>
      <w:keepLines/>
      <w:numPr>
        <w:ilvl w:val="0"/>
        <w:numId w:val="1"/>
      </w:numPr>
      <w:spacing w:before="340" w:after="340" w:line="578" w:lineRule="auto"/>
      <w:ind w:firstLineChars="0"/>
      <w:outlineLvl w:val="0"/>
    </w:pPr>
    <w:rPr>
      <w:rFonts w:eastAsia="微软雅黑"/>
      <w:b/>
      <w:bCs/>
      <w:kern w:val="44"/>
      <w:sz w:val="32"/>
      <w:szCs w:val="44"/>
    </w:rPr>
  </w:style>
  <w:style w:type="paragraph" w:styleId="3">
    <w:name w:val="heading 2"/>
    <w:basedOn w:val="1"/>
    <w:next w:val="1"/>
    <w:link w:val="43"/>
    <w:unhideWhenUsed/>
    <w:qFormat/>
    <w:uiPriority w:val="9"/>
    <w:pPr>
      <w:keepNext/>
      <w:keepLines/>
      <w:numPr>
        <w:ilvl w:val="1"/>
        <w:numId w:val="1"/>
      </w:numPr>
      <w:spacing w:before="120" w:after="120" w:line="415" w:lineRule="auto"/>
      <w:ind w:firstLine="0" w:firstLineChars="0"/>
      <w:outlineLvl w:val="1"/>
    </w:pPr>
    <w:rPr>
      <w:rFonts w:eastAsia="黑体" w:asciiTheme="majorHAnsi" w:hAnsiTheme="majorHAnsi" w:cstheme="majorBidi"/>
      <w:b/>
      <w:bCs/>
      <w:sz w:val="30"/>
      <w:szCs w:val="32"/>
    </w:rPr>
  </w:style>
  <w:style w:type="paragraph" w:styleId="4">
    <w:name w:val="heading 3"/>
    <w:basedOn w:val="1"/>
    <w:next w:val="1"/>
    <w:link w:val="44"/>
    <w:unhideWhenUsed/>
    <w:qFormat/>
    <w:uiPriority w:val="9"/>
    <w:pPr>
      <w:keepNext/>
      <w:keepLines/>
      <w:numPr>
        <w:ilvl w:val="2"/>
        <w:numId w:val="2"/>
      </w:numPr>
      <w:spacing w:line="415" w:lineRule="auto"/>
      <w:ind w:left="0" w:firstLine="0" w:firstLineChars="0"/>
      <w:outlineLvl w:val="2"/>
    </w:pPr>
    <w:rPr>
      <w:b/>
      <w:bCs/>
      <w:szCs w:val="32"/>
    </w:rPr>
  </w:style>
  <w:style w:type="paragraph" w:styleId="5">
    <w:name w:val="heading 4"/>
    <w:basedOn w:val="1"/>
    <w:next w:val="1"/>
    <w:link w:val="45"/>
    <w:unhideWhenUsed/>
    <w:qFormat/>
    <w:uiPriority w:val="9"/>
    <w:pPr>
      <w:keepNext/>
      <w:keepLines/>
      <w:numPr>
        <w:ilvl w:val="3"/>
        <w:numId w:val="2"/>
      </w:numPr>
      <w:ind w:left="0" w:firstLine="0" w:firstLineChars="0"/>
      <w:outlineLvl w:val="3"/>
    </w:pPr>
    <w:rPr>
      <w:rFonts w:asciiTheme="majorHAnsi" w:hAnsiTheme="majorHAnsi" w:eastAsiaTheme="majorEastAsia" w:cstheme="majorBidi"/>
      <w:b/>
      <w:bCs/>
      <w:szCs w:val="28"/>
    </w:rPr>
  </w:style>
  <w:style w:type="paragraph" w:styleId="6">
    <w:name w:val="heading 5"/>
    <w:basedOn w:val="1"/>
    <w:next w:val="1"/>
    <w:link w:val="86"/>
    <w:unhideWhenUsed/>
    <w:qFormat/>
    <w:uiPriority w:val="9"/>
    <w:pPr>
      <w:keepNext/>
      <w:keepLines/>
      <w:autoSpaceDE w:val="0"/>
      <w:autoSpaceDN w:val="0"/>
      <w:adjustRightInd w:val="0"/>
      <w:spacing w:before="280" w:after="290" w:line="372" w:lineRule="auto"/>
      <w:ind w:left="1008" w:hanging="1008" w:firstLineChars="0"/>
      <w:jc w:val="left"/>
      <w:outlineLvl w:val="4"/>
    </w:pPr>
    <w:rPr>
      <w:rFonts w:asciiTheme="minorHAnsi" w:hAnsiTheme="minorHAnsi" w:eastAsiaTheme="minorEastAsia"/>
      <w:b/>
      <w:kern w:val="0"/>
      <w:szCs w:val="20"/>
    </w:rPr>
  </w:style>
  <w:style w:type="paragraph" w:styleId="7">
    <w:name w:val="heading 6"/>
    <w:basedOn w:val="1"/>
    <w:next w:val="1"/>
    <w:link w:val="87"/>
    <w:unhideWhenUsed/>
    <w:qFormat/>
    <w:uiPriority w:val="9"/>
    <w:pPr>
      <w:keepNext/>
      <w:keepLines/>
      <w:autoSpaceDE w:val="0"/>
      <w:autoSpaceDN w:val="0"/>
      <w:adjustRightInd w:val="0"/>
      <w:spacing w:before="240" w:after="64" w:line="317" w:lineRule="auto"/>
      <w:ind w:left="1151" w:hanging="1151" w:firstLineChars="0"/>
      <w:jc w:val="left"/>
      <w:outlineLvl w:val="5"/>
    </w:pPr>
    <w:rPr>
      <w:rFonts w:ascii="Arial" w:hAnsi="Arial" w:eastAsia="黑体"/>
      <w:b/>
      <w:kern w:val="0"/>
      <w:sz w:val="24"/>
      <w:szCs w:val="20"/>
    </w:rPr>
  </w:style>
  <w:style w:type="paragraph" w:styleId="8">
    <w:name w:val="heading 7"/>
    <w:basedOn w:val="1"/>
    <w:next w:val="1"/>
    <w:link w:val="88"/>
    <w:semiHidden/>
    <w:unhideWhenUsed/>
    <w:qFormat/>
    <w:uiPriority w:val="0"/>
    <w:pPr>
      <w:keepNext/>
      <w:keepLines/>
      <w:autoSpaceDE w:val="0"/>
      <w:autoSpaceDN w:val="0"/>
      <w:adjustRightInd w:val="0"/>
      <w:spacing w:before="240" w:after="64" w:line="317" w:lineRule="auto"/>
      <w:ind w:left="1296" w:hanging="1296" w:firstLineChars="0"/>
      <w:jc w:val="left"/>
      <w:outlineLvl w:val="6"/>
    </w:pPr>
    <w:rPr>
      <w:rFonts w:asciiTheme="minorHAnsi" w:hAnsiTheme="minorHAnsi" w:eastAsiaTheme="minorEastAsia"/>
      <w:b/>
      <w:kern w:val="0"/>
      <w:sz w:val="24"/>
      <w:szCs w:val="20"/>
    </w:rPr>
  </w:style>
  <w:style w:type="paragraph" w:styleId="9">
    <w:name w:val="heading 8"/>
    <w:basedOn w:val="1"/>
    <w:next w:val="1"/>
    <w:link w:val="89"/>
    <w:semiHidden/>
    <w:unhideWhenUsed/>
    <w:qFormat/>
    <w:uiPriority w:val="0"/>
    <w:pPr>
      <w:keepNext/>
      <w:keepLines/>
      <w:autoSpaceDE w:val="0"/>
      <w:autoSpaceDN w:val="0"/>
      <w:adjustRightInd w:val="0"/>
      <w:spacing w:before="240" w:after="64" w:line="317" w:lineRule="auto"/>
      <w:ind w:left="1440" w:hanging="1440" w:firstLineChars="0"/>
      <w:jc w:val="left"/>
      <w:outlineLvl w:val="7"/>
    </w:pPr>
    <w:rPr>
      <w:rFonts w:ascii="Arial" w:hAnsi="Arial" w:eastAsia="黑体"/>
      <w:kern w:val="0"/>
      <w:sz w:val="24"/>
      <w:szCs w:val="20"/>
    </w:rPr>
  </w:style>
  <w:style w:type="paragraph" w:styleId="10">
    <w:name w:val="heading 9"/>
    <w:basedOn w:val="1"/>
    <w:next w:val="1"/>
    <w:link w:val="90"/>
    <w:semiHidden/>
    <w:unhideWhenUsed/>
    <w:qFormat/>
    <w:uiPriority w:val="0"/>
    <w:pPr>
      <w:keepNext/>
      <w:keepLines/>
      <w:autoSpaceDE w:val="0"/>
      <w:autoSpaceDN w:val="0"/>
      <w:adjustRightInd w:val="0"/>
      <w:spacing w:before="240" w:after="64" w:line="317" w:lineRule="auto"/>
      <w:ind w:left="1583" w:hanging="1583" w:firstLineChars="0"/>
      <w:jc w:val="left"/>
      <w:outlineLvl w:val="8"/>
    </w:pPr>
    <w:rPr>
      <w:rFonts w:ascii="Arial" w:hAnsi="Arial" w:eastAsia="黑体"/>
      <w:kern w:val="0"/>
      <w:sz w:val="21"/>
      <w:szCs w:val="20"/>
    </w:rPr>
  </w:style>
  <w:style w:type="character" w:default="1" w:styleId="34">
    <w:name w:val="Default Paragraph Font"/>
    <w:semiHidden/>
    <w:unhideWhenUsed/>
    <w:qFormat/>
    <w:uiPriority w:val="1"/>
  </w:style>
  <w:style w:type="table" w:default="1" w:styleId="32">
    <w:name w:val="Normal Table"/>
    <w:semiHidden/>
    <w:unhideWhenUsed/>
    <w:qFormat/>
    <w:uiPriority w:val="99"/>
    <w:tblPr>
      <w:tblCellMar>
        <w:top w:w="0" w:type="dxa"/>
        <w:left w:w="108" w:type="dxa"/>
        <w:bottom w:w="0" w:type="dxa"/>
        <w:right w:w="108" w:type="dxa"/>
      </w:tblCellMar>
    </w:tblPr>
  </w:style>
  <w:style w:type="paragraph" w:styleId="11">
    <w:name w:val="toc 7"/>
    <w:basedOn w:val="1"/>
    <w:next w:val="1"/>
    <w:unhideWhenUsed/>
    <w:qFormat/>
    <w:uiPriority w:val="39"/>
    <w:pPr>
      <w:ind w:left="2520" w:leftChars="1200"/>
    </w:pPr>
    <w:rPr>
      <w:rFonts w:asciiTheme="minorHAnsi" w:hAnsiTheme="minorHAnsi" w:eastAsiaTheme="minorEastAsia"/>
    </w:rPr>
  </w:style>
  <w:style w:type="paragraph" w:styleId="12">
    <w:name w:val="E-mail Signature"/>
    <w:basedOn w:val="1"/>
    <w:link w:val="81"/>
    <w:semiHidden/>
    <w:qFormat/>
    <w:uiPriority w:val="0"/>
    <w:rPr>
      <w:sz w:val="21"/>
    </w:rPr>
  </w:style>
  <w:style w:type="paragraph" w:styleId="13">
    <w:name w:val="Normal Indent"/>
    <w:basedOn w:val="1"/>
    <w:unhideWhenUsed/>
    <w:qFormat/>
    <w:uiPriority w:val="0"/>
    <w:pPr>
      <w:ind w:firstLine="420"/>
    </w:pPr>
    <w:rPr>
      <w:szCs w:val="28"/>
    </w:rPr>
  </w:style>
  <w:style w:type="paragraph" w:styleId="14">
    <w:name w:val="caption"/>
    <w:basedOn w:val="1"/>
    <w:next w:val="1"/>
    <w:semiHidden/>
    <w:unhideWhenUsed/>
    <w:qFormat/>
    <w:uiPriority w:val="35"/>
    <w:rPr>
      <w:rFonts w:eastAsia="黑体" w:asciiTheme="majorHAnsi" w:hAnsiTheme="majorHAnsi" w:cstheme="majorBidi"/>
      <w:sz w:val="20"/>
      <w:szCs w:val="20"/>
    </w:rPr>
  </w:style>
  <w:style w:type="paragraph" w:styleId="15">
    <w:name w:val="Body Text"/>
    <w:basedOn w:val="1"/>
    <w:link w:val="61"/>
    <w:unhideWhenUsed/>
    <w:qFormat/>
    <w:uiPriority w:val="99"/>
    <w:pPr>
      <w:spacing w:after="120"/>
    </w:pPr>
  </w:style>
  <w:style w:type="paragraph" w:styleId="16">
    <w:name w:val="Body Text Indent"/>
    <w:basedOn w:val="1"/>
    <w:link w:val="84"/>
    <w:semiHidden/>
    <w:unhideWhenUsed/>
    <w:qFormat/>
    <w:uiPriority w:val="99"/>
    <w:pPr>
      <w:spacing w:after="120"/>
      <w:ind w:left="420" w:leftChars="200"/>
    </w:pPr>
  </w:style>
  <w:style w:type="paragraph" w:styleId="17">
    <w:name w:val="toc 5"/>
    <w:basedOn w:val="1"/>
    <w:next w:val="1"/>
    <w:unhideWhenUsed/>
    <w:qFormat/>
    <w:uiPriority w:val="39"/>
    <w:pPr>
      <w:ind w:left="1680" w:leftChars="800"/>
    </w:pPr>
    <w:rPr>
      <w:rFonts w:asciiTheme="minorHAnsi" w:hAnsiTheme="minorHAnsi" w:eastAsiaTheme="minorEastAsia"/>
    </w:rPr>
  </w:style>
  <w:style w:type="paragraph" w:styleId="18">
    <w:name w:val="toc 3"/>
    <w:basedOn w:val="1"/>
    <w:next w:val="1"/>
    <w:unhideWhenUsed/>
    <w:qFormat/>
    <w:uiPriority w:val="39"/>
    <w:pPr>
      <w:tabs>
        <w:tab w:val="right" w:leader="dot" w:pos="8296"/>
      </w:tabs>
      <w:ind w:left="840" w:leftChars="400"/>
    </w:pPr>
    <w:rPr>
      <w:rFonts w:ascii="楷体" w:hAnsi="楷体" w:eastAsia="仿宋"/>
      <w:sz w:val="24"/>
    </w:rPr>
  </w:style>
  <w:style w:type="paragraph" w:styleId="19">
    <w:name w:val="Plain Text"/>
    <w:basedOn w:val="1"/>
    <w:link w:val="46"/>
    <w:unhideWhenUsed/>
    <w:qFormat/>
    <w:uiPriority w:val="99"/>
    <w:rPr>
      <w:rFonts w:ascii="宋体" w:hAnsi="Courier New"/>
      <w:szCs w:val="20"/>
    </w:rPr>
  </w:style>
  <w:style w:type="paragraph" w:styleId="20">
    <w:name w:val="toc 8"/>
    <w:basedOn w:val="1"/>
    <w:next w:val="1"/>
    <w:unhideWhenUsed/>
    <w:qFormat/>
    <w:uiPriority w:val="39"/>
    <w:pPr>
      <w:ind w:left="2940" w:leftChars="1400"/>
    </w:pPr>
    <w:rPr>
      <w:rFonts w:asciiTheme="minorHAnsi" w:hAnsiTheme="minorHAnsi" w:eastAsiaTheme="minorEastAsia"/>
    </w:rPr>
  </w:style>
  <w:style w:type="paragraph" w:styleId="21">
    <w:name w:val="Balloon Text"/>
    <w:basedOn w:val="1"/>
    <w:link w:val="42"/>
    <w:semiHidden/>
    <w:unhideWhenUsed/>
    <w:qFormat/>
    <w:uiPriority w:val="99"/>
    <w:rPr>
      <w:sz w:val="18"/>
      <w:szCs w:val="18"/>
    </w:rPr>
  </w:style>
  <w:style w:type="paragraph" w:styleId="22">
    <w:name w:val="footer"/>
    <w:basedOn w:val="1"/>
    <w:link w:val="39"/>
    <w:unhideWhenUsed/>
    <w:qFormat/>
    <w:uiPriority w:val="99"/>
    <w:pPr>
      <w:tabs>
        <w:tab w:val="center" w:pos="4153"/>
        <w:tab w:val="right" w:pos="8306"/>
      </w:tabs>
      <w:snapToGrid w:val="0"/>
      <w:jc w:val="left"/>
    </w:pPr>
    <w:rPr>
      <w:rFonts w:asciiTheme="minorHAnsi" w:hAnsiTheme="minorHAnsi" w:eastAsiaTheme="minorEastAsia"/>
      <w:sz w:val="18"/>
      <w:szCs w:val="18"/>
    </w:rPr>
  </w:style>
  <w:style w:type="paragraph" w:styleId="23">
    <w:name w:val="header"/>
    <w:basedOn w:val="1"/>
    <w:link w:val="38"/>
    <w:unhideWhenUsed/>
    <w:qFormat/>
    <w:uiPriority w:val="0"/>
    <w:pPr>
      <w:pBdr>
        <w:bottom w:val="single" w:color="auto" w:sz="6" w:space="1"/>
      </w:pBdr>
      <w:tabs>
        <w:tab w:val="center" w:pos="4153"/>
        <w:tab w:val="right" w:pos="8306"/>
      </w:tabs>
      <w:snapToGrid w:val="0"/>
      <w:jc w:val="center"/>
    </w:pPr>
    <w:rPr>
      <w:rFonts w:asciiTheme="minorHAnsi" w:hAnsiTheme="minorHAnsi" w:eastAsiaTheme="minorEastAsia"/>
      <w:sz w:val="18"/>
      <w:szCs w:val="18"/>
    </w:rPr>
  </w:style>
  <w:style w:type="paragraph" w:styleId="24">
    <w:name w:val="toc 1"/>
    <w:basedOn w:val="1"/>
    <w:next w:val="1"/>
    <w:unhideWhenUsed/>
    <w:qFormat/>
    <w:uiPriority w:val="39"/>
    <w:pPr>
      <w:tabs>
        <w:tab w:val="right" w:leader="dot" w:pos="8296"/>
      </w:tabs>
    </w:pPr>
    <w:rPr>
      <w:rFonts w:asciiTheme="minorEastAsia" w:hAnsiTheme="minorEastAsia"/>
      <w:b/>
    </w:rPr>
  </w:style>
  <w:style w:type="paragraph" w:styleId="25">
    <w:name w:val="toc 4"/>
    <w:basedOn w:val="1"/>
    <w:next w:val="1"/>
    <w:unhideWhenUsed/>
    <w:qFormat/>
    <w:uiPriority w:val="39"/>
    <w:pPr>
      <w:ind w:left="1260" w:leftChars="600"/>
    </w:pPr>
    <w:rPr>
      <w:rFonts w:eastAsia="仿宋" w:asciiTheme="minorHAnsi" w:hAnsiTheme="minorHAnsi"/>
      <w:sz w:val="24"/>
    </w:rPr>
  </w:style>
  <w:style w:type="paragraph" w:styleId="26">
    <w:name w:val="toc 6"/>
    <w:basedOn w:val="1"/>
    <w:next w:val="1"/>
    <w:unhideWhenUsed/>
    <w:qFormat/>
    <w:uiPriority w:val="39"/>
    <w:pPr>
      <w:ind w:left="2100" w:leftChars="1000"/>
    </w:pPr>
    <w:rPr>
      <w:rFonts w:asciiTheme="minorHAnsi" w:hAnsiTheme="minorHAnsi" w:eastAsiaTheme="minorEastAsia"/>
    </w:rPr>
  </w:style>
  <w:style w:type="paragraph" w:styleId="27">
    <w:name w:val="toc 2"/>
    <w:basedOn w:val="1"/>
    <w:next w:val="1"/>
    <w:unhideWhenUsed/>
    <w:qFormat/>
    <w:uiPriority w:val="39"/>
    <w:pPr>
      <w:tabs>
        <w:tab w:val="right" w:leader="dot" w:pos="8296"/>
      </w:tabs>
      <w:ind w:left="420" w:leftChars="200"/>
    </w:pPr>
    <w:rPr>
      <w:rFonts w:asciiTheme="minorEastAsia" w:hAnsiTheme="minorEastAsia"/>
      <w:sz w:val="24"/>
    </w:rPr>
  </w:style>
  <w:style w:type="paragraph" w:styleId="28">
    <w:name w:val="toc 9"/>
    <w:basedOn w:val="1"/>
    <w:next w:val="1"/>
    <w:unhideWhenUsed/>
    <w:qFormat/>
    <w:uiPriority w:val="39"/>
    <w:pPr>
      <w:ind w:left="3360" w:leftChars="1600"/>
    </w:pPr>
    <w:rPr>
      <w:rFonts w:asciiTheme="minorHAnsi" w:hAnsiTheme="minorHAnsi" w:eastAsiaTheme="minorEastAsia"/>
    </w:rPr>
  </w:style>
  <w:style w:type="paragraph" w:styleId="29">
    <w:name w:val="HTML Preformatted"/>
    <w:basedOn w:val="1"/>
    <w:link w:val="97"/>
    <w:semiHidden/>
    <w:unhideWhenUsed/>
    <w:qFormat/>
    <w:uiPriority w:val="99"/>
    <w:pPr>
      <w:widowControl/>
      <w:spacing w:line="240" w:lineRule="auto"/>
      <w:ind w:firstLine="0" w:firstLineChars="0"/>
      <w:jc w:val="left"/>
    </w:pPr>
    <w:rPr>
      <w:rFonts w:ascii="宋体" w:hAnsi="宋体" w:cs="宋体"/>
      <w:kern w:val="0"/>
      <w:sz w:val="24"/>
      <w:szCs w:val="24"/>
    </w:rPr>
  </w:style>
  <w:style w:type="paragraph" w:styleId="30">
    <w:name w:val="Normal (Web)"/>
    <w:basedOn w:val="1"/>
    <w:unhideWhenUsed/>
    <w:qFormat/>
    <w:uiPriority w:val="99"/>
    <w:pPr>
      <w:spacing w:beforeAutospacing="1" w:afterAutospacing="1"/>
      <w:jc w:val="left"/>
    </w:pPr>
    <w:rPr>
      <w:kern w:val="0"/>
      <w:sz w:val="24"/>
    </w:rPr>
  </w:style>
  <w:style w:type="paragraph" w:styleId="31">
    <w:name w:val="Body Text First Indent 2"/>
    <w:basedOn w:val="16"/>
    <w:link w:val="85"/>
    <w:unhideWhenUsed/>
    <w:qFormat/>
    <w:uiPriority w:val="99"/>
    <w:pPr>
      <w:ind w:firstLine="420"/>
    </w:pPr>
  </w:style>
  <w:style w:type="table" w:styleId="33">
    <w:name w:val="Table Grid"/>
    <w:basedOn w:val="32"/>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5">
    <w:name w:val="Strong"/>
    <w:basedOn w:val="34"/>
    <w:qFormat/>
    <w:uiPriority w:val="0"/>
    <w:rPr>
      <w:b/>
    </w:rPr>
  </w:style>
  <w:style w:type="character" w:styleId="36">
    <w:name w:val="Hyperlink"/>
    <w:basedOn w:val="34"/>
    <w:unhideWhenUsed/>
    <w:qFormat/>
    <w:uiPriority w:val="99"/>
    <w:rPr>
      <w:color w:val="0000FF" w:themeColor="hyperlink"/>
      <w:u w:val="single"/>
      <w14:textFill>
        <w14:solidFill>
          <w14:schemeClr w14:val="hlink"/>
        </w14:solidFill>
      </w14:textFill>
    </w:rPr>
  </w:style>
  <w:style w:type="character" w:customStyle="1" w:styleId="37">
    <w:name w:val="标题 1 Char"/>
    <w:basedOn w:val="34"/>
    <w:link w:val="2"/>
    <w:qFormat/>
    <w:uiPriority w:val="9"/>
    <w:rPr>
      <w:rFonts w:eastAsia="微软雅黑" w:asciiTheme="minorHAnsi" w:hAnsiTheme="minorHAnsi" w:cstheme="minorBidi"/>
      <w:b/>
      <w:bCs/>
      <w:kern w:val="44"/>
      <w:sz w:val="32"/>
      <w:szCs w:val="44"/>
    </w:rPr>
  </w:style>
  <w:style w:type="character" w:customStyle="1" w:styleId="38">
    <w:name w:val="页眉 Char"/>
    <w:basedOn w:val="34"/>
    <w:link w:val="23"/>
    <w:qFormat/>
    <w:uiPriority w:val="0"/>
    <w:rPr>
      <w:sz w:val="18"/>
      <w:szCs w:val="18"/>
    </w:rPr>
  </w:style>
  <w:style w:type="character" w:customStyle="1" w:styleId="39">
    <w:name w:val="页脚 Char"/>
    <w:basedOn w:val="34"/>
    <w:link w:val="22"/>
    <w:qFormat/>
    <w:uiPriority w:val="99"/>
    <w:rPr>
      <w:sz w:val="18"/>
      <w:szCs w:val="18"/>
    </w:rPr>
  </w:style>
  <w:style w:type="paragraph" w:customStyle="1" w:styleId="40">
    <w:name w:val="扉页"/>
    <w:basedOn w:val="1"/>
    <w:link w:val="41"/>
    <w:qFormat/>
    <w:uiPriority w:val="0"/>
    <w:pPr>
      <w:spacing w:line="480" w:lineRule="auto"/>
    </w:pPr>
    <w:rPr>
      <w:rFonts w:eastAsia="仿宋_GB2312"/>
      <w:sz w:val="36"/>
    </w:rPr>
  </w:style>
  <w:style w:type="character" w:customStyle="1" w:styleId="41">
    <w:name w:val="扉页 Char"/>
    <w:link w:val="40"/>
    <w:qFormat/>
    <w:uiPriority w:val="0"/>
    <w:rPr>
      <w:rFonts w:ascii="Times New Roman" w:hAnsi="Times New Roman" w:eastAsia="仿宋_GB2312" w:cs="Times New Roman"/>
      <w:sz w:val="36"/>
    </w:rPr>
  </w:style>
  <w:style w:type="character" w:customStyle="1" w:styleId="42">
    <w:name w:val="批注框文本 Char"/>
    <w:basedOn w:val="34"/>
    <w:link w:val="21"/>
    <w:semiHidden/>
    <w:qFormat/>
    <w:uiPriority w:val="99"/>
    <w:rPr>
      <w:rFonts w:ascii="Times New Roman" w:hAnsi="Times New Roman" w:eastAsia="宋体" w:cs="Times New Roman"/>
      <w:sz w:val="18"/>
      <w:szCs w:val="18"/>
    </w:rPr>
  </w:style>
  <w:style w:type="character" w:customStyle="1" w:styleId="43">
    <w:name w:val="标题 2 Char"/>
    <w:basedOn w:val="34"/>
    <w:link w:val="3"/>
    <w:qFormat/>
    <w:uiPriority w:val="9"/>
    <w:rPr>
      <w:rFonts w:eastAsia="黑体" w:asciiTheme="majorHAnsi" w:hAnsiTheme="majorHAnsi" w:cstheme="majorBidi"/>
      <w:b/>
      <w:bCs/>
      <w:kern w:val="2"/>
      <w:sz w:val="30"/>
      <w:szCs w:val="32"/>
    </w:rPr>
  </w:style>
  <w:style w:type="character" w:customStyle="1" w:styleId="44">
    <w:name w:val="标题 3 Char"/>
    <w:basedOn w:val="34"/>
    <w:link w:val="4"/>
    <w:qFormat/>
    <w:uiPriority w:val="0"/>
    <w:rPr>
      <w:rFonts w:asciiTheme="minorHAnsi" w:hAnsiTheme="minorHAnsi" w:eastAsiaTheme="minorEastAsia" w:cstheme="minorBidi"/>
      <w:b/>
      <w:bCs/>
      <w:kern w:val="2"/>
      <w:sz w:val="28"/>
      <w:szCs w:val="32"/>
    </w:rPr>
  </w:style>
  <w:style w:type="character" w:customStyle="1" w:styleId="45">
    <w:name w:val="标题 4 Char"/>
    <w:basedOn w:val="34"/>
    <w:link w:val="5"/>
    <w:qFormat/>
    <w:uiPriority w:val="9"/>
    <w:rPr>
      <w:rFonts w:asciiTheme="majorHAnsi" w:hAnsiTheme="majorHAnsi" w:eastAsiaTheme="majorEastAsia" w:cstheme="majorBidi"/>
      <w:b/>
      <w:bCs/>
      <w:kern w:val="2"/>
      <w:sz w:val="28"/>
      <w:szCs w:val="28"/>
    </w:rPr>
  </w:style>
  <w:style w:type="character" w:customStyle="1" w:styleId="46">
    <w:name w:val="纯文本 Char"/>
    <w:basedOn w:val="34"/>
    <w:link w:val="19"/>
    <w:qFormat/>
    <w:uiPriority w:val="99"/>
    <w:rPr>
      <w:rFonts w:ascii="宋体" w:hAnsi="Courier New" w:eastAsia="宋体" w:cs="Times New Roman"/>
      <w:szCs w:val="20"/>
    </w:rPr>
  </w:style>
  <w:style w:type="character" w:styleId="47">
    <w:name w:val="Placeholder Text"/>
    <w:basedOn w:val="34"/>
    <w:semiHidden/>
    <w:qFormat/>
    <w:uiPriority w:val="99"/>
    <w:rPr>
      <w:color w:val="808080"/>
    </w:rPr>
  </w:style>
  <w:style w:type="character" w:customStyle="1" w:styleId="48">
    <w:name w:val="样式 四号 左 Char"/>
    <w:link w:val="49"/>
    <w:qFormat/>
    <w:uiPriority w:val="0"/>
    <w:rPr>
      <w:rFonts w:cs="宋体"/>
      <w:sz w:val="28"/>
    </w:rPr>
  </w:style>
  <w:style w:type="paragraph" w:customStyle="1" w:styleId="49">
    <w:name w:val="样式 四号 左"/>
    <w:basedOn w:val="1"/>
    <w:link w:val="48"/>
    <w:qFormat/>
    <w:uiPriority w:val="0"/>
    <w:pPr>
      <w:jc w:val="left"/>
    </w:pPr>
    <w:rPr>
      <w:rFonts w:cs="宋体" w:asciiTheme="minorHAnsi" w:hAnsiTheme="minorHAnsi" w:eastAsiaTheme="minorEastAsia"/>
    </w:rPr>
  </w:style>
  <w:style w:type="paragraph" w:customStyle="1" w:styleId="50">
    <w:name w:val="表格1"/>
    <w:basedOn w:val="49"/>
    <w:link w:val="51"/>
    <w:qFormat/>
    <w:uiPriority w:val="0"/>
    <w:pPr>
      <w:ind w:firstLine="0" w:firstLineChars="0"/>
      <w:jc w:val="center"/>
    </w:pPr>
    <w:rPr>
      <w:rFonts w:ascii="楷体" w:hAnsi="楷体" w:eastAsia="楷体"/>
      <w:color w:val="FF0000"/>
      <w:sz w:val="21"/>
      <w:szCs w:val="21"/>
    </w:rPr>
  </w:style>
  <w:style w:type="character" w:customStyle="1" w:styleId="51">
    <w:name w:val="表格1 Char"/>
    <w:link w:val="50"/>
    <w:qFormat/>
    <w:uiPriority w:val="0"/>
    <w:rPr>
      <w:rFonts w:ascii="楷体" w:hAnsi="楷体" w:eastAsia="楷体" w:cs="宋体"/>
      <w:color w:val="FF0000"/>
      <w:szCs w:val="21"/>
    </w:rPr>
  </w:style>
  <w:style w:type="paragraph" w:styleId="52">
    <w:name w:val="List Paragraph"/>
    <w:basedOn w:val="1"/>
    <w:qFormat/>
    <w:uiPriority w:val="34"/>
    <w:pPr>
      <w:ind w:firstLine="420"/>
    </w:pPr>
  </w:style>
  <w:style w:type="paragraph" w:customStyle="1" w:styleId="53">
    <w:name w:val="样式 样式 小四 段前: 7.8 磅 段后: 7.8 磅 行距: 1.5 倍行距 + 首行缩进:  2 字符"/>
    <w:basedOn w:val="1"/>
    <w:qFormat/>
    <w:uiPriority w:val="0"/>
    <w:pPr>
      <w:ind w:firstLine="480"/>
    </w:pPr>
    <w:rPr>
      <w:sz w:val="24"/>
    </w:rPr>
  </w:style>
  <w:style w:type="paragraph" w:customStyle="1" w:styleId="54">
    <w:name w:val="表标题"/>
    <w:basedOn w:val="1"/>
    <w:next w:val="1"/>
    <w:qFormat/>
    <w:uiPriority w:val="0"/>
    <w:pPr>
      <w:adjustRightInd w:val="0"/>
      <w:snapToGrid w:val="0"/>
      <w:spacing w:beforeLines="50" w:afterLines="50"/>
      <w:jc w:val="center"/>
      <w:textAlignment w:val="baseline"/>
    </w:pPr>
    <w:rPr>
      <w:rFonts w:ascii="黑体" w:hAnsi="宋体" w:eastAsia="黑体" w:cs="宋体"/>
      <w:b/>
      <w:bCs/>
      <w:kern w:val="0"/>
      <w:sz w:val="24"/>
    </w:rPr>
  </w:style>
  <w:style w:type="paragraph" w:customStyle="1" w:styleId="55">
    <w:name w:val="ljw表头"/>
    <w:basedOn w:val="1"/>
    <w:qFormat/>
    <w:uiPriority w:val="0"/>
    <w:pPr>
      <w:adjustRightInd w:val="0"/>
      <w:snapToGrid w:val="0"/>
      <w:jc w:val="center"/>
    </w:pPr>
    <w:rPr>
      <w:b/>
      <w:bCs/>
      <w:sz w:val="24"/>
    </w:rPr>
  </w:style>
  <w:style w:type="paragraph" w:customStyle="1" w:styleId="56">
    <w:name w:val="ljw正文"/>
    <w:basedOn w:val="1"/>
    <w:qFormat/>
    <w:uiPriority w:val="0"/>
    <w:pPr>
      <w:ind w:firstLine="480"/>
    </w:pPr>
    <w:rPr>
      <w:rFonts w:cs="宋体"/>
      <w:sz w:val="24"/>
    </w:rPr>
  </w:style>
  <w:style w:type="paragraph" w:customStyle="1" w:styleId="57">
    <w:name w:val="表文字"/>
    <w:basedOn w:val="1"/>
    <w:qFormat/>
    <w:uiPriority w:val="0"/>
    <w:pPr>
      <w:adjustRightInd w:val="0"/>
      <w:jc w:val="center"/>
    </w:pPr>
    <w:rPr>
      <w:rFonts w:cs="宋体"/>
      <w:kern w:val="0"/>
      <w:szCs w:val="21"/>
    </w:rPr>
  </w:style>
  <w:style w:type="paragraph" w:customStyle="1" w:styleId="58">
    <w:name w:val="表格（标题）"/>
    <w:basedOn w:val="1"/>
    <w:qFormat/>
    <w:uiPriority w:val="0"/>
    <w:pPr>
      <w:spacing w:line="240" w:lineRule="exact"/>
      <w:jc w:val="center"/>
    </w:pPr>
    <w:rPr>
      <w:rFonts w:ascii="宋体" w:hAnsi="宋体" w:cs="宋体"/>
      <w:b/>
      <w:bCs/>
      <w:szCs w:val="21"/>
    </w:rPr>
  </w:style>
  <w:style w:type="character" w:customStyle="1" w:styleId="59">
    <w:name w:val="apple-converted-space"/>
    <w:basedOn w:val="34"/>
    <w:qFormat/>
    <w:uiPriority w:val="0"/>
  </w:style>
  <w:style w:type="paragraph" w:customStyle="1" w:styleId="60">
    <w:name w:val="正文首行缩进1"/>
    <w:basedOn w:val="15"/>
    <w:qFormat/>
    <w:uiPriority w:val="0"/>
    <w:pPr>
      <w:spacing w:before="100" w:beforeAutospacing="1"/>
      <w:ind w:firstLine="420" w:firstLineChars="100"/>
    </w:pPr>
    <w:rPr>
      <w:szCs w:val="21"/>
    </w:rPr>
  </w:style>
  <w:style w:type="character" w:customStyle="1" w:styleId="61">
    <w:name w:val="正文文本 Char"/>
    <w:basedOn w:val="34"/>
    <w:link w:val="15"/>
    <w:qFormat/>
    <w:uiPriority w:val="99"/>
    <w:rPr>
      <w:kern w:val="2"/>
      <w:sz w:val="21"/>
      <w:szCs w:val="24"/>
    </w:rPr>
  </w:style>
  <w:style w:type="paragraph" w:customStyle="1" w:styleId="62">
    <w:name w:val="正文1"/>
    <w:qFormat/>
    <w:uiPriority w:val="0"/>
    <w:pPr>
      <w:jc w:val="both"/>
    </w:pPr>
    <w:rPr>
      <w:rFonts w:ascii="Courier New" w:hAnsi="Courier New" w:eastAsia="宋体" w:cs="Courier New"/>
      <w:kern w:val="2"/>
      <w:sz w:val="21"/>
      <w:szCs w:val="21"/>
      <w:lang w:val="en-US" w:eastAsia="zh-CN" w:bidi="ar-SA"/>
    </w:rPr>
  </w:style>
  <w:style w:type="paragraph" w:customStyle="1" w:styleId="63">
    <w:name w:val="正文2"/>
    <w:qFormat/>
    <w:uiPriority w:val="0"/>
    <w:pPr>
      <w:jc w:val="both"/>
    </w:pPr>
    <w:rPr>
      <w:rFonts w:ascii="Times New Roman" w:hAnsi="Times New Roman" w:eastAsia="宋体" w:cs="Times New Roman"/>
      <w:kern w:val="2"/>
      <w:sz w:val="21"/>
      <w:szCs w:val="21"/>
      <w:lang w:val="en-US" w:eastAsia="zh-CN" w:bidi="ar-SA"/>
    </w:rPr>
  </w:style>
  <w:style w:type="paragraph" w:customStyle="1" w:styleId="64">
    <w:name w:val="普通(网站)1"/>
    <w:basedOn w:val="1"/>
    <w:qFormat/>
    <w:uiPriority w:val="0"/>
    <w:pPr>
      <w:widowControl/>
      <w:jc w:val="left"/>
    </w:pPr>
    <w:rPr>
      <w:rFonts w:ascii="宋体" w:hAnsi="宋体" w:cs="宋体"/>
      <w:kern w:val="0"/>
      <w:sz w:val="24"/>
    </w:rPr>
  </w:style>
  <w:style w:type="paragraph" w:customStyle="1" w:styleId="65">
    <w:name w:val="正文3"/>
    <w:qFormat/>
    <w:uiPriority w:val="0"/>
    <w:pPr>
      <w:jc w:val="both"/>
    </w:pPr>
    <w:rPr>
      <w:rFonts w:ascii="Times New Roman" w:hAnsi="Times New Roman" w:eastAsia="宋体" w:cs="Times New Roman"/>
      <w:kern w:val="2"/>
      <w:sz w:val="21"/>
      <w:szCs w:val="21"/>
      <w:lang w:val="en-US" w:eastAsia="zh-CN" w:bidi="ar-SA"/>
    </w:rPr>
  </w:style>
  <w:style w:type="paragraph" w:customStyle="1" w:styleId="66">
    <w:name w:val="正文4"/>
    <w:qFormat/>
    <w:uiPriority w:val="0"/>
    <w:pPr>
      <w:jc w:val="both"/>
    </w:pPr>
    <w:rPr>
      <w:rFonts w:ascii="Times New Roman" w:hAnsi="Times New Roman" w:eastAsia="宋体" w:cs="Times New Roman"/>
      <w:kern w:val="2"/>
      <w:sz w:val="21"/>
      <w:szCs w:val="21"/>
      <w:lang w:val="en-US" w:eastAsia="zh-CN" w:bidi="ar-SA"/>
    </w:rPr>
  </w:style>
  <w:style w:type="paragraph" w:customStyle="1" w:styleId="67">
    <w:name w:val="正文5"/>
    <w:qFormat/>
    <w:uiPriority w:val="0"/>
    <w:pPr>
      <w:jc w:val="both"/>
    </w:pPr>
    <w:rPr>
      <w:rFonts w:ascii="Times New Roman" w:hAnsi="Times New Roman" w:eastAsia="宋体" w:cs="Times New Roman"/>
      <w:kern w:val="2"/>
      <w:sz w:val="21"/>
      <w:szCs w:val="21"/>
      <w:lang w:val="en-US" w:eastAsia="zh-CN" w:bidi="ar-SA"/>
    </w:rPr>
  </w:style>
  <w:style w:type="character" w:customStyle="1" w:styleId="68">
    <w:name w:val="Unresolved Mention"/>
    <w:basedOn w:val="34"/>
    <w:semiHidden/>
    <w:unhideWhenUsed/>
    <w:qFormat/>
    <w:uiPriority w:val="99"/>
    <w:rPr>
      <w:color w:val="605E5C"/>
      <w:shd w:val="clear" w:color="auto" w:fill="E1DFDD"/>
    </w:rPr>
  </w:style>
  <w:style w:type="paragraph" w:customStyle="1" w:styleId="69">
    <w:name w:val="图表名称"/>
    <w:basedOn w:val="1"/>
    <w:qFormat/>
    <w:uiPriority w:val="0"/>
    <w:pPr>
      <w:jc w:val="center"/>
    </w:pPr>
    <w:rPr>
      <w:rFonts w:ascii="楷体" w:hAnsi="楷体" w:eastAsia="楷体"/>
      <w:szCs w:val="28"/>
    </w:rPr>
  </w:style>
  <w:style w:type="paragraph" w:customStyle="1" w:styleId="70">
    <w:name w:val="表格报告"/>
    <w:basedOn w:val="1"/>
    <w:qFormat/>
    <w:uiPriority w:val="0"/>
    <w:pPr>
      <w:spacing w:line="240" w:lineRule="auto"/>
      <w:ind w:firstLine="0" w:firstLineChars="0"/>
      <w:jc w:val="center"/>
    </w:pPr>
    <w:rPr>
      <w:rFonts w:eastAsia="仿宋"/>
      <w:sz w:val="24"/>
    </w:rPr>
  </w:style>
  <w:style w:type="paragraph" w:customStyle="1" w:styleId="71">
    <w:name w:val="报告表头"/>
    <w:basedOn w:val="1"/>
    <w:qFormat/>
    <w:uiPriority w:val="0"/>
    <w:pPr>
      <w:ind w:firstLine="0" w:firstLineChars="0"/>
      <w:jc w:val="center"/>
    </w:pPr>
    <w:rPr>
      <w:rFonts w:eastAsia="仿宋"/>
    </w:rPr>
  </w:style>
  <w:style w:type="paragraph" w:customStyle="1" w:styleId="72">
    <w:name w:val="表名"/>
    <w:basedOn w:val="13"/>
    <w:qFormat/>
    <w:uiPriority w:val="0"/>
    <w:pPr>
      <w:spacing w:line="240" w:lineRule="auto"/>
      <w:ind w:firstLine="0" w:firstLineChars="0"/>
      <w:jc w:val="center"/>
    </w:pPr>
    <w:rPr>
      <w:rFonts w:ascii="楷体" w:hAnsi="楷体" w:eastAsia="楷体"/>
    </w:rPr>
  </w:style>
  <w:style w:type="paragraph" w:customStyle="1" w:styleId="73">
    <w:name w:val="标题3"/>
    <w:basedOn w:val="1"/>
    <w:link w:val="74"/>
    <w:qFormat/>
    <w:uiPriority w:val="0"/>
    <w:pPr>
      <w:numPr>
        <w:ilvl w:val="2"/>
        <w:numId w:val="1"/>
      </w:numPr>
      <w:spacing w:line="415" w:lineRule="auto"/>
      <w:ind w:firstLine="0" w:firstLineChars="0"/>
      <w:outlineLvl w:val="2"/>
    </w:pPr>
    <w:rPr>
      <w:b/>
      <w:szCs w:val="28"/>
    </w:rPr>
  </w:style>
  <w:style w:type="character" w:customStyle="1" w:styleId="74">
    <w:name w:val="标题3 Char"/>
    <w:basedOn w:val="34"/>
    <w:link w:val="73"/>
    <w:qFormat/>
    <w:uiPriority w:val="0"/>
    <w:rPr>
      <w:rFonts w:cstheme="minorBidi"/>
      <w:b/>
      <w:kern w:val="2"/>
      <w:sz w:val="28"/>
      <w:szCs w:val="28"/>
    </w:rPr>
  </w:style>
  <w:style w:type="paragraph" w:customStyle="1" w:styleId="75">
    <w:name w:val="标题4"/>
    <w:basedOn w:val="73"/>
    <w:link w:val="76"/>
    <w:qFormat/>
    <w:uiPriority w:val="0"/>
    <w:pPr>
      <w:numPr>
        <w:ilvl w:val="3"/>
      </w:numPr>
      <w:spacing w:line="240" w:lineRule="auto"/>
      <w:ind w:firstLine="0"/>
    </w:pPr>
  </w:style>
  <w:style w:type="character" w:customStyle="1" w:styleId="76">
    <w:name w:val="标题4 Char"/>
    <w:basedOn w:val="74"/>
    <w:link w:val="75"/>
    <w:qFormat/>
    <w:uiPriority w:val="0"/>
    <w:rPr>
      <w:rFonts w:cstheme="minorBidi"/>
      <w:kern w:val="2"/>
      <w:sz w:val="28"/>
      <w:szCs w:val="28"/>
    </w:rPr>
  </w:style>
  <w:style w:type="paragraph" w:customStyle="1" w:styleId="77">
    <w:name w:val="标题5"/>
    <w:basedOn w:val="1"/>
    <w:link w:val="78"/>
    <w:qFormat/>
    <w:uiPriority w:val="0"/>
    <w:pPr>
      <w:numPr>
        <w:ilvl w:val="4"/>
        <w:numId w:val="1"/>
      </w:numPr>
      <w:ind w:firstLineChars="0"/>
      <w:jc w:val="center"/>
      <w:outlineLvl w:val="4"/>
    </w:pPr>
    <w:rPr>
      <w:rFonts w:ascii="仿宋" w:hAnsi="仿宋" w:eastAsia="仿宋"/>
    </w:rPr>
  </w:style>
  <w:style w:type="character" w:customStyle="1" w:styleId="78">
    <w:name w:val="标题5 Char"/>
    <w:basedOn w:val="34"/>
    <w:link w:val="77"/>
    <w:qFormat/>
    <w:uiPriority w:val="0"/>
    <w:rPr>
      <w:rFonts w:ascii="仿宋" w:hAnsi="仿宋" w:eastAsia="仿宋" w:cstheme="minorBidi"/>
      <w:kern w:val="2"/>
      <w:sz w:val="28"/>
      <w:szCs w:val="22"/>
    </w:rPr>
  </w:style>
  <w:style w:type="paragraph" w:customStyle="1" w:styleId="79">
    <w:name w:val="标题6"/>
    <w:basedOn w:val="77"/>
    <w:link w:val="80"/>
    <w:qFormat/>
    <w:uiPriority w:val="0"/>
    <w:pPr>
      <w:numPr>
        <w:ilvl w:val="5"/>
      </w:numPr>
    </w:pPr>
  </w:style>
  <w:style w:type="character" w:customStyle="1" w:styleId="80">
    <w:name w:val="标题6 Char"/>
    <w:basedOn w:val="78"/>
    <w:link w:val="79"/>
    <w:qFormat/>
    <w:uiPriority w:val="0"/>
    <w:rPr>
      <w:rFonts w:ascii="仿宋" w:hAnsi="仿宋" w:eastAsia="仿宋" w:cstheme="minorBidi"/>
      <w:kern w:val="2"/>
      <w:sz w:val="28"/>
      <w:szCs w:val="22"/>
    </w:rPr>
  </w:style>
  <w:style w:type="character" w:customStyle="1" w:styleId="81">
    <w:name w:val="电子邮件签名 Char"/>
    <w:basedOn w:val="34"/>
    <w:link w:val="12"/>
    <w:semiHidden/>
    <w:qFormat/>
    <w:uiPriority w:val="0"/>
    <w:rPr>
      <w:rFonts w:asciiTheme="minorHAnsi" w:hAnsiTheme="minorHAnsi" w:eastAsiaTheme="minorEastAsia" w:cstheme="minorBidi"/>
      <w:kern w:val="2"/>
      <w:sz w:val="21"/>
      <w:szCs w:val="22"/>
    </w:rPr>
  </w:style>
  <w:style w:type="paragraph" w:customStyle="1" w:styleId="82">
    <w:name w:val="p0"/>
    <w:basedOn w:val="1"/>
    <w:qFormat/>
    <w:uiPriority w:val="0"/>
    <w:pPr>
      <w:widowControl/>
      <w:spacing w:line="240" w:lineRule="auto"/>
      <w:ind w:firstLine="0" w:firstLineChars="0"/>
    </w:pPr>
    <w:rPr>
      <w:kern w:val="0"/>
      <w:sz w:val="21"/>
      <w:szCs w:val="21"/>
    </w:rPr>
  </w:style>
  <w:style w:type="paragraph" w:customStyle="1" w:styleId="83">
    <w:name w:val="TOC 标题1"/>
    <w:basedOn w:val="2"/>
    <w:next w:val="1"/>
    <w:unhideWhenUsed/>
    <w:qFormat/>
    <w:uiPriority w:val="39"/>
    <w:pPr>
      <w:widowControl/>
      <w:numPr>
        <w:numId w:val="0"/>
      </w:numPr>
      <w:spacing w:before="480" w:after="0" w:line="276" w:lineRule="auto"/>
      <w:jc w:val="left"/>
      <w:outlineLvl w:val="9"/>
    </w:pPr>
    <w:rPr>
      <w:rFonts w:asciiTheme="majorHAnsi" w:hAnsiTheme="majorHAnsi" w:eastAsiaTheme="majorEastAsia" w:cstheme="majorBidi"/>
      <w:color w:val="376092" w:themeColor="accent1" w:themeShade="BF"/>
      <w:kern w:val="0"/>
      <w:sz w:val="28"/>
      <w:szCs w:val="28"/>
    </w:rPr>
  </w:style>
  <w:style w:type="character" w:customStyle="1" w:styleId="84">
    <w:name w:val="正文文本缩进 Char"/>
    <w:basedOn w:val="34"/>
    <w:link w:val="16"/>
    <w:semiHidden/>
    <w:qFormat/>
    <w:uiPriority w:val="99"/>
    <w:rPr>
      <w:rFonts w:cstheme="minorBidi"/>
      <w:kern w:val="2"/>
      <w:sz w:val="28"/>
      <w:szCs w:val="22"/>
    </w:rPr>
  </w:style>
  <w:style w:type="character" w:customStyle="1" w:styleId="85">
    <w:name w:val="正文首行缩进 2 Char"/>
    <w:basedOn w:val="84"/>
    <w:link w:val="31"/>
    <w:qFormat/>
    <w:uiPriority w:val="99"/>
    <w:rPr>
      <w:rFonts w:cstheme="minorBidi"/>
      <w:kern w:val="2"/>
      <w:sz w:val="28"/>
      <w:szCs w:val="22"/>
    </w:rPr>
  </w:style>
  <w:style w:type="character" w:customStyle="1" w:styleId="86">
    <w:name w:val="标题 5 Char"/>
    <w:basedOn w:val="34"/>
    <w:link w:val="6"/>
    <w:qFormat/>
    <w:uiPriority w:val="0"/>
    <w:rPr>
      <w:rFonts w:asciiTheme="minorHAnsi" w:hAnsiTheme="minorHAnsi" w:eastAsiaTheme="minorEastAsia" w:cstheme="minorBidi"/>
      <w:b/>
      <w:sz w:val="28"/>
    </w:rPr>
  </w:style>
  <w:style w:type="character" w:customStyle="1" w:styleId="87">
    <w:name w:val="标题 6 Char"/>
    <w:basedOn w:val="34"/>
    <w:link w:val="7"/>
    <w:semiHidden/>
    <w:qFormat/>
    <w:uiPriority w:val="0"/>
    <w:rPr>
      <w:rFonts w:ascii="Arial" w:hAnsi="Arial" w:eastAsia="黑体" w:cstheme="minorBidi"/>
      <w:b/>
      <w:sz w:val="24"/>
    </w:rPr>
  </w:style>
  <w:style w:type="character" w:customStyle="1" w:styleId="88">
    <w:name w:val="标题 7 Char"/>
    <w:basedOn w:val="34"/>
    <w:link w:val="8"/>
    <w:semiHidden/>
    <w:qFormat/>
    <w:uiPriority w:val="0"/>
    <w:rPr>
      <w:rFonts w:asciiTheme="minorHAnsi" w:hAnsiTheme="minorHAnsi" w:eastAsiaTheme="minorEastAsia" w:cstheme="minorBidi"/>
      <w:b/>
      <w:sz w:val="24"/>
    </w:rPr>
  </w:style>
  <w:style w:type="character" w:customStyle="1" w:styleId="89">
    <w:name w:val="标题 8 Char"/>
    <w:basedOn w:val="34"/>
    <w:link w:val="9"/>
    <w:semiHidden/>
    <w:qFormat/>
    <w:uiPriority w:val="0"/>
    <w:rPr>
      <w:rFonts w:ascii="Arial" w:hAnsi="Arial" w:eastAsia="黑体" w:cstheme="minorBidi"/>
      <w:sz w:val="24"/>
    </w:rPr>
  </w:style>
  <w:style w:type="character" w:customStyle="1" w:styleId="90">
    <w:name w:val="标题 9 Char"/>
    <w:basedOn w:val="34"/>
    <w:link w:val="10"/>
    <w:semiHidden/>
    <w:qFormat/>
    <w:uiPriority w:val="0"/>
    <w:rPr>
      <w:rFonts w:ascii="Arial" w:hAnsi="Arial" w:eastAsia="黑体" w:cstheme="minorBidi"/>
      <w:sz w:val="21"/>
    </w:rPr>
  </w:style>
  <w:style w:type="paragraph" w:customStyle="1" w:styleId="91">
    <w:name w:val="Default"/>
    <w:unhideWhenUsed/>
    <w:qFormat/>
    <w:uiPriority w:val="99"/>
    <w:pPr>
      <w:widowControl w:val="0"/>
      <w:autoSpaceDE w:val="0"/>
      <w:autoSpaceDN w:val="0"/>
      <w:adjustRightInd w:val="0"/>
    </w:pPr>
    <w:rPr>
      <w:rFonts w:hint="eastAsia" w:ascii="仿宋_GB2312" w:hAnsi="仿宋_GB2312" w:eastAsia="仿宋_GB2312" w:cs="Times New Roman"/>
      <w:color w:val="000000"/>
      <w:sz w:val="24"/>
      <w:szCs w:val="22"/>
      <w:lang w:val="en-US" w:eastAsia="zh-CN" w:bidi="ar-SA"/>
    </w:rPr>
  </w:style>
  <w:style w:type="paragraph" w:customStyle="1" w:styleId="92">
    <w:name w:val="DD 正文"/>
    <w:basedOn w:val="1"/>
    <w:link w:val="93"/>
    <w:qFormat/>
    <w:uiPriority w:val="0"/>
    <w:pPr>
      <w:spacing w:line="500" w:lineRule="exact"/>
    </w:pPr>
    <w:rPr>
      <w:rFonts w:ascii="宋体" w:hAnsi="宋体" w:cs="宋体"/>
      <w:color w:val="000000"/>
      <w:kern w:val="0"/>
      <w:szCs w:val="28"/>
    </w:rPr>
  </w:style>
  <w:style w:type="character" w:customStyle="1" w:styleId="93">
    <w:name w:val="DD 正文 Char"/>
    <w:link w:val="92"/>
    <w:qFormat/>
    <w:uiPriority w:val="0"/>
    <w:rPr>
      <w:rFonts w:ascii="宋体" w:hAnsi="宋体" w:cs="宋体"/>
      <w:color w:val="000000"/>
      <w:sz w:val="28"/>
      <w:szCs w:val="28"/>
    </w:rPr>
  </w:style>
  <w:style w:type="paragraph" w:customStyle="1" w:styleId="94">
    <w:name w:val="样式 宋体 四号 黑色 首行缩进:  1.06 厘米 行距: 固定值 27 磅"/>
    <w:basedOn w:val="1"/>
    <w:qFormat/>
    <w:uiPriority w:val="0"/>
    <w:pPr>
      <w:spacing w:line="520" w:lineRule="exact"/>
      <w:ind w:firstLine="601" w:firstLineChars="0"/>
    </w:pPr>
    <w:rPr>
      <w:rFonts w:ascii="宋体" w:hAnsi="宋体" w:cs="宋体"/>
      <w:color w:val="000000"/>
      <w:szCs w:val="28"/>
    </w:rPr>
  </w:style>
  <w:style w:type="paragraph" w:customStyle="1" w:styleId="95">
    <w:name w:val="DD正文"/>
    <w:basedOn w:val="94"/>
    <w:qFormat/>
    <w:uiPriority w:val="0"/>
    <w:pPr>
      <w:overflowPunct w:val="0"/>
      <w:spacing w:line="500" w:lineRule="exact"/>
      <w:ind w:firstLine="567"/>
    </w:pPr>
  </w:style>
  <w:style w:type="paragraph" w:customStyle="1" w:styleId="96">
    <w:name w:val="正文首行缩进 2 字符"/>
    <w:basedOn w:val="1"/>
    <w:qFormat/>
    <w:uiPriority w:val="0"/>
    <w:pPr>
      <w:ind w:firstLine="560"/>
      <w:jc w:val="left"/>
    </w:pPr>
    <w:rPr>
      <w:rFonts w:cs="Times New Roman"/>
      <w:color w:val="000000"/>
      <w:szCs w:val="28"/>
    </w:rPr>
  </w:style>
  <w:style w:type="character" w:customStyle="1" w:styleId="97">
    <w:name w:val="HTML 预设格式 Char"/>
    <w:basedOn w:val="34"/>
    <w:link w:val="29"/>
    <w:semiHidden/>
    <w:qFormat/>
    <w:uiPriority w:val="99"/>
    <w:rPr>
      <w:rFonts w:ascii="宋体" w:hAnsi="宋体" w:cs="宋体"/>
      <w:sz w:val="24"/>
      <w:szCs w:val="24"/>
    </w:rPr>
  </w:style>
  <w:style w:type="paragraph" w:customStyle="1" w:styleId="98">
    <w:name w:val="正文首行缩进两字"/>
    <w:basedOn w:val="1"/>
    <w:qFormat/>
    <w:uiPriority w:val="0"/>
    <w:pPr>
      <w:snapToGrid w:val="0"/>
      <w:spacing w:line="300" w:lineRule="auto"/>
    </w:pPr>
    <w:rPr>
      <w:rFonts w:cs="Times New Roman"/>
      <w:color w:val="000000"/>
      <w:kern w:val="0"/>
      <w:szCs w:val="28"/>
    </w:rPr>
  </w:style>
  <w:style w:type="character" w:customStyle="1" w:styleId="99">
    <w:name w:val="font61"/>
    <w:basedOn w:val="34"/>
    <w:qFormat/>
    <w:uiPriority w:val="0"/>
    <w:rPr>
      <w:rFonts w:hint="eastAsia" w:ascii="宋体" w:hAnsi="宋体" w:eastAsia="宋体"/>
      <w:b/>
      <w:bCs/>
      <w:color w:val="000000"/>
      <w:sz w:val="21"/>
      <w:szCs w:val="21"/>
      <w:u w:val="none"/>
    </w:rPr>
  </w:style>
  <w:style w:type="character" w:customStyle="1" w:styleId="100">
    <w:name w:val="font21"/>
    <w:basedOn w:val="34"/>
    <w:qFormat/>
    <w:uiPriority w:val="0"/>
    <w:rPr>
      <w:rFonts w:hint="eastAsia" w:ascii="宋体" w:hAnsi="宋体" w:eastAsia="宋体"/>
      <w:color w:val="000000"/>
      <w:sz w:val="21"/>
      <w:szCs w:val="21"/>
      <w:u w:val="none"/>
    </w:rPr>
  </w:style>
  <w:style w:type="character" w:customStyle="1" w:styleId="101">
    <w:name w:val="font41"/>
    <w:basedOn w:val="34"/>
    <w:qFormat/>
    <w:uiPriority w:val="0"/>
    <w:rPr>
      <w:rFonts w:hint="default" w:ascii="Times New Roman" w:hAnsi="Times New Roman" w:cs="Times New Roman"/>
      <w:color w:val="000000"/>
      <w:sz w:val="21"/>
      <w:szCs w:val="21"/>
      <w:u w:val="none"/>
    </w:rPr>
  </w:style>
  <w:style w:type="character" w:customStyle="1" w:styleId="102">
    <w:name w:val="font11"/>
    <w:basedOn w:val="34"/>
    <w:qFormat/>
    <w:uiPriority w:val="0"/>
    <w:rPr>
      <w:rFonts w:hint="eastAsia" w:ascii="宋体" w:hAnsi="宋体" w:eastAsia="宋体"/>
      <w:color w:val="000000"/>
      <w:sz w:val="21"/>
      <w:szCs w:val="21"/>
      <w:u w:val="none"/>
    </w:rPr>
  </w:style>
  <w:style w:type="character" w:customStyle="1" w:styleId="103">
    <w:name w:val="font51"/>
    <w:basedOn w:val="34"/>
    <w:qFormat/>
    <w:uiPriority w:val="0"/>
    <w:rPr>
      <w:rFonts w:hint="default" w:ascii="Times New Roman" w:hAnsi="Times New Roman" w:cs="Times New Roman"/>
      <w:color w:val="000000"/>
      <w:sz w:val="21"/>
      <w:szCs w:val="21"/>
      <w:u w:val="none"/>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3" Type="http://schemas.openxmlformats.org/officeDocument/2006/relationships/fontTable" Target="fontTable.xml"/><Relationship Id="rId32" Type="http://schemas.openxmlformats.org/officeDocument/2006/relationships/customXml" Target="../customXml/item2.xml"/><Relationship Id="rId31" Type="http://schemas.openxmlformats.org/officeDocument/2006/relationships/numbering" Target="numbering.xml"/><Relationship Id="rId30" Type="http://schemas.openxmlformats.org/officeDocument/2006/relationships/customXml" Target="../customXml/item1.xml"/><Relationship Id="rId3" Type="http://schemas.openxmlformats.org/officeDocument/2006/relationships/footnotes" Target="footnotes.xml"/><Relationship Id="rId29" Type="http://schemas.openxmlformats.org/officeDocument/2006/relationships/image" Target="media/image12.jpeg"/><Relationship Id="rId28" Type="http://schemas.openxmlformats.org/officeDocument/2006/relationships/image" Target="media/image11.jpeg"/><Relationship Id="rId27" Type="http://schemas.openxmlformats.org/officeDocument/2006/relationships/image" Target="media/image10.jpeg"/><Relationship Id="rId26" Type="http://schemas.openxmlformats.org/officeDocument/2006/relationships/image" Target="media/image9.jpeg"/><Relationship Id="rId25" Type="http://schemas.openxmlformats.org/officeDocument/2006/relationships/image" Target="media/image8.jpeg"/><Relationship Id="rId24" Type="http://schemas.openxmlformats.org/officeDocument/2006/relationships/image" Target="media/image7.jpeg"/><Relationship Id="rId23" Type="http://schemas.openxmlformats.org/officeDocument/2006/relationships/image" Target="media/image6.jpeg"/><Relationship Id="rId22" Type="http://schemas.openxmlformats.org/officeDocument/2006/relationships/image" Target="media/image5.jpeg"/><Relationship Id="rId21" Type="http://schemas.openxmlformats.org/officeDocument/2006/relationships/image" Target="media/image4.jpeg"/><Relationship Id="rId20" Type="http://schemas.openxmlformats.org/officeDocument/2006/relationships/image" Target="media/image3.jpeg"/><Relationship Id="rId2" Type="http://schemas.openxmlformats.org/officeDocument/2006/relationships/settings" Target="settings.xml"/><Relationship Id="rId19" Type="http://schemas.openxmlformats.org/officeDocument/2006/relationships/image" Target="file:///C:\Users\ADMINI~1\AppData\Local\Temp\ksohtml6644\wps2.png" TargetMode="External"/><Relationship Id="rId18" Type="http://schemas.openxmlformats.org/officeDocument/2006/relationships/image" Target="media/image2.png"/><Relationship Id="rId17" Type="http://schemas.openxmlformats.org/officeDocument/2006/relationships/image" Target="file:///C:\Users\ADMINI~1\AppData\Local\Temp\ksohtml6644\wps1.png" TargetMode="External"/><Relationship Id="rId16" Type="http://schemas.openxmlformats.org/officeDocument/2006/relationships/image" Target="media/image1.png"/><Relationship Id="rId15" Type="http://schemas.openxmlformats.org/officeDocument/2006/relationships/theme" Target="theme/theme1.xml"/><Relationship Id="rId14" Type="http://schemas.openxmlformats.org/officeDocument/2006/relationships/footer" Target="footer6.xml"/><Relationship Id="rId13" Type="http://schemas.openxmlformats.org/officeDocument/2006/relationships/footer" Target="footer5.xml"/><Relationship Id="rId12" Type="http://schemas.openxmlformats.org/officeDocument/2006/relationships/header" Target="header4.xml"/><Relationship Id="rId11" Type="http://schemas.openxmlformats.org/officeDocument/2006/relationships/footer" Target="foot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4A22940-DCFE-40F0-93EF-A5A27F4C71A7}">
  <ds:schemaRefs/>
</ds:datastoreItem>
</file>

<file path=docProps/app.xml><?xml version="1.0" encoding="utf-8"?>
<Properties xmlns="http://schemas.openxmlformats.org/officeDocument/2006/extended-properties" xmlns:vt="http://schemas.openxmlformats.org/officeDocument/2006/docPropsVTypes">
  <Template>Normal</Template>
  <Pages>52</Pages>
  <Words>13852</Words>
  <Characters>14934</Characters>
  <Lines>180</Lines>
  <Paragraphs>50</Paragraphs>
  <TotalTime>9810</TotalTime>
  <ScaleCrop>false</ScaleCrop>
  <LinksUpToDate>false</LinksUpToDate>
  <CharactersWithSpaces>15328</CharactersWithSpaces>
  <Application>WPS Office_12.1.0.24657_F1E327BC-269C-435d-A152-05C5408002CA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2021-03-30T10:25:00Z</dcterms:created>
  <dc:creator>ASUS</dc:creator>
  <cp:lastModifiedBy>momo</cp:lastModifiedBy>
  <cp:lastPrinted>2021-11-11T01:32:00Z</cp:lastPrinted>
  <dcterms:modified xsi:type="dcterms:W3CDTF">2026-02-02T06:39:30Z</dcterms:modified>
  <cp:revision>92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2052-12.1.0.24657</vt:lpwstr>
  </property>
  <property fmtid="{D5CDD505-2E9C-101B-9397-08002B2CF9AE}" pid="3" name="ICV">
    <vt:lpwstr>E9B8C633EC4444609652E0D72FF05291</vt:lpwstr>
  </property>
  <property fmtid="{D5CDD505-2E9C-101B-9397-08002B2CF9AE}" pid="4" name="KSOTemplateDocerSaveRecord">
    <vt:lpwstr>eyJoZGlkIjoiNzQ4ZTZhZDMyNTkwZmUxMTJhMzgzZDEzMWZlM2U4MjYiLCJ1c2VySWQiOiIxMDg0Njk1MDExIn0=</vt:lpwstr>
  </property>
</Properties>
</file>