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E87A4">
      <w:pPr>
        <w:spacing w:line="590" w:lineRule="exact"/>
        <w:jc w:val="center"/>
        <w:rPr>
          <w:rFonts w:ascii="方正小标宋简体" w:hAnsi="黑体" w:eastAsia="方正小标宋简体" w:cs="宋体+FPEF"/>
          <w:spacing w:val="6"/>
          <w:kern w:val="0"/>
          <w:sz w:val="40"/>
          <w:szCs w:val="40"/>
        </w:rPr>
      </w:pPr>
    </w:p>
    <w:p w14:paraId="60C8A221">
      <w:pPr>
        <w:spacing w:line="590" w:lineRule="exact"/>
        <w:rPr>
          <w:rFonts w:ascii="方正小标宋简体" w:hAnsi="方正小标宋简体" w:eastAsia="方正小标宋简体" w:cs="方正小标宋简体"/>
          <w:spacing w:val="6"/>
          <w:kern w:val="0"/>
          <w:sz w:val="40"/>
          <w:szCs w:val="40"/>
        </w:rPr>
      </w:pPr>
    </w:p>
    <w:p w14:paraId="1E7E410C">
      <w:pPr>
        <w:spacing w:line="590" w:lineRule="exact"/>
        <w:jc w:val="center"/>
        <w:rPr>
          <w:rFonts w:ascii="方正小标宋简体" w:hAnsi="方正小标宋简体" w:eastAsia="方正小标宋简体" w:cs="方正小标宋简体"/>
          <w:spacing w:val="6"/>
          <w:kern w:val="0"/>
          <w:sz w:val="40"/>
          <w:szCs w:val="40"/>
        </w:rPr>
      </w:pPr>
      <w:r>
        <w:rPr>
          <w:rFonts w:hint="eastAsia" w:ascii="方正小标宋简体" w:hAnsi="方正小标宋简体" w:eastAsia="方正小标宋简体" w:cs="方正小标宋简体"/>
          <w:spacing w:val="6"/>
          <w:kern w:val="0"/>
          <w:sz w:val="40"/>
          <w:szCs w:val="40"/>
        </w:rPr>
        <w:t>昆明市第一中学富民学校（富民县第一中学）202</w:t>
      </w:r>
      <w:r>
        <w:rPr>
          <w:rFonts w:ascii="方正小标宋简体" w:hAnsi="方正小标宋简体" w:eastAsia="方正小标宋简体" w:cs="方正小标宋简体"/>
          <w:spacing w:val="6"/>
          <w:kern w:val="0"/>
          <w:sz w:val="40"/>
          <w:szCs w:val="40"/>
        </w:rPr>
        <w:t>3</w:t>
      </w:r>
      <w:r>
        <w:rPr>
          <w:rFonts w:hint="eastAsia" w:ascii="方正小标宋简体" w:hAnsi="方正小标宋简体" w:eastAsia="方正小标宋简体" w:cs="方正小标宋简体"/>
          <w:spacing w:val="6"/>
          <w:kern w:val="0"/>
          <w:sz w:val="40"/>
          <w:szCs w:val="40"/>
        </w:rPr>
        <w:t>年部门整体支出</w:t>
      </w:r>
    </w:p>
    <w:p w14:paraId="4A69B4E2">
      <w:pPr>
        <w:jc w:val="center"/>
        <w:rPr>
          <w:rFonts w:ascii="方正小标宋简体" w:hAnsi="宋体" w:eastAsia="方正小标宋简体"/>
          <w:spacing w:val="6"/>
          <w:sz w:val="72"/>
          <w:szCs w:val="72"/>
        </w:rPr>
      </w:pPr>
      <w:r>
        <w:rPr>
          <w:rFonts w:hint="eastAsia" w:ascii="方正小标宋简体" w:hAnsi="宋体" w:eastAsia="方正小标宋简体"/>
          <w:spacing w:val="6"/>
          <w:sz w:val="72"/>
          <w:szCs w:val="72"/>
        </w:rPr>
        <w:t>绩效评价报告</w:t>
      </w:r>
      <w:bookmarkStart w:id="187" w:name="_GoBack"/>
      <w:bookmarkEnd w:id="187"/>
    </w:p>
    <w:p w14:paraId="4813840B">
      <w:pPr>
        <w:spacing w:line="590" w:lineRule="exact"/>
        <w:rPr>
          <w:rFonts w:ascii="方正小标宋简体" w:hAnsi="Arial Narrow" w:eastAsia="方正小标宋简体"/>
          <w:spacing w:val="6"/>
          <w:kern w:val="0"/>
          <w:sz w:val="40"/>
          <w:szCs w:val="40"/>
        </w:rPr>
      </w:pPr>
    </w:p>
    <w:p w14:paraId="73F04738">
      <w:pPr>
        <w:spacing w:line="590" w:lineRule="exact"/>
        <w:rPr>
          <w:rFonts w:ascii="方正小标宋简体" w:hAnsi="Arial Narrow" w:eastAsia="方正小标宋简体" w:cs="方正小标宋简体"/>
          <w:spacing w:val="6"/>
          <w:kern w:val="0"/>
          <w:sz w:val="40"/>
          <w:szCs w:val="40"/>
        </w:rPr>
      </w:pPr>
    </w:p>
    <w:p w14:paraId="2CC9C16D">
      <w:pPr>
        <w:spacing w:line="590" w:lineRule="exact"/>
        <w:rPr>
          <w:rFonts w:ascii="方正小标宋简体" w:hAnsi="Arial Narrow" w:eastAsia="方正小标宋简体" w:cs="方正小标宋简体"/>
          <w:spacing w:val="6"/>
          <w:kern w:val="0"/>
          <w:sz w:val="40"/>
          <w:szCs w:val="40"/>
        </w:rPr>
      </w:pPr>
    </w:p>
    <w:p w14:paraId="6E2C078B">
      <w:pPr>
        <w:spacing w:line="590" w:lineRule="exact"/>
        <w:rPr>
          <w:rFonts w:ascii="方正小标宋简体" w:hAnsi="Arial Narrow" w:eastAsia="方正小标宋简体" w:cs="方正小标宋简体"/>
          <w:spacing w:val="6"/>
          <w:kern w:val="0"/>
          <w:sz w:val="40"/>
          <w:szCs w:val="40"/>
        </w:rPr>
      </w:pPr>
    </w:p>
    <w:p w14:paraId="669C67DE">
      <w:pPr>
        <w:spacing w:line="590" w:lineRule="exact"/>
        <w:rPr>
          <w:rFonts w:ascii="方正小标宋简体" w:hAnsi="Arial Narrow" w:eastAsia="方正小标宋简体" w:cs="方正小标宋简体"/>
          <w:spacing w:val="6"/>
          <w:kern w:val="0"/>
          <w:sz w:val="40"/>
          <w:szCs w:val="40"/>
        </w:rPr>
      </w:pPr>
    </w:p>
    <w:p w14:paraId="3DC2641F">
      <w:pPr>
        <w:spacing w:line="590" w:lineRule="exact"/>
        <w:jc w:val="center"/>
        <w:rPr>
          <w:rFonts w:ascii="方正小标宋简体" w:hAnsi="方正小标宋简体" w:eastAsia="方正小标宋简体" w:cs="方正小标宋简体"/>
          <w:spacing w:val="6"/>
          <w:kern w:val="0"/>
          <w:sz w:val="36"/>
          <w:szCs w:val="36"/>
        </w:rPr>
      </w:pPr>
    </w:p>
    <w:p w14:paraId="0879719B">
      <w:pPr>
        <w:adjustRightInd w:val="0"/>
        <w:spacing w:line="590" w:lineRule="exact"/>
        <w:rPr>
          <w:rFonts w:ascii="黑体" w:hAnsi="宋体" w:eastAsia="黑体"/>
          <w:spacing w:val="6"/>
          <w:sz w:val="30"/>
          <w:szCs w:val="30"/>
        </w:rPr>
      </w:pPr>
      <w:r>
        <w:rPr>
          <w:rFonts w:hint="eastAsia" w:ascii="黑体" w:hAnsi="宋体" w:eastAsia="黑体"/>
          <w:spacing w:val="6"/>
          <w:sz w:val="30"/>
          <w:szCs w:val="30"/>
        </w:rPr>
        <w:t>委托单位名称：富民县财政局</w:t>
      </w:r>
    </w:p>
    <w:p w14:paraId="7E742190">
      <w:pPr>
        <w:adjustRightInd w:val="0"/>
        <w:spacing w:line="590" w:lineRule="exact"/>
        <w:rPr>
          <w:rFonts w:ascii="黑体" w:hAnsi="宋体" w:eastAsia="黑体"/>
          <w:spacing w:val="6"/>
          <w:sz w:val="30"/>
          <w:szCs w:val="30"/>
        </w:rPr>
      </w:pPr>
    </w:p>
    <w:p w14:paraId="130488C2">
      <w:pPr>
        <w:adjustRightInd w:val="0"/>
        <w:spacing w:line="590" w:lineRule="exact"/>
        <w:rPr>
          <w:rFonts w:ascii="黑体" w:hAnsi="宋体" w:eastAsia="黑体"/>
          <w:spacing w:val="6"/>
          <w:sz w:val="30"/>
          <w:szCs w:val="30"/>
        </w:rPr>
      </w:pPr>
      <w:r>
        <w:rPr>
          <w:rFonts w:hint="eastAsia" w:ascii="黑体" w:hAnsi="宋体" w:eastAsia="黑体"/>
          <w:spacing w:val="6"/>
          <w:sz w:val="30"/>
          <w:szCs w:val="30"/>
        </w:rPr>
        <w:t>评估机构名称：云南杻之阳会计师事务所（普通合伙）</w:t>
      </w:r>
    </w:p>
    <w:p w14:paraId="2B890ABB">
      <w:pPr>
        <w:autoSpaceDE w:val="0"/>
        <w:autoSpaceDN w:val="0"/>
        <w:adjustRightInd w:val="0"/>
        <w:rPr>
          <w:rFonts w:ascii="黑体" w:hAnsi="宋体" w:eastAsia="黑体"/>
          <w:spacing w:val="6"/>
          <w:sz w:val="30"/>
          <w:szCs w:val="30"/>
        </w:rPr>
      </w:pPr>
    </w:p>
    <w:p w14:paraId="6B0EBA0F">
      <w:pPr>
        <w:autoSpaceDE w:val="0"/>
        <w:autoSpaceDN w:val="0"/>
        <w:adjustRightInd w:val="0"/>
        <w:rPr>
          <w:rFonts w:ascii="黑体" w:hAnsi="宋体" w:eastAsia="黑体"/>
          <w:spacing w:val="6"/>
          <w:sz w:val="30"/>
          <w:szCs w:val="30"/>
        </w:rPr>
      </w:pPr>
    </w:p>
    <w:p w14:paraId="3CBF0291">
      <w:pPr>
        <w:autoSpaceDE w:val="0"/>
        <w:autoSpaceDN w:val="0"/>
        <w:adjustRightInd w:val="0"/>
        <w:rPr>
          <w:rFonts w:ascii="黑体" w:hAnsi="宋体" w:eastAsia="黑体"/>
          <w:spacing w:val="6"/>
          <w:sz w:val="30"/>
          <w:szCs w:val="30"/>
        </w:rPr>
      </w:pPr>
    </w:p>
    <w:p w14:paraId="0734D47B">
      <w:pPr>
        <w:autoSpaceDE w:val="0"/>
        <w:autoSpaceDN w:val="0"/>
        <w:adjustRightInd w:val="0"/>
        <w:rPr>
          <w:rFonts w:ascii="黑体" w:hAnsi="宋体" w:eastAsia="黑体"/>
          <w:spacing w:val="6"/>
          <w:sz w:val="30"/>
          <w:szCs w:val="30"/>
        </w:rPr>
      </w:pPr>
      <w:r>
        <w:rPr>
          <w:rFonts w:hint="eastAsia" w:ascii="黑体" w:hAnsi="宋体" w:eastAsia="黑体"/>
          <w:spacing w:val="6"/>
          <w:sz w:val="30"/>
          <w:szCs w:val="30"/>
        </w:rPr>
        <w:t>项目起止时间：202</w:t>
      </w:r>
      <w:r>
        <w:rPr>
          <w:rFonts w:ascii="黑体" w:hAnsi="宋体" w:eastAsia="黑体"/>
          <w:spacing w:val="6"/>
          <w:sz w:val="30"/>
          <w:szCs w:val="30"/>
        </w:rPr>
        <w:t>4</w:t>
      </w:r>
      <w:r>
        <w:rPr>
          <w:rFonts w:hint="eastAsia" w:ascii="黑体" w:hAnsi="宋体" w:eastAsia="黑体"/>
          <w:spacing w:val="6"/>
          <w:sz w:val="30"/>
          <w:szCs w:val="30"/>
        </w:rPr>
        <w:t>年</w:t>
      </w:r>
      <w:r>
        <w:rPr>
          <w:rFonts w:ascii="黑体" w:hAnsi="宋体" w:eastAsia="黑体"/>
          <w:spacing w:val="6"/>
          <w:sz w:val="30"/>
          <w:szCs w:val="30"/>
        </w:rPr>
        <w:t>7</w:t>
      </w:r>
      <w:r>
        <w:rPr>
          <w:rFonts w:hint="eastAsia" w:ascii="黑体" w:hAnsi="宋体" w:eastAsia="黑体"/>
          <w:spacing w:val="6"/>
          <w:sz w:val="30"/>
          <w:szCs w:val="30"/>
        </w:rPr>
        <w:t>月</w:t>
      </w:r>
      <w:r>
        <w:rPr>
          <w:rFonts w:ascii="黑体" w:hAnsi="宋体" w:eastAsia="黑体"/>
          <w:spacing w:val="6"/>
          <w:sz w:val="30"/>
          <w:szCs w:val="30"/>
        </w:rPr>
        <w:t>15</w:t>
      </w:r>
      <w:r>
        <w:rPr>
          <w:rFonts w:hint="eastAsia" w:ascii="黑体" w:hAnsi="宋体" w:eastAsia="黑体"/>
          <w:spacing w:val="6"/>
          <w:sz w:val="30"/>
          <w:szCs w:val="30"/>
        </w:rPr>
        <w:t>日至202</w:t>
      </w:r>
      <w:r>
        <w:rPr>
          <w:rFonts w:ascii="黑体" w:hAnsi="宋体" w:eastAsia="黑体"/>
          <w:spacing w:val="6"/>
          <w:sz w:val="30"/>
          <w:szCs w:val="30"/>
        </w:rPr>
        <w:t>4</w:t>
      </w:r>
      <w:r>
        <w:rPr>
          <w:rFonts w:hint="eastAsia" w:ascii="黑体" w:hAnsi="宋体" w:eastAsia="黑体"/>
          <w:spacing w:val="6"/>
          <w:sz w:val="30"/>
          <w:szCs w:val="30"/>
        </w:rPr>
        <w:t>年10月</w:t>
      </w:r>
      <w:r>
        <w:rPr>
          <w:rFonts w:ascii="黑体" w:hAnsi="宋体" w:eastAsia="黑体"/>
          <w:spacing w:val="6"/>
          <w:sz w:val="30"/>
          <w:szCs w:val="30"/>
        </w:rPr>
        <w:t>31</w:t>
      </w:r>
      <w:r>
        <w:rPr>
          <w:rFonts w:hint="eastAsia" w:ascii="黑体" w:hAnsi="宋体" w:eastAsia="黑体"/>
          <w:spacing w:val="6"/>
          <w:sz w:val="30"/>
          <w:szCs w:val="30"/>
        </w:rPr>
        <w:t>日</w:t>
      </w:r>
    </w:p>
    <w:p w14:paraId="2F9CF8B3">
      <w:pPr>
        <w:autoSpaceDE w:val="0"/>
        <w:autoSpaceDN w:val="0"/>
        <w:adjustRightInd w:val="0"/>
        <w:rPr>
          <w:rFonts w:ascii="黑体" w:hAnsi="宋体" w:eastAsia="黑体"/>
          <w:spacing w:val="6"/>
          <w:sz w:val="30"/>
          <w:szCs w:val="30"/>
        </w:rPr>
      </w:pPr>
    </w:p>
    <w:p w14:paraId="559021B0">
      <w:pPr>
        <w:rPr>
          <w:rFonts w:ascii="黑体" w:hAnsi="宋体" w:eastAsia="黑体"/>
          <w:spacing w:val="6"/>
          <w:sz w:val="30"/>
          <w:szCs w:val="30"/>
        </w:rPr>
        <w:sectPr>
          <w:footerReference r:id="rId4" w:type="first"/>
          <w:footerReference r:id="rId3" w:type="default"/>
          <w:type w:val="oddPage"/>
          <w:pgSz w:w="11906" w:h="16838"/>
          <w:pgMar w:top="1985" w:right="1474" w:bottom="1871" w:left="1474" w:header="851" w:footer="1474" w:gutter="0"/>
          <w:pgNumType w:start="1" w:chapStyle="1"/>
          <w:cols w:space="720" w:num="1"/>
          <w:docGrid w:type="lines" w:linePitch="312" w:charSpace="0"/>
        </w:sectPr>
      </w:pPr>
      <w:r>
        <w:rPr>
          <w:rFonts w:hint="eastAsia" w:ascii="黑体" w:hAnsi="宋体" w:eastAsia="黑体"/>
          <w:spacing w:val="6"/>
          <w:sz w:val="30"/>
          <w:szCs w:val="30"/>
        </w:rPr>
        <w:t>报告出具时间：202</w:t>
      </w:r>
      <w:r>
        <w:rPr>
          <w:rFonts w:ascii="黑体" w:hAnsi="宋体" w:eastAsia="黑体"/>
          <w:spacing w:val="6"/>
          <w:sz w:val="30"/>
          <w:szCs w:val="30"/>
        </w:rPr>
        <w:t>4</w:t>
      </w:r>
      <w:r>
        <w:rPr>
          <w:rFonts w:hint="eastAsia" w:ascii="黑体" w:hAnsi="宋体" w:eastAsia="黑体"/>
          <w:spacing w:val="6"/>
          <w:sz w:val="30"/>
          <w:szCs w:val="30"/>
        </w:rPr>
        <w:t>年10月31日</w:t>
      </w:r>
    </w:p>
    <w:p w14:paraId="0B03D4DC">
      <w:pPr>
        <w:widowControl/>
        <w:spacing w:line="440" w:lineRule="exact"/>
        <w:jc w:val="center"/>
        <w:rPr>
          <w:rFonts w:ascii="宋体" w:hAnsi="宋体" w:eastAsia="宋体" w:cs="Times New Roman"/>
          <w:b/>
          <w:sz w:val="36"/>
          <w:szCs w:val="36"/>
          <w:lang w:val="zh-CN"/>
        </w:rPr>
      </w:pPr>
      <w:r>
        <w:rPr>
          <w:rFonts w:ascii="宋体" w:hAnsi="宋体" w:eastAsia="宋体" w:cs="Times New Roman"/>
          <w:b/>
          <w:sz w:val="36"/>
          <w:szCs w:val="36"/>
          <w:lang w:val="zh-CN"/>
        </w:rPr>
        <w:t>目  录</w:t>
      </w:r>
    </w:p>
    <w:p w14:paraId="501ADABC">
      <w:pPr>
        <w:pStyle w:val="59"/>
        <w:tabs>
          <w:tab w:val="right" w:leader="dot" w:pos="8834"/>
        </w:tabs>
        <w:spacing w:line="360" w:lineRule="auto"/>
        <w:jc w:val="right"/>
        <w:rPr>
          <w:rFonts w:ascii="仿宋" w:hAnsi="仿宋" w:eastAsia="仿宋" w:cstheme="minorBidi"/>
          <w:kern w:val="2"/>
          <w:sz w:val="22"/>
          <w:szCs w:val="24"/>
        </w:rPr>
      </w:pPr>
      <w:bookmarkStart w:id="0" w:name="_Hlk118282143"/>
      <w:r>
        <w:rPr>
          <w:rFonts w:ascii="仿宋" w:hAnsi="仿宋" w:eastAsia="仿宋"/>
          <w:kern w:val="2"/>
          <w:sz w:val="24"/>
          <w:szCs w:val="24"/>
          <w:lang w:val="zh-CN"/>
        </w:rPr>
        <w:fldChar w:fldCharType="begin"/>
      </w:r>
      <w:r>
        <w:rPr>
          <w:rFonts w:ascii="仿宋" w:hAnsi="仿宋" w:eastAsia="仿宋"/>
          <w:sz w:val="24"/>
          <w:szCs w:val="24"/>
        </w:rPr>
        <w:instrText xml:space="preserve"> TOC \o "1-3" \h \z \u </w:instrText>
      </w:r>
      <w:r>
        <w:rPr>
          <w:rFonts w:ascii="仿宋" w:hAnsi="仿宋" w:eastAsia="仿宋"/>
          <w:kern w:val="2"/>
          <w:sz w:val="24"/>
          <w:szCs w:val="24"/>
          <w:lang w:val="zh-CN"/>
        </w:rPr>
        <w:fldChar w:fldCharType="separate"/>
      </w:r>
      <w:r>
        <w:fldChar w:fldCharType="begin"/>
      </w:r>
      <w:r>
        <w:instrText xml:space="preserve"> HYPERLINK \l "_Toc180163166" </w:instrText>
      </w:r>
      <w:r>
        <w:fldChar w:fldCharType="separate"/>
      </w:r>
      <w:r>
        <w:rPr>
          <w:rStyle w:val="93"/>
          <w:rFonts w:hint="eastAsia" w:ascii="仿宋" w:hAnsi="仿宋" w:eastAsia="仿宋" w:cs="宋体"/>
          <w:spacing w:val="6"/>
        </w:rPr>
        <w:t>一、基本情况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_Toc180163166 \h</w:instrText>
      </w:r>
      <w:r>
        <w:rPr>
          <w:rFonts w:hint="eastAsia" w:ascii="仿宋" w:hAnsi="仿宋" w:eastAsia="仿宋"/>
        </w:rPr>
        <w:fldChar w:fldCharType="separate"/>
      </w:r>
      <w:r>
        <w:rPr>
          <w:rFonts w:ascii="仿宋" w:hAnsi="仿宋" w:eastAsia="仿宋"/>
        </w:rPr>
        <w:t>- 1 -</w:t>
      </w:r>
      <w:r>
        <w:rPr>
          <w:rFonts w:hint="eastAsia" w:ascii="仿宋" w:hAnsi="仿宋" w:eastAsia="仿宋"/>
        </w:rPr>
        <w:fldChar w:fldCharType="end"/>
      </w:r>
      <w:r>
        <w:rPr>
          <w:rFonts w:hint="eastAsia" w:ascii="仿宋" w:hAnsi="仿宋" w:eastAsia="仿宋"/>
        </w:rPr>
        <w:fldChar w:fldCharType="end"/>
      </w:r>
    </w:p>
    <w:p w14:paraId="30D2E9B5">
      <w:pPr>
        <w:pStyle w:val="74"/>
        <w:spacing w:line="360" w:lineRule="auto"/>
        <w:jc w:val="right"/>
        <w:rPr>
          <w:rFonts w:ascii="仿宋" w:hAnsi="仿宋" w:eastAsia="仿宋" w:cstheme="minorBidi"/>
          <w:kern w:val="2"/>
          <w:sz w:val="22"/>
          <w:szCs w:val="24"/>
        </w:rPr>
      </w:pPr>
      <w:r>
        <w:fldChar w:fldCharType="begin"/>
      </w:r>
      <w:r>
        <w:instrText xml:space="preserve"> HYPERLINK \l "_Toc180163167" </w:instrText>
      </w:r>
      <w:r>
        <w:fldChar w:fldCharType="separate"/>
      </w:r>
      <w:r>
        <w:rPr>
          <w:rStyle w:val="93"/>
          <w:rFonts w:hint="eastAsia" w:ascii="仿宋" w:hAnsi="仿宋" w:eastAsia="仿宋"/>
          <w:spacing w:val="6"/>
        </w:rPr>
        <w:t>（一）部门概况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_Toc180163167 \h</w:instrText>
      </w:r>
      <w:r>
        <w:rPr>
          <w:rFonts w:hint="eastAsia" w:ascii="仿宋" w:hAnsi="仿宋" w:eastAsia="仿宋"/>
        </w:rPr>
        <w:fldChar w:fldCharType="separate"/>
      </w:r>
      <w:r>
        <w:rPr>
          <w:rFonts w:ascii="仿宋" w:hAnsi="仿宋" w:eastAsia="仿宋"/>
        </w:rPr>
        <w:t>- 1 -</w:t>
      </w:r>
      <w:r>
        <w:rPr>
          <w:rFonts w:hint="eastAsia" w:ascii="仿宋" w:hAnsi="仿宋" w:eastAsia="仿宋"/>
        </w:rPr>
        <w:fldChar w:fldCharType="end"/>
      </w:r>
      <w:r>
        <w:rPr>
          <w:rFonts w:hint="eastAsia" w:ascii="仿宋" w:hAnsi="仿宋" w:eastAsia="仿宋"/>
        </w:rPr>
        <w:fldChar w:fldCharType="end"/>
      </w:r>
    </w:p>
    <w:p w14:paraId="4F168E56">
      <w:pPr>
        <w:pStyle w:val="74"/>
        <w:spacing w:line="360" w:lineRule="auto"/>
        <w:jc w:val="right"/>
        <w:rPr>
          <w:rFonts w:ascii="仿宋" w:hAnsi="仿宋" w:eastAsia="仿宋" w:cstheme="minorBidi"/>
          <w:kern w:val="2"/>
          <w:sz w:val="22"/>
          <w:szCs w:val="24"/>
        </w:rPr>
      </w:pPr>
      <w:r>
        <w:fldChar w:fldCharType="begin"/>
      </w:r>
      <w:r>
        <w:instrText xml:space="preserve"> HYPERLINK \l "_Toc180163168" </w:instrText>
      </w:r>
      <w:r>
        <w:fldChar w:fldCharType="separate"/>
      </w:r>
      <w:r>
        <w:rPr>
          <w:rStyle w:val="93"/>
          <w:rFonts w:hint="eastAsia" w:ascii="仿宋" w:hAnsi="仿宋" w:eastAsia="仿宋"/>
          <w:spacing w:val="6"/>
        </w:rPr>
        <w:t>（二）部门预算批复及资金安排情况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_Toc180163168 \h</w:instrText>
      </w:r>
      <w:r>
        <w:rPr>
          <w:rFonts w:hint="eastAsia" w:ascii="仿宋" w:hAnsi="仿宋" w:eastAsia="仿宋"/>
        </w:rPr>
        <w:fldChar w:fldCharType="separate"/>
      </w:r>
      <w:r>
        <w:rPr>
          <w:rFonts w:ascii="仿宋" w:hAnsi="仿宋" w:eastAsia="仿宋"/>
        </w:rPr>
        <w:t>- 4 -</w:t>
      </w:r>
      <w:r>
        <w:rPr>
          <w:rFonts w:hint="eastAsia" w:ascii="仿宋" w:hAnsi="仿宋" w:eastAsia="仿宋"/>
        </w:rPr>
        <w:fldChar w:fldCharType="end"/>
      </w:r>
      <w:r>
        <w:rPr>
          <w:rFonts w:hint="eastAsia" w:ascii="仿宋" w:hAnsi="仿宋" w:eastAsia="仿宋"/>
        </w:rPr>
        <w:fldChar w:fldCharType="end"/>
      </w:r>
    </w:p>
    <w:p w14:paraId="21EEA4B0">
      <w:pPr>
        <w:pStyle w:val="74"/>
        <w:spacing w:line="360" w:lineRule="auto"/>
        <w:jc w:val="right"/>
        <w:rPr>
          <w:rFonts w:ascii="仿宋" w:hAnsi="仿宋" w:eastAsia="仿宋" w:cstheme="minorBidi"/>
          <w:kern w:val="2"/>
          <w:sz w:val="22"/>
          <w:szCs w:val="24"/>
        </w:rPr>
      </w:pPr>
      <w:r>
        <w:fldChar w:fldCharType="begin"/>
      </w:r>
      <w:r>
        <w:instrText xml:space="preserve"> HYPERLINK \l "_Toc180163169" </w:instrText>
      </w:r>
      <w:r>
        <w:fldChar w:fldCharType="separate"/>
      </w:r>
      <w:r>
        <w:rPr>
          <w:rStyle w:val="93"/>
          <w:rFonts w:hint="eastAsia" w:ascii="仿宋" w:hAnsi="仿宋" w:eastAsia="仿宋"/>
          <w:spacing w:val="6"/>
        </w:rPr>
        <w:t>（三）部门绩效目标设立情况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_Toc180163169 \h</w:instrText>
      </w:r>
      <w:r>
        <w:rPr>
          <w:rFonts w:hint="eastAsia" w:ascii="仿宋" w:hAnsi="仿宋" w:eastAsia="仿宋"/>
        </w:rPr>
        <w:fldChar w:fldCharType="separate"/>
      </w:r>
      <w:r>
        <w:rPr>
          <w:rFonts w:ascii="仿宋" w:hAnsi="仿宋" w:eastAsia="仿宋"/>
        </w:rPr>
        <w:t>- 6 -</w:t>
      </w:r>
      <w:r>
        <w:rPr>
          <w:rFonts w:hint="eastAsia" w:ascii="仿宋" w:hAnsi="仿宋" w:eastAsia="仿宋"/>
        </w:rPr>
        <w:fldChar w:fldCharType="end"/>
      </w:r>
      <w:r>
        <w:rPr>
          <w:rFonts w:hint="eastAsia" w:ascii="仿宋" w:hAnsi="仿宋" w:eastAsia="仿宋"/>
        </w:rPr>
        <w:fldChar w:fldCharType="end"/>
      </w:r>
    </w:p>
    <w:p w14:paraId="637BD2E3">
      <w:pPr>
        <w:pStyle w:val="74"/>
        <w:spacing w:line="360" w:lineRule="auto"/>
        <w:jc w:val="right"/>
        <w:rPr>
          <w:rFonts w:ascii="仿宋" w:hAnsi="仿宋" w:eastAsia="仿宋" w:cstheme="minorBidi"/>
          <w:kern w:val="2"/>
          <w:sz w:val="22"/>
          <w:szCs w:val="24"/>
        </w:rPr>
      </w:pPr>
      <w:r>
        <w:fldChar w:fldCharType="begin"/>
      </w:r>
      <w:r>
        <w:instrText xml:space="preserve"> HYPERLINK \l "_Toc180163170" </w:instrText>
      </w:r>
      <w:r>
        <w:fldChar w:fldCharType="separate"/>
      </w:r>
      <w:r>
        <w:rPr>
          <w:rStyle w:val="93"/>
          <w:rFonts w:hint="eastAsia" w:ascii="仿宋" w:hAnsi="仿宋" w:eastAsia="仿宋"/>
          <w:spacing w:val="6"/>
        </w:rPr>
        <w:t>（四）组织管理情况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_Toc180163170 \h</w:instrText>
      </w:r>
      <w:r>
        <w:rPr>
          <w:rFonts w:hint="eastAsia" w:ascii="仿宋" w:hAnsi="仿宋" w:eastAsia="仿宋"/>
        </w:rPr>
        <w:fldChar w:fldCharType="separate"/>
      </w:r>
      <w:r>
        <w:rPr>
          <w:rFonts w:ascii="仿宋" w:hAnsi="仿宋" w:eastAsia="仿宋"/>
        </w:rPr>
        <w:t>- 7 -</w:t>
      </w:r>
      <w:r>
        <w:rPr>
          <w:rFonts w:hint="eastAsia" w:ascii="仿宋" w:hAnsi="仿宋" w:eastAsia="仿宋"/>
        </w:rPr>
        <w:fldChar w:fldCharType="end"/>
      </w:r>
      <w:r>
        <w:rPr>
          <w:rFonts w:hint="eastAsia" w:ascii="仿宋" w:hAnsi="仿宋" w:eastAsia="仿宋"/>
        </w:rPr>
        <w:fldChar w:fldCharType="end"/>
      </w:r>
    </w:p>
    <w:p w14:paraId="684EA3A0">
      <w:pPr>
        <w:pStyle w:val="59"/>
        <w:tabs>
          <w:tab w:val="right" w:leader="dot" w:pos="8834"/>
        </w:tabs>
        <w:spacing w:line="360" w:lineRule="auto"/>
        <w:jc w:val="right"/>
        <w:rPr>
          <w:rFonts w:ascii="仿宋" w:hAnsi="仿宋" w:eastAsia="仿宋" w:cstheme="minorBidi"/>
          <w:kern w:val="2"/>
          <w:sz w:val="22"/>
          <w:szCs w:val="24"/>
        </w:rPr>
      </w:pPr>
      <w:r>
        <w:fldChar w:fldCharType="begin"/>
      </w:r>
      <w:r>
        <w:instrText xml:space="preserve"> HYPERLINK \l "_Toc180163171" </w:instrText>
      </w:r>
      <w:r>
        <w:fldChar w:fldCharType="separate"/>
      </w:r>
      <w:r>
        <w:rPr>
          <w:rStyle w:val="93"/>
          <w:rFonts w:hint="eastAsia" w:ascii="仿宋" w:hAnsi="仿宋" w:eastAsia="仿宋" w:cs="宋体"/>
          <w:spacing w:val="6"/>
        </w:rPr>
        <w:t>二、绩效评价工作开展情况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_Toc180163171 \h</w:instrText>
      </w:r>
      <w:r>
        <w:rPr>
          <w:rFonts w:hint="eastAsia" w:ascii="仿宋" w:hAnsi="仿宋" w:eastAsia="仿宋"/>
        </w:rPr>
        <w:fldChar w:fldCharType="separate"/>
      </w:r>
      <w:r>
        <w:rPr>
          <w:rFonts w:ascii="仿宋" w:hAnsi="仿宋" w:eastAsia="仿宋"/>
        </w:rPr>
        <w:t>- 9 -</w:t>
      </w:r>
      <w:r>
        <w:rPr>
          <w:rFonts w:hint="eastAsia" w:ascii="仿宋" w:hAnsi="仿宋" w:eastAsia="仿宋"/>
        </w:rPr>
        <w:fldChar w:fldCharType="end"/>
      </w:r>
      <w:r>
        <w:rPr>
          <w:rFonts w:hint="eastAsia" w:ascii="仿宋" w:hAnsi="仿宋" w:eastAsia="仿宋"/>
        </w:rPr>
        <w:fldChar w:fldCharType="end"/>
      </w:r>
    </w:p>
    <w:p w14:paraId="68C5DF26">
      <w:pPr>
        <w:pStyle w:val="74"/>
        <w:spacing w:line="360" w:lineRule="auto"/>
        <w:jc w:val="right"/>
        <w:rPr>
          <w:rFonts w:ascii="仿宋" w:hAnsi="仿宋" w:eastAsia="仿宋" w:cstheme="minorBidi"/>
          <w:kern w:val="2"/>
          <w:sz w:val="22"/>
          <w:szCs w:val="24"/>
        </w:rPr>
      </w:pPr>
      <w:r>
        <w:fldChar w:fldCharType="begin"/>
      </w:r>
      <w:r>
        <w:instrText xml:space="preserve"> HYPERLINK \l "_Toc180163172" </w:instrText>
      </w:r>
      <w:r>
        <w:fldChar w:fldCharType="separate"/>
      </w:r>
      <w:r>
        <w:rPr>
          <w:rStyle w:val="93"/>
          <w:rFonts w:hint="eastAsia" w:ascii="仿宋" w:hAnsi="仿宋" w:eastAsia="仿宋"/>
          <w:spacing w:val="6"/>
        </w:rPr>
        <w:t>（一）绩效评价目的、对象和范围</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_Toc180163172 \h</w:instrText>
      </w:r>
      <w:r>
        <w:rPr>
          <w:rFonts w:hint="eastAsia" w:ascii="仿宋" w:hAnsi="仿宋" w:eastAsia="仿宋"/>
        </w:rPr>
        <w:fldChar w:fldCharType="separate"/>
      </w:r>
      <w:r>
        <w:rPr>
          <w:rFonts w:ascii="仿宋" w:hAnsi="仿宋" w:eastAsia="仿宋"/>
        </w:rPr>
        <w:t>- 9 -</w:t>
      </w:r>
      <w:r>
        <w:rPr>
          <w:rFonts w:hint="eastAsia" w:ascii="仿宋" w:hAnsi="仿宋" w:eastAsia="仿宋"/>
        </w:rPr>
        <w:fldChar w:fldCharType="end"/>
      </w:r>
      <w:r>
        <w:rPr>
          <w:rFonts w:hint="eastAsia" w:ascii="仿宋" w:hAnsi="仿宋" w:eastAsia="仿宋"/>
        </w:rPr>
        <w:fldChar w:fldCharType="end"/>
      </w:r>
    </w:p>
    <w:p w14:paraId="18E94882">
      <w:pPr>
        <w:pStyle w:val="74"/>
        <w:spacing w:line="360" w:lineRule="auto"/>
        <w:jc w:val="right"/>
        <w:rPr>
          <w:rFonts w:ascii="仿宋" w:hAnsi="仿宋" w:eastAsia="仿宋" w:cstheme="minorBidi"/>
          <w:kern w:val="2"/>
          <w:sz w:val="22"/>
          <w:szCs w:val="24"/>
        </w:rPr>
      </w:pPr>
      <w:r>
        <w:fldChar w:fldCharType="begin"/>
      </w:r>
      <w:r>
        <w:instrText xml:space="preserve"> HYPERLINK \l "_Toc180163173" </w:instrText>
      </w:r>
      <w:r>
        <w:fldChar w:fldCharType="separate"/>
      </w:r>
      <w:r>
        <w:rPr>
          <w:rStyle w:val="93"/>
          <w:rFonts w:hint="eastAsia" w:ascii="仿宋" w:hAnsi="仿宋" w:eastAsia="仿宋"/>
          <w:spacing w:val="6"/>
        </w:rPr>
        <w:t>（二）绩效评价原则、评价指标体系（附表说明）、评价方法和标准</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_Toc180163173 \h</w:instrText>
      </w:r>
      <w:r>
        <w:rPr>
          <w:rFonts w:hint="eastAsia" w:ascii="仿宋" w:hAnsi="仿宋" w:eastAsia="仿宋"/>
        </w:rPr>
        <w:fldChar w:fldCharType="separate"/>
      </w:r>
      <w:r>
        <w:rPr>
          <w:rFonts w:ascii="仿宋" w:hAnsi="仿宋" w:eastAsia="仿宋"/>
        </w:rPr>
        <w:t>- 9 -</w:t>
      </w:r>
      <w:r>
        <w:rPr>
          <w:rFonts w:hint="eastAsia" w:ascii="仿宋" w:hAnsi="仿宋" w:eastAsia="仿宋"/>
        </w:rPr>
        <w:fldChar w:fldCharType="end"/>
      </w:r>
      <w:r>
        <w:rPr>
          <w:rFonts w:hint="eastAsia" w:ascii="仿宋" w:hAnsi="仿宋" w:eastAsia="仿宋"/>
        </w:rPr>
        <w:fldChar w:fldCharType="end"/>
      </w:r>
    </w:p>
    <w:p w14:paraId="5856A05C">
      <w:pPr>
        <w:pStyle w:val="74"/>
        <w:spacing w:line="360" w:lineRule="auto"/>
        <w:jc w:val="right"/>
        <w:rPr>
          <w:rFonts w:ascii="仿宋" w:hAnsi="仿宋" w:eastAsia="仿宋" w:cstheme="minorBidi"/>
          <w:kern w:val="2"/>
          <w:sz w:val="22"/>
          <w:szCs w:val="24"/>
        </w:rPr>
      </w:pPr>
      <w:r>
        <w:fldChar w:fldCharType="begin"/>
      </w:r>
      <w:r>
        <w:instrText xml:space="preserve"> HYPERLINK \l "_Toc180163174" </w:instrText>
      </w:r>
      <w:r>
        <w:fldChar w:fldCharType="separate"/>
      </w:r>
      <w:r>
        <w:rPr>
          <w:rStyle w:val="93"/>
          <w:rFonts w:hint="eastAsia" w:ascii="仿宋" w:hAnsi="仿宋" w:eastAsia="仿宋"/>
          <w:spacing w:val="6"/>
        </w:rPr>
        <w:t>（三）绩效评价工作过程</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_Toc180163174 \h</w:instrText>
      </w:r>
      <w:r>
        <w:rPr>
          <w:rFonts w:hint="eastAsia" w:ascii="仿宋" w:hAnsi="仿宋" w:eastAsia="仿宋"/>
        </w:rPr>
        <w:fldChar w:fldCharType="separate"/>
      </w:r>
      <w:r>
        <w:rPr>
          <w:rFonts w:ascii="仿宋" w:hAnsi="仿宋" w:eastAsia="仿宋"/>
        </w:rPr>
        <w:t>- 12 -</w:t>
      </w:r>
      <w:r>
        <w:rPr>
          <w:rFonts w:hint="eastAsia" w:ascii="仿宋" w:hAnsi="仿宋" w:eastAsia="仿宋"/>
        </w:rPr>
        <w:fldChar w:fldCharType="end"/>
      </w:r>
      <w:r>
        <w:rPr>
          <w:rFonts w:hint="eastAsia" w:ascii="仿宋" w:hAnsi="仿宋" w:eastAsia="仿宋"/>
        </w:rPr>
        <w:fldChar w:fldCharType="end"/>
      </w:r>
    </w:p>
    <w:p w14:paraId="56DB1613">
      <w:pPr>
        <w:pStyle w:val="59"/>
        <w:tabs>
          <w:tab w:val="right" w:leader="dot" w:pos="8834"/>
        </w:tabs>
        <w:spacing w:line="360" w:lineRule="auto"/>
        <w:jc w:val="right"/>
        <w:rPr>
          <w:rFonts w:ascii="仿宋" w:hAnsi="仿宋" w:eastAsia="仿宋" w:cstheme="minorBidi"/>
          <w:kern w:val="2"/>
          <w:sz w:val="22"/>
          <w:szCs w:val="24"/>
        </w:rPr>
      </w:pPr>
      <w:r>
        <w:fldChar w:fldCharType="begin"/>
      </w:r>
      <w:r>
        <w:instrText xml:space="preserve"> HYPERLINK \l "_Toc180163175" </w:instrText>
      </w:r>
      <w:r>
        <w:fldChar w:fldCharType="separate"/>
      </w:r>
      <w:r>
        <w:rPr>
          <w:rStyle w:val="93"/>
          <w:rFonts w:hint="eastAsia" w:ascii="仿宋" w:hAnsi="仿宋" w:eastAsia="仿宋" w:cs="宋体"/>
          <w:spacing w:val="6"/>
        </w:rPr>
        <w:t>三、评价结论和绩效分析</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_Toc180163175 \h</w:instrText>
      </w:r>
      <w:r>
        <w:rPr>
          <w:rFonts w:hint="eastAsia" w:ascii="仿宋" w:hAnsi="仿宋" w:eastAsia="仿宋"/>
        </w:rPr>
        <w:fldChar w:fldCharType="separate"/>
      </w:r>
      <w:r>
        <w:rPr>
          <w:rFonts w:ascii="仿宋" w:hAnsi="仿宋" w:eastAsia="仿宋"/>
        </w:rPr>
        <w:t>- 13 -</w:t>
      </w:r>
      <w:r>
        <w:rPr>
          <w:rFonts w:hint="eastAsia" w:ascii="仿宋" w:hAnsi="仿宋" w:eastAsia="仿宋"/>
        </w:rPr>
        <w:fldChar w:fldCharType="end"/>
      </w:r>
      <w:r>
        <w:rPr>
          <w:rFonts w:hint="eastAsia" w:ascii="仿宋" w:hAnsi="仿宋" w:eastAsia="仿宋"/>
        </w:rPr>
        <w:fldChar w:fldCharType="end"/>
      </w:r>
    </w:p>
    <w:p w14:paraId="3E3751DB">
      <w:pPr>
        <w:pStyle w:val="74"/>
        <w:spacing w:line="360" w:lineRule="auto"/>
        <w:jc w:val="right"/>
        <w:rPr>
          <w:rFonts w:ascii="仿宋" w:hAnsi="仿宋" w:eastAsia="仿宋" w:cstheme="minorBidi"/>
          <w:kern w:val="2"/>
          <w:sz w:val="22"/>
          <w:szCs w:val="24"/>
        </w:rPr>
      </w:pPr>
      <w:r>
        <w:fldChar w:fldCharType="begin"/>
      </w:r>
      <w:r>
        <w:instrText xml:space="preserve"> HYPERLINK \l "_Toc180163176" </w:instrText>
      </w:r>
      <w:r>
        <w:fldChar w:fldCharType="separate"/>
      </w:r>
      <w:r>
        <w:rPr>
          <w:rStyle w:val="93"/>
          <w:rFonts w:hint="eastAsia" w:ascii="仿宋" w:hAnsi="仿宋" w:eastAsia="仿宋"/>
          <w:spacing w:val="6"/>
        </w:rPr>
        <w:t>（一）绩效评价综合结论</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_Toc180163176 \h</w:instrText>
      </w:r>
      <w:r>
        <w:rPr>
          <w:rFonts w:hint="eastAsia" w:ascii="仿宋" w:hAnsi="仿宋" w:eastAsia="仿宋"/>
        </w:rPr>
        <w:fldChar w:fldCharType="separate"/>
      </w:r>
      <w:r>
        <w:rPr>
          <w:rFonts w:ascii="仿宋" w:hAnsi="仿宋" w:eastAsia="仿宋"/>
        </w:rPr>
        <w:t>- 13 -</w:t>
      </w:r>
      <w:r>
        <w:rPr>
          <w:rFonts w:hint="eastAsia" w:ascii="仿宋" w:hAnsi="仿宋" w:eastAsia="仿宋"/>
        </w:rPr>
        <w:fldChar w:fldCharType="end"/>
      </w:r>
      <w:r>
        <w:rPr>
          <w:rFonts w:hint="eastAsia" w:ascii="仿宋" w:hAnsi="仿宋" w:eastAsia="仿宋"/>
        </w:rPr>
        <w:fldChar w:fldCharType="end"/>
      </w:r>
    </w:p>
    <w:p w14:paraId="78F509BF">
      <w:pPr>
        <w:pStyle w:val="74"/>
        <w:spacing w:line="360" w:lineRule="auto"/>
        <w:jc w:val="right"/>
        <w:rPr>
          <w:rFonts w:ascii="仿宋" w:hAnsi="仿宋" w:eastAsia="仿宋" w:cstheme="minorBidi"/>
          <w:kern w:val="2"/>
          <w:sz w:val="22"/>
          <w:szCs w:val="24"/>
        </w:rPr>
      </w:pPr>
      <w:r>
        <w:fldChar w:fldCharType="begin"/>
      </w:r>
      <w:r>
        <w:instrText xml:space="preserve"> HYPERLINK \l "_Toc180163177" </w:instrText>
      </w:r>
      <w:r>
        <w:fldChar w:fldCharType="separate"/>
      </w:r>
      <w:r>
        <w:rPr>
          <w:rStyle w:val="93"/>
          <w:rFonts w:hint="eastAsia" w:ascii="仿宋" w:hAnsi="仿宋" w:eastAsia="仿宋"/>
          <w:spacing w:val="6"/>
        </w:rPr>
        <w:t>（二）绩效目标实现情况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_Toc180163177 \h</w:instrText>
      </w:r>
      <w:r>
        <w:rPr>
          <w:rFonts w:hint="eastAsia" w:ascii="仿宋" w:hAnsi="仿宋" w:eastAsia="仿宋"/>
        </w:rPr>
        <w:fldChar w:fldCharType="separate"/>
      </w:r>
      <w:r>
        <w:rPr>
          <w:rFonts w:ascii="仿宋" w:hAnsi="仿宋" w:eastAsia="仿宋"/>
        </w:rPr>
        <w:t>- 14 -</w:t>
      </w:r>
      <w:r>
        <w:rPr>
          <w:rFonts w:hint="eastAsia" w:ascii="仿宋" w:hAnsi="仿宋" w:eastAsia="仿宋"/>
        </w:rPr>
        <w:fldChar w:fldCharType="end"/>
      </w:r>
      <w:r>
        <w:rPr>
          <w:rFonts w:hint="eastAsia" w:ascii="仿宋" w:hAnsi="仿宋" w:eastAsia="仿宋"/>
        </w:rPr>
        <w:fldChar w:fldCharType="end"/>
      </w:r>
    </w:p>
    <w:p w14:paraId="46DBB032">
      <w:pPr>
        <w:pStyle w:val="59"/>
        <w:tabs>
          <w:tab w:val="right" w:leader="dot" w:pos="8834"/>
        </w:tabs>
        <w:spacing w:line="360" w:lineRule="auto"/>
        <w:jc w:val="right"/>
        <w:rPr>
          <w:rFonts w:ascii="仿宋" w:hAnsi="仿宋" w:eastAsia="仿宋" w:cstheme="minorBidi"/>
          <w:kern w:val="2"/>
          <w:sz w:val="22"/>
          <w:szCs w:val="24"/>
        </w:rPr>
      </w:pPr>
      <w:r>
        <w:fldChar w:fldCharType="begin"/>
      </w:r>
      <w:r>
        <w:instrText xml:space="preserve"> HYPERLINK \l "_Toc180163178" </w:instrText>
      </w:r>
      <w:r>
        <w:fldChar w:fldCharType="separate"/>
      </w:r>
      <w:r>
        <w:rPr>
          <w:rStyle w:val="93"/>
          <w:rFonts w:hint="eastAsia" w:ascii="仿宋" w:hAnsi="仿宋" w:eastAsia="仿宋" w:cs="宋体"/>
          <w:spacing w:val="6"/>
        </w:rPr>
        <w:t>四、绩效评价指标分析</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_Toc180163178 \h</w:instrText>
      </w:r>
      <w:r>
        <w:rPr>
          <w:rFonts w:hint="eastAsia" w:ascii="仿宋" w:hAnsi="仿宋" w:eastAsia="仿宋"/>
        </w:rPr>
        <w:fldChar w:fldCharType="separate"/>
      </w:r>
      <w:r>
        <w:rPr>
          <w:rFonts w:ascii="仿宋" w:hAnsi="仿宋" w:eastAsia="仿宋"/>
        </w:rPr>
        <w:t>- 17 -</w:t>
      </w:r>
      <w:r>
        <w:rPr>
          <w:rFonts w:hint="eastAsia" w:ascii="仿宋" w:hAnsi="仿宋" w:eastAsia="仿宋"/>
        </w:rPr>
        <w:fldChar w:fldCharType="end"/>
      </w:r>
      <w:r>
        <w:rPr>
          <w:rFonts w:hint="eastAsia" w:ascii="仿宋" w:hAnsi="仿宋" w:eastAsia="仿宋"/>
        </w:rPr>
        <w:fldChar w:fldCharType="end"/>
      </w:r>
    </w:p>
    <w:p w14:paraId="2C623EA1">
      <w:pPr>
        <w:pStyle w:val="74"/>
        <w:spacing w:line="360" w:lineRule="auto"/>
        <w:jc w:val="right"/>
        <w:rPr>
          <w:rFonts w:ascii="仿宋" w:hAnsi="仿宋" w:eastAsia="仿宋" w:cstheme="minorBidi"/>
          <w:kern w:val="2"/>
          <w:sz w:val="22"/>
          <w:szCs w:val="24"/>
        </w:rPr>
      </w:pPr>
      <w:r>
        <w:fldChar w:fldCharType="begin"/>
      </w:r>
      <w:r>
        <w:instrText xml:space="preserve"> HYPERLINK \l "_Toc180163179" </w:instrText>
      </w:r>
      <w:r>
        <w:fldChar w:fldCharType="separate"/>
      </w:r>
      <w:r>
        <w:rPr>
          <w:rStyle w:val="93"/>
          <w:rFonts w:hint="eastAsia" w:ascii="仿宋" w:hAnsi="仿宋" w:eastAsia="仿宋"/>
          <w:spacing w:val="6"/>
        </w:rPr>
        <w:t>（一）投入情况分析</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_Toc180163179 \h</w:instrText>
      </w:r>
      <w:r>
        <w:rPr>
          <w:rFonts w:hint="eastAsia" w:ascii="仿宋" w:hAnsi="仿宋" w:eastAsia="仿宋"/>
        </w:rPr>
        <w:fldChar w:fldCharType="separate"/>
      </w:r>
      <w:r>
        <w:rPr>
          <w:rFonts w:ascii="仿宋" w:hAnsi="仿宋" w:eastAsia="仿宋"/>
        </w:rPr>
        <w:t>- 17 -</w:t>
      </w:r>
      <w:r>
        <w:rPr>
          <w:rFonts w:hint="eastAsia" w:ascii="仿宋" w:hAnsi="仿宋" w:eastAsia="仿宋"/>
        </w:rPr>
        <w:fldChar w:fldCharType="end"/>
      </w:r>
      <w:r>
        <w:rPr>
          <w:rFonts w:hint="eastAsia" w:ascii="仿宋" w:hAnsi="仿宋" w:eastAsia="仿宋"/>
        </w:rPr>
        <w:fldChar w:fldCharType="end"/>
      </w:r>
    </w:p>
    <w:p w14:paraId="49707D16">
      <w:pPr>
        <w:pStyle w:val="74"/>
        <w:spacing w:line="360" w:lineRule="auto"/>
        <w:jc w:val="right"/>
        <w:rPr>
          <w:rFonts w:ascii="仿宋" w:hAnsi="仿宋" w:eastAsia="仿宋" w:cstheme="minorBidi"/>
          <w:kern w:val="2"/>
          <w:sz w:val="22"/>
          <w:szCs w:val="24"/>
        </w:rPr>
      </w:pPr>
      <w:r>
        <w:fldChar w:fldCharType="begin"/>
      </w:r>
      <w:r>
        <w:instrText xml:space="preserve"> HYPERLINK \l "_Toc180163180" </w:instrText>
      </w:r>
      <w:r>
        <w:fldChar w:fldCharType="separate"/>
      </w:r>
      <w:r>
        <w:rPr>
          <w:rStyle w:val="93"/>
          <w:rFonts w:hint="eastAsia" w:ascii="仿宋" w:hAnsi="仿宋" w:eastAsia="仿宋"/>
          <w:spacing w:val="6"/>
        </w:rPr>
        <w:t>（二）过程情况分析</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_Toc180163180 \h</w:instrText>
      </w:r>
      <w:r>
        <w:rPr>
          <w:rFonts w:hint="eastAsia" w:ascii="仿宋" w:hAnsi="仿宋" w:eastAsia="仿宋"/>
        </w:rPr>
        <w:fldChar w:fldCharType="separate"/>
      </w:r>
      <w:r>
        <w:rPr>
          <w:rFonts w:ascii="仿宋" w:hAnsi="仿宋" w:eastAsia="仿宋"/>
        </w:rPr>
        <w:t>- 22 -</w:t>
      </w:r>
      <w:r>
        <w:rPr>
          <w:rFonts w:hint="eastAsia" w:ascii="仿宋" w:hAnsi="仿宋" w:eastAsia="仿宋"/>
        </w:rPr>
        <w:fldChar w:fldCharType="end"/>
      </w:r>
      <w:r>
        <w:rPr>
          <w:rFonts w:hint="eastAsia" w:ascii="仿宋" w:hAnsi="仿宋" w:eastAsia="仿宋"/>
        </w:rPr>
        <w:fldChar w:fldCharType="end"/>
      </w:r>
    </w:p>
    <w:p w14:paraId="57246FE5">
      <w:pPr>
        <w:pStyle w:val="74"/>
        <w:spacing w:line="360" w:lineRule="auto"/>
        <w:jc w:val="right"/>
        <w:rPr>
          <w:rFonts w:ascii="仿宋" w:hAnsi="仿宋" w:eastAsia="仿宋" w:cstheme="minorBidi"/>
          <w:kern w:val="2"/>
          <w:sz w:val="22"/>
          <w:szCs w:val="24"/>
        </w:rPr>
      </w:pPr>
      <w:r>
        <w:fldChar w:fldCharType="begin"/>
      </w:r>
      <w:r>
        <w:instrText xml:space="preserve"> HYPERLINK \l "_Toc180163181" </w:instrText>
      </w:r>
      <w:r>
        <w:fldChar w:fldCharType="separate"/>
      </w:r>
      <w:r>
        <w:rPr>
          <w:rStyle w:val="93"/>
          <w:rFonts w:hint="eastAsia" w:ascii="仿宋" w:hAnsi="仿宋" w:eastAsia="仿宋"/>
          <w:spacing w:val="6"/>
        </w:rPr>
        <w:t>（三）产出情况分析</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_Toc180163181 \h</w:instrText>
      </w:r>
      <w:r>
        <w:rPr>
          <w:rFonts w:hint="eastAsia" w:ascii="仿宋" w:hAnsi="仿宋" w:eastAsia="仿宋"/>
        </w:rPr>
        <w:fldChar w:fldCharType="separate"/>
      </w:r>
      <w:r>
        <w:rPr>
          <w:rFonts w:ascii="仿宋" w:hAnsi="仿宋" w:eastAsia="仿宋"/>
        </w:rPr>
        <w:t>- 24 -</w:t>
      </w:r>
      <w:r>
        <w:rPr>
          <w:rFonts w:hint="eastAsia" w:ascii="仿宋" w:hAnsi="仿宋" w:eastAsia="仿宋"/>
        </w:rPr>
        <w:fldChar w:fldCharType="end"/>
      </w:r>
      <w:r>
        <w:rPr>
          <w:rFonts w:hint="eastAsia" w:ascii="仿宋" w:hAnsi="仿宋" w:eastAsia="仿宋"/>
        </w:rPr>
        <w:fldChar w:fldCharType="end"/>
      </w:r>
    </w:p>
    <w:p w14:paraId="273DBF6C">
      <w:pPr>
        <w:pStyle w:val="74"/>
        <w:spacing w:line="360" w:lineRule="auto"/>
        <w:jc w:val="right"/>
        <w:rPr>
          <w:rFonts w:ascii="仿宋" w:hAnsi="仿宋" w:eastAsia="仿宋" w:cstheme="minorBidi"/>
          <w:kern w:val="2"/>
          <w:sz w:val="22"/>
          <w:szCs w:val="24"/>
        </w:rPr>
      </w:pPr>
      <w:r>
        <w:fldChar w:fldCharType="begin"/>
      </w:r>
      <w:r>
        <w:instrText xml:space="preserve"> HYPERLINK \l "_Toc180163182" </w:instrText>
      </w:r>
      <w:r>
        <w:fldChar w:fldCharType="separate"/>
      </w:r>
      <w:r>
        <w:rPr>
          <w:rStyle w:val="93"/>
          <w:rFonts w:hint="eastAsia" w:ascii="仿宋" w:hAnsi="仿宋" w:eastAsia="仿宋"/>
          <w:spacing w:val="6"/>
        </w:rPr>
        <w:t>（四）效果情况分析</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_Toc180163182 \h</w:instrText>
      </w:r>
      <w:r>
        <w:rPr>
          <w:rFonts w:hint="eastAsia" w:ascii="仿宋" w:hAnsi="仿宋" w:eastAsia="仿宋"/>
        </w:rPr>
        <w:fldChar w:fldCharType="separate"/>
      </w:r>
      <w:r>
        <w:rPr>
          <w:rFonts w:ascii="仿宋" w:hAnsi="仿宋" w:eastAsia="仿宋"/>
        </w:rPr>
        <w:t>- 26 -</w:t>
      </w:r>
      <w:r>
        <w:rPr>
          <w:rFonts w:hint="eastAsia" w:ascii="仿宋" w:hAnsi="仿宋" w:eastAsia="仿宋"/>
        </w:rPr>
        <w:fldChar w:fldCharType="end"/>
      </w:r>
      <w:r>
        <w:rPr>
          <w:rFonts w:hint="eastAsia" w:ascii="仿宋" w:hAnsi="仿宋" w:eastAsia="仿宋"/>
        </w:rPr>
        <w:fldChar w:fldCharType="end"/>
      </w:r>
    </w:p>
    <w:p w14:paraId="314526EB">
      <w:pPr>
        <w:pStyle w:val="59"/>
        <w:tabs>
          <w:tab w:val="right" w:leader="dot" w:pos="8834"/>
        </w:tabs>
        <w:spacing w:line="360" w:lineRule="auto"/>
        <w:jc w:val="right"/>
        <w:rPr>
          <w:rFonts w:ascii="仿宋" w:hAnsi="仿宋" w:eastAsia="仿宋" w:cstheme="minorBidi"/>
          <w:kern w:val="2"/>
          <w:sz w:val="22"/>
          <w:szCs w:val="24"/>
        </w:rPr>
      </w:pPr>
      <w:r>
        <w:fldChar w:fldCharType="begin"/>
      </w:r>
      <w:r>
        <w:instrText xml:space="preserve"> HYPERLINK \l "_Toc180163183" </w:instrText>
      </w:r>
      <w:r>
        <w:fldChar w:fldCharType="separate"/>
      </w:r>
      <w:r>
        <w:rPr>
          <w:rStyle w:val="93"/>
          <w:rFonts w:hint="eastAsia" w:ascii="仿宋" w:hAnsi="仿宋" w:eastAsia="仿宋" w:cs="宋体"/>
          <w:spacing w:val="6"/>
        </w:rPr>
        <w:t>五、存在的主要问题</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_Toc180163183 \h</w:instrText>
      </w:r>
      <w:r>
        <w:rPr>
          <w:rFonts w:hint="eastAsia" w:ascii="仿宋" w:hAnsi="仿宋" w:eastAsia="仿宋"/>
        </w:rPr>
        <w:fldChar w:fldCharType="separate"/>
      </w:r>
      <w:r>
        <w:rPr>
          <w:rFonts w:ascii="仿宋" w:hAnsi="仿宋" w:eastAsia="仿宋"/>
        </w:rPr>
        <w:t>- 28 -</w:t>
      </w:r>
      <w:r>
        <w:rPr>
          <w:rFonts w:hint="eastAsia" w:ascii="仿宋" w:hAnsi="仿宋" w:eastAsia="仿宋"/>
        </w:rPr>
        <w:fldChar w:fldCharType="end"/>
      </w:r>
      <w:r>
        <w:rPr>
          <w:rFonts w:hint="eastAsia" w:ascii="仿宋" w:hAnsi="仿宋" w:eastAsia="仿宋"/>
        </w:rPr>
        <w:fldChar w:fldCharType="end"/>
      </w:r>
    </w:p>
    <w:p w14:paraId="25A0C78D">
      <w:pPr>
        <w:pStyle w:val="74"/>
        <w:spacing w:line="360" w:lineRule="auto"/>
        <w:jc w:val="right"/>
        <w:rPr>
          <w:rFonts w:ascii="仿宋" w:hAnsi="仿宋" w:eastAsia="仿宋" w:cstheme="minorBidi"/>
          <w:kern w:val="2"/>
          <w:sz w:val="22"/>
          <w:szCs w:val="24"/>
        </w:rPr>
      </w:pPr>
      <w:r>
        <w:fldChar w:fldCharType="begin"/>
      </w:r>
      <w:r>
        <w:instrText xml:space="preserve"> HYPERLINK \l "_Toc180163184" </w:instrText>
      </w:r>
      <w:r>
        <w:fldChar w:fldCharType="separate"/>
      </w:r>
      <w:r>
        <w:rPr>
          <w:rStyle w:val="93"/>
          <w:rFonts w:hint="eastAsia" w:ascii="仿宋" w:hAnsi="仿宋" w:eastAsia="仿宋"/>
          <w:spacing w:val="6"/>
        </w:rPr>
        <w:t>（一）预算管理存在的问题</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_Toc180163184 \h</w:instrText>
      </w:r>
      <w:r>
        <w:rPr>
          <w:rFonts w:hint="eastAsia" w:ascii="仿宋" w:hAnsi="仿宋" w:eastAsia="仿宋"/>
        </w:rPr>
        <w:fldChar w:fldCharType="separate"/>
      </w:r>
      <w:r>
        <w:rPr>
          <w:rFonts w:ascii="仿宋" w:hAnsi="仿宋" w:eastAsia="仿宋"/>
        </w:rPr>
        <w:t>- 29 -</w:t>
      </w:r>
      <w:r>
        <w:rPr>
          <w:rFonts w:hint="eastAsia" w:ascii="仿宋" w:hAnsi="仿宋" w:eastAsia="仿宋"/>
        </w:rPr>
        <w:fldChar w:fldCharType="end"/>
      </w:r>
      <w:r>
        <w:rPr>
          <w:rFonts w:hint="eastAsia" w:ascii="仿宋" w:hAnsi="仿宋" w:eastAsia="仿宋"/>
        </w:rPr>
        <w:fldChar w:fldCharType="end"/>
      </w:r>
    </w:p>
    <w:p w14:paraId="12398E52">
      <w:pPr>
        <w:pStyle w:val="74"/>
        <w:spacing w:line="360" w:lineRule="auto"/>
        <w:jc w:val="right"/>
        <w:rPr>
          <w:rFonts w:ascii="仿宋" w:hAnsi="仿宋" w:eastAsia="仿宋" w:cstheme="minorBidi"/>
          <w:kern w:val="2"/>
          <w:sz w:val="22"/>
          <w:szCs w:val="24"/>
        </w:rPr>
      </w:pPr>
      <w:r>
        <w:fldChar w:fldCharType="begin"/>
      </w:r>
      <w:r>
        <w:instrText xml:space="preserve"> HYPERLINK \l "_Toc180163185" </w:instrText>
      </w:r>
      <w:r>
        <w:fldChar w:fldCharType="separate"/>
      </w:r>
      <w:r>
        <w:rPr>
          <w:rStyle w:val="93"/>
          <w:rFonts w:hint="eastAsia" w:ascii="仿宋" w:hAnsi="仿宋" w:eastAsia="仿宋"/>
          <w:spacing w:val="6"/>
        </w:rPr>
        <w:t>（二）资金及资产管理方面存在的问题</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_Toc180163185 \h</w:instrText>
      </w:r>
      <w:r>
        <w:rPr>
          <w:rFonts w:hint="eastAsia" w:ascii="仿宋" w:hAnsi="仿宋" w:eastAsia="仿宋"/>
        </w:rPr>
        <w:fldChar w:fldCharType="separate"/>
      </w:r>
      <w:r>
        <w:rPr>
          <w:rFonts w:ascii="仿宋" w:hAnsi="仿宋" w:eastAsia="仿宋"/>
        </w:rPr>
        <w:t>- 29 -</w:t>
      </w:r>
      <w:r>
        <w:rPr>
          <w:rFonts w:hint="eastAsia" w:ascii="仿宋" w:hAnsi="仿宋" w:eastAsia="仿宋"/>
        </w:rPr>
        <w:fldChar w:fldCharType="end"/>
      </w:r>
      <w:r>
        <w:rPr>
          <w:rFonts w:hint="eastAsia" w:ascii="仿宋" w:hAnsi="仿宋" w:eastAsia="仿宋"/>
        </w:rPr>
        <w:fldChar w:fldCharType="end"/>
      </w:r>
    </w:p>
    <w:p w14:paraId="47F441F7">
      <w:pPr>
        <w:pStyle w:val="74"/>
        <w:spacing w:line="360" w:lineRule="auto"/>
        <w:jc w:val="right"/>
        <w:rPr>
          <w:rFonts w:ascii="仿宋" w:hAnsi="仿宋" w:eastAsia="仿宋" w:cstheme="minorBidi"/>
          <w:kern w:val="2"/>
          <w:sz w:val="22"/>
          <w:szCs w:val="24"/>
        </w:rPr>
      </w:pPr>
      <w:r>
        <w:fldChar w:fldCharType="begin"/>
      </w:r>
      <w:r>
        <w:instrText xml:space="preserve"> HYPERLINK \l "_Toc180163186" </w:instrText>
      </w:r>
      <w:r>
        <w:fldChar w:fldCharType="separate"/>
      </w:r>
      <w:r>
        <w:rPr>
          <w:rStyle w:val="93"/>
          <w:rFonts w:hint="eastAsia" w:ascii="仿宋" w:hAnsi="仿宋" w:eastAsia="仿宋"/>
          <w:spacing w:val="6"/>
        </w:rPr>
        <w:t>（三）教学管理存在的问题</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_Toc180163186 \h</w:instrText>
      </w:r>
      <w:r>
        <w:rPr>
          <w:rFonts w:hint="eastAsia" w:ascii="仿宋" w:hAnsi="仿宋" w:eastAsia="仿宋"/>
        </w:rPr>
        <w:fldChar w:fldCharType="separate"/>
      </w:r>
      <w:r>
        <w:rPr>
          <w:rFonts w:ascii="仿宋" w:hAnsi="仿宋" w:eastAsia="仿宋"/>
        </w:rPr>
        <w:t>- 30 -</w:t>
      </w:r>
      <w:r>
        <w:rPr>
          <w:rFonts w:hint="eastAsia" w:ascii="仿宋" w:hAnsi="仿宋" w:eastAsia="仿宋"/>
        </w:rPr>
        <w:fldChar w:fldCharType="end"/>
      </w:r>
      <w:r>
        <w:rPr>
          <w:rFonts w:hint="eastAsia" w:ascii="仿宋" w:hAnsi="仿宋" w:eastAsia="仿宋"/>
        </w:rPr>
        <w:fldChar w:fldCharType="end"/>
      </w:r>
    </w:p>
    <w:p w14:paraId="0A176F64">
      <w:pPr>
        <w:pStyle w:val="59"/>
        <w:tabs>
          <w:tab w:val="right" w:leader="dot" w:pos="8834"/>
        </w:tabs>
        <w:spacing w:line="360" w:lineRule="auto"/>
        <w:jc w:val="right"/>
        <w:rPr>
          <w:rFonts w:ascii="仿宋" w:hAnsi="仿宋" w:eastAsia="仿宋" w:cstheme="minorBidi"/>
          <w:kern w:val="2"/>
          <w:sz w:val="22"/>
          <w:szCs w:val="24"/>
        </w:rPr>
      </w:pPr>
      <w:r>
        <w:fldChar w:fldCharType="begin"/>
      </w:r>
      <w:r>
        <w:instrText xml:space="preserve"> HYPERLINK \l "_Toc180163187" </w:instrText>
      </w:r>
      <w:r>
        <w:fldChar w:fldCharType="separate"/>
      </w:r>
      <w:r>
        <w:rPr>
          <w:rStyle w:val="93"/>
          <w:rFonts w:hint="eastAsia" w:ascii="仿宋" w:hAnsi="仿宋" w:eastAsia="仿宋" w:cs="宋体"/>
          <w:spacing w:val="6"/>
        </w:rPr>
        <w:t>六、建议</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_Toc180163187 \h</w:instrText>
      </w:r>
      <w:r>
        <w:rPr>
          <w:rFonts w:hint="eastAsia" w:ascii="仿宋" w:hAnsi="仿宋" w:eastAsia="仿宋"/>
        </w:rPr>
        <w:fldChar w:fldCharType="separate"/>
      </w:r>
      <w:r>
        <w:rPr>
          <w:rFonts w:ascii="仿宋" w:hAnsi="仿宋" w:eastAsia="仿宋"/>
        </w:rPr>
        <w:t>- 30 -</w:t>
      </w:r>
      <w:r>
        <w:rPr>
          <w:rFonts w:hint="eastAsia" w:ascii="仿宋" w:hAnsi="仿宋" w:eastAsia="仿宋"/>
        </w:rPr>
        <w:fldChar w:fldCharType="end"/>
      </w:r>
      <w:r>
        <w:rPr>
          <w:rFonts w:hint="eastAsia" w:ascii="仿宋" w:hAnsi="仿宋" w:eastAsia="仿宋"/>
        </w:rPr>
        <w:fldChar w:fldCharType="end"/>
      </w:r>
    </w:p>
    <w:p w14:paraId="30C9C401">
      <w:pPr>
        <w:pStyle w:val="74"/>
        <w:spacing w:line="360" w:lineRule="auto"/>
        <w:jc w:val="right"/>
        <w:rPr>
          <w:rFonts w:ascii="仿宋" w:hAnsi="仿宋" w:eastAsia="仿宋" w:cstheme="minorBidi"/>
          <w:kern w:val="2"/>
          <w:sz w:val="22"/>
          <w:szCs w:val="24"/>
        </w:rPr>
      </w:pPr>
      <w:r>
        <w:fldChar w:fldCharType="begin"/>
      </w:r>
      <w:r>
        <w:instrText xml:space="preserve"> HYPERLINK \l "_Toc180163188" </w:instrText>
      </w:r>
      <w:r>
        <w:fldChar w:fldCharType="separate"/>
      </w:r>
      <w:r>
        <w:rPr>
          <w:rStyle w:val="93"/>
          <w:rFonts w:hint="eastAsia" w:ascii="仿宋" w:hAnsi="仿宋" w:eastAsia="仿宋"/>
          <w:spacing w:val="6"/>
        </w:rPr>
        <w:t>（一）加强预算管理、提高预算执行率</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_Toc180163188 \h</w:instrText>
      </w:r>
      <w:r>
        <w:rPr>
          <w:rFonts w:hint="eastAsia" w:ascii="仿宋" w:hAnsi="仿宋" w:eastAsia="仿宋"/>
        </w:rPr>
        <w:fldChar w:fldCharType="separate"/>
      </w:r>
      <w:r>
        <w:rPr>
          <w:rFonts w:ascii="仿宋" w:hAnsi="仿宋" w:eastAsia="仿宋"/>
        </w:rPr>
        <w:t>- 30 -</w:t>
      </w:r>
      <w:r>
        <w:rPr>
          <w:rFonts w:hint="eastAsia" w:ascii="仿宋" w:hAnsi="仿宋" w:eastAsia="仿宋"/>
        </w:rPr>
        <w:fldChar w:fldCharType="end"/>
      </w:r>
      <w:r>
        <w:rPr>
          <w:rFonts w:hint="eastAsia" w:ascii="仿宋" w:hAnsi="仿宋" w:eastAsia="仿宋"/>
        </w:rPr>
        <w:fldChar w:fldCharType="end"/>
      </w:r>
    </w:p>
    <w:p w14:paraId="75502C10">
      <w:pPr>
        <w:pStyle w:val="74"/>
        <w:spacing w:line="360" w:lineRule="auto"/>
        <w:jc w:val="right"/>
        <w:rPr>
          <w:rFonts w:ascii="仿宋" w:hAnsi="仿宋" w:eastAsia="仿宋" w:cstheme="minorBidi"/>
          <w:kern w:val="2"/>
          <w:sz w:val="22"/>
          <w:szCs w:val="24"/>
        </w:rPr>
      </w:pPr>
      <w:r>
        <w:fldChar w:fldCharType="begin"/>
      </w:r>
      <w:r>
        <w:instrText xml:space="preserve"> HYPERLINK \l "_Toc180163189" </w:instrText>
      </w:r>
      <w:r>
        <w:fldChar w:fldCharType="separate"/>
      </w:r>
      <w:r>
        <w:rPr>
          <w:rStyle w:val="93"/>
          <w:rFonts w:hint="eastAsia" w:ascii="仿宋" w:hAnsi="仿宋" w:eastAsia="仿宋"/>
          <w:spacing w:val="6"/>
        </w:rPr>
        <w:t>（二）建立健全财务内控制度，提高资金及资产管理水平</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_Toc180163189 \h</w:instrText>
      </w:r>
      <w:r>
        <w:rPr>
          <w:rFonts w:hint="eastAsia" w:ascii="仿宋" w:hAnsi="仿宋" w:eastAsia="仿宋"/>
        </w:rPr>
        <w:fldChar w:fldCharType="separate"/>
      </w:r>
      <w:r>
        <w:rPr>
          <w:rFonts w:ascii="仿宋" w:hAnsi="仿宋" w:eastAsia="仿宋"/>
        </w:rPr>
        <w:t>- 31 -</w:t>
      </w:r>
      <w:r>
        <w:rPr>
          <w:rFonts w:hint="eastAsia" w:ascii="仿宋" w:hAnsi="仿宋" w:eastAsia="仿宋"/>
        </w:rPr>
        <w:fldChar w:fldCharType="end"/>
      </w:r>
      <w:r>
        <w:rPr>
          <w:rFonts w:hint="eastAsia" w:ascii="仿宋" w:hAnsi="仿宋" w:eastAsia="仿宋"/>
        </w:rPr>
        <w:fldChar w:fldCharType="end"/>
      </w:r>
    </w:p>
    <w:p w14:paraId="6F84777C">
      <w:pPr>
        <w:pStyle w:val="74"/>
        <w:spacing w:line="360" w:lineRule="auto"/>
        <w:jc w:val="right"/>
        <w:rPr>
          <w:rFonts w:ascii="仿宋" w:hAnsi="仿宋" w:eastAsia="仿宋" w:cstheme="minorBidi"/>
          <w:kern w:val="2"/>
          <w:sz w:val="22"/>
          <w:szCs w:val="24"/>
        </w:rPr>
      </w:pPr>
      <w:r>
        <w:fldChar w:fldCharType="begin"/>
      </w:r>
      <w:r>
        <w:instrText xml:space="preserve"> HYPERLINK \l "_Toc180163190" </w:instrText>
      </w:r>
      <w:r>
        <w:fldChar w:fldCharType="separate"/>
      </w:r>
      <w:r>
        <w:rPr>
          <w:rStyle w:val="93"/>
          <w:rFonts w:hint="eastAsia" w:ascii="仿宋" w:hAnsi="仿宋" w:eastAsia="仿宋"/>
          <w:spacing w:val="6"/>
        </w:rPr>
        <w:t>（三）以昆一中委托管理为契机，实施名师工程，打造富民一中特色品牌</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_Toc180163190 \h</w:instrText>
      </w:r>
      <w:r>
        <w:rPr>
          <w:rFonts w:hint="eastAsia" w:ascii="仿宋" w:hAnsi="仿宋" w:eastAsia="仿宋"/>
        </w:rPr>
        <w:fldChar w:fldCharType="separate"/>
      </w:r>
      <w:r>
        <w:rPr>
          <w:rFonts w:ascii="仿宋" w:hAnsi="仿宋" w:eastAsia="仿宋"/>
        </w:rPr>
        <w:t>- 31 -</w:t>
      </w:r>
      <w:r>
        <w:rPr>
          <w:rFonts w:hint="eastAsia" w:ascii="仿宋" w:hAnsi="仿宋" w:eastAsia="仿宋"/>
        </w:rPr>
        <w:fldChar w:fldCharType="end"/>
      </w:r>
      <w:r>
        <w:rPr>
          <w:rFonts w:hint="eastAsia" w:ascii="仿宋" w:hAnsi="仿宋" w:eastAsia="仿宋"/>
        </w:rPr>
        <w:fldChar w:fldCharType="end"/>
      </w:r>
    </w:p>
    <w:p w14:paraId="76FFA1D6">
      <w:pPr>
        <w:pStyle w:val="59"/>
        <w:tabs>
          <w:tab w:val="right" w:leader="dot" w:pos="8834"/>
        </w:tabs>
        <w:spacing w:line="360" w:lineRule="auto"/>
        <w:jc w:val="right"/>
        <w:rPr>
          <w:rFonts w:ascii="仿宋" w:hAnsi="仿宋" w:eastAsia="仿宋" w:cstheme="minorBidi"/>
          <w:kern w:val="2"/>
          <w:sz w:val="22"/>
          <w:szCs w:val="24"/>
        </w:rPr>
      </w:pPr>
      <w:r>
        <w:fldChar w:fldCharType="begin"/>
      </w:r>
      <w:r>
        <w:instrText xml:space="preserve"> HYPERLINK \l "_Toc180163191" </w:instrText>
      </w:r>
      <w:r>
        <w:fldChar w:fldCharType="separate"/>
      </w:r>
      <w:r>
        <w:rPr>
          <w:rStyle w:val="93"/>
          <w:rFonts w:hint="eastAsia" w:ascii="仿宋" w:hAnsi="仿宋" w:eastAsia="仿宋" w:cs="宋体"/>
          <w:spacing w:val="6"/>
        </w:rPr>
        <w:t>七、其他需要说明的情况</w:t>
      </w:r>
      <w:r>
        <w:rPr>
          <w:rFonts w:hint="eastAsia" w:ascii="仿宋" w:hAnsi="仿宋" w:eastAsia="仿宋"/>
        </w:rPr>
        <w:tab/>
      </w:r>
      <w:r>
        <w:rPr>
          <w:rFonts w:hint="eastAsia" w:ascii="仿宋" w:hAnsi="仿宋" w:eastAsia="仿宋"/>
        </w:rPr>
        <w:fldChar w:fldCharType="begin"/>
      </w:r>
      <w:r>
        <w:rPr>
          <w:rFonts w:ascii="仿宋" w:hAnsi="仿宋" w:eastAsia="仿宋"/>
        </w:rPr>
        <w:instrText xml:space="preserve">PAGEREF _Toc180163191 \h</w:instrText>
      </w:r>
      <w:r>
        <w:rPr>
          <w:rFonts w:hint="eastAsia" w:ascii="仿宋" w:hAnsi="仿宋" w:eastAsia="仿宋"/>
        </w:rPr>
        <w:fldChar w:fldCharType="separate"/>
      </w:r>
      <w:r>
        <w:rPr>
          <w:rFonts w:ascii="仿宋" w:hAnsi="仿宋" w:eastAsia="仿宋"/>
        </w:rPr>
        <w:t>- 32 -</w:t>
      </w:r>
      <w:r>
        <w:rPr>
          <w:rFonts w:hint="eastAsia" w:ascii="仿宋" w:hAnsi="仿宋" w:eastAsia="仿宋"/>
        </w:rPr>
        <w:fldChar w:fldCharType="end"/>
      </w:r>
      <w:r>
        <w:rPr>
          <w:rFonts w:hint="eastAsia" w:ascii="仿宋" w:hAnsi="仿宋" w:eastAsia="仿宋"/>
        </w:rPr>
        <w:fldChar w:fldCharType="end"/>
      </w:r>
    </w:p>
    <w:p w14:paraId="7ABE3963">
      <w:pPr>
        <w:pStyle w:val="59"/>
        <w:tabs>
          <w:tab w:val="right" w:leader="dot" w:pos="8844"/>
        </w:tabs>
        <w:spacing w:line="360" w:lineRule="auto"/>
        <w:jc w:val="right"/>
        <w:rPr>
          <w:rFonts w:ascii="宋体" w:hAnsi="宋体"/>
          <w:szCs w:val="21"/>
        </w:rPr>
        <w:sectPr>
          <w:pgSz w:w="11906" w:h="16838"/>
          <w:pgMar w:top="1361" w:right="1531" w:bottom="1361" w:left="1531" w:header="851" w:footer="992" w:gutter="0"/>
          <w:pgNumType w:start="1"/>
          <w:cols w:space="720" w:num="1"/>
          <w:docGrid w:type="linesAndChars" w:linePitch="304" w:charSpace="0"/>
        </w:sectPr>
      </w:pPr>
      <w:r>
        <w:rPr>
          <w:rFonts w:ascii="仿宋" w:hAnsi="仿宋" w:eastAsia="仿宋"/>
          <w:sz w:val="24"/>
          <w:szCs w:val="24"/>
        </w:rPr>
        <w:fldChar w:fldCharType="end"/>
      </w:r>
    </w:p>
    <w:bookmarkEnd w:id="0"/>
    <w:p w14:paraId="78314AF9">
      <w:pPr>
        <w:pStyle w:val="145"/>
      </w:pPr>
    </w:p>
    <w:p w14:paraId="49E429F6">
      <w:pPr>
        <w:spacing w:line="579" w:lineRule="exact"/>
        <w:jc w:val="center"/>
        <w:rPr>
          <w:rFonts w:ascii="Arial Narrow" w:hAnsi="Arial Narrow" w:eastAsia="方正小标宋简体" w:cs="Arial Narrow"/>
          <w:color w:val="000000" w:themeColor="text1"/>
          <w:kern w:val="30"/>
          <w:sz w:val="44"/>
          <w:szCs w:val="44"/>
        </w:rPr>
      </w:pPr>
      <w:bookmarkStart w:id="1" w:name="_Toc11000"/>
      <w:bookmarkStart w:id="2" w:name="_Toc23594"/>
      <w:bookmarkStart w:id="3" w:name="_Toc31501"/>
      <w:r>
        <w:rPr>
          <w:rFonts w:hint="eastAsia" w:ascii="Arial Narrow" w:hAnsi="Arial Narrow" w:eastAsia="方正小标宋简体" w:cs="Arial Narrow"/>
          <w:color w:val="000000" w:themeColor="text1"/>
          <w:kern w:val="30"/>
          <w:sz w:val="44"/>
          <w:szCs w:val="44"/>
        </w:rPr>
        <w:t>昆明市第一中学富民学校（富民县第一中学）</w:t>
      </w:r>
      <w:r>
        <w:rPr>
          <w:rFonts w:ascii="Arial Narrow" w:hAnsi="Arial Narrow" w:eastAsia="方正小标宋简体" w:cs="Arial Narrow"/>
          <w:color w:val="000000" w:themeColor="text1"/>
          <w:kern w:val="30"/>
          <w:sz w:val="44"/>
          <w:szCs w:val="44"/>
        </w:rPr>
        <w:t>2023年</w:t>
      </w:r>
      <w:bookmarkEnd w:id="1"/>
      <w:bookmarkEnd w:id="2"/>
      <w:bookmarkEnd w:id="3"/>
      <w:bookmarkStart w:id="4" w:name="_Toc21549"/>
      <w:bookmarkStart w:id="5" w:name="_Toc12068"/>
      <w:bookmarkStart w:id="6" w:name="_Toc27110"/>
      <w:r>
        <w:rPr>
          <w:rFonts w:ascii="Arial Narrow" w:hAnsi="Arial Narrow" w:eastAsia="方正小标宋简体" w:cs="Arial Narrow"/>
          <w:color w:val="000000" w:themeColor="text1"/>
          <w:kern w:val="30"/>
          <w:sz w:val="44"/>
          <w:szCs w:val="44"/>
        </w:rPr>
        <w:t>部门整体</w:t>
      </w:r>
      <w:r>
        <w:rPr>
          <w:rFonts w:hint="eastAsia" w:ascii="Arial Narrow" w:hAnsi="Arial Narrow" w:eastAsia="方正小标宋简体" w:cs="Arial Narrow"/>
          <w:color w:val="000000" w:themeColor="text1"/>
          <w:kern w:val="30"/>
          <w:sz w:val="44"/>
          <w:szCs w:val="44"/>
        </w:rPr>
        <w:t>支出</w:t>
      </w:r>
      <w:r>
        <w:rPr>
          <w:rFonts w:ascii="Arial Narrow" w:hAnsi="Arial Narrow" w:eastAsia="方正小标宋简体" w:cs="Arial Narrow"/>
          <w:color w:val="000000" w:themeColor="text1"/>
          <w:kern w:val="30"/>
          <w:sz w:val="44"/>
          <w:szCs w:val="44"/>
        </w:rPr>
        <w:t>绩效评价报告</w:t>
      </w:r>
      <w:bookmarkEnd w:id="4"/>
      <w:bookmarkEnd w:id="5"/>
      <w:bookmarkEnd w:id="6"/>
    </w:p>
    <w:p w14:paraId="52EE85FD">
      <w:pPr>
        <w:spacing w:line="600" w:lineRule="exact"/>
        <w:rPr>
          <w:rFonts w:ascii="Arial Narrow" w:hAnsi="Arial Narrow" w:eastAsia="仿宋_GB2312" w:cs="Arial Narrow"/>
          <w:color w:val="000000"/>
          <w:sz w:val="32"/>
          <w:szCs w:val="32"/>
        </w:rPr>
      </w:pPr>
    </w:p>
    <w:p w14:paraId="361AA373">
      <w:pPr>
        <w:spacing w:line="590" w:lineRule="exact"/>
        <w:ind w:firstLine="624" w:firstLineChars="200"/>
        <w:outlineLvl w:val="0"/>
        <w:rPr>
          <w:rFonts w:ascii="黑体" w:hAnsi="黑体" w:eastAsia="黑体" w:cs="宋体"/>
          <w:spacing w:val="6"/>
          <w:kern w:val="0"/>
          <w:sz w:val="30"/>
          <w:szCs w:val="30"/>
        </w:rPr>
      </w:pPr>
      <w:bookmarkStart w:id="7" w:name="_Toc46659215"/>
      <w:bookmarkStart w:id="8" w:name="_Toc6158"/>
      <w:bookmarkStart w:id="9" w:name="_Toc173402303"/>
      <w:bookmarkStart w:id="10" w:name="_Toc180163166"/>
      <w:bookmarkStart w:id="11" w:name="_Toc173402195"/>
      <w:r>
        <w:rPr>
          <w:rFonts w:ascii="黑体" w:hAnsi="黑体" w:eastAsia="黑体" w:cs="宋体"/>
          <w:spacing w:val="6"/>
          <w:kern w:val="0"/>
          <w:sz w:val="30"/>
          <w:szCs w:val="30"/>
        </w:rPr>
        <w:t>一、基本情况</w:t>
      </w:r>
      <w:bookmarkEnd w:id="7"/>
      <w:bookmarkEnd w:id="8"/>
      <w:bookmarkEnd w:id="9"/>
      <w:bookmarkEnd w:id="10"/>
      <w:bookmarkEnd w:id="11"/>
    </w:p>
    <w:p w14:paraId="00585E3A">
      <w:pPr>
        <w:spacing w:line="590" w:lineRule="exact"/>
        <w:ind w:firstLine="624" w:firstLineChars="200"/>
        <w:outlineLvl w:val="1"/>
        <w:rPr>
          <w:rFonts w:ascii="楷体_GB2312" w:hAnsi="Times New Roman" w:eastAsia="楷体_GB2312" w:cs="Times New Roman"/>
          <w:spacing w:val="6"/>
          <w:kern w:val="0"/>
          <w:sz w:val="30"/>
          <w:szCs w:val="30"/>
        </w:rPr>
      </w:pPr>
      <w:bookmarkStart w:id="12" w:name="_Toc46659216"/>
      <w:bookmarkStart w:id="13" w:name="_Toc13469"/>
      <w:bookmarkStart w:id="14" w:name="_Toc173402196"/>
      <w:bookmarkStart w:id="15" w:name="_Toc180163167"/>
      <w:bookmarkStart w:id="16" w:name="_Toc173402304"/>
      <w:r>
        <w:rPr>
          <w:rFonts w:ascii="楷体_GB2312" w:hAnsi="Times New Roman" w:eastAsia="楷体_GB2312" w:cs="Times New Roman"/>
          <w:spacing w:val="6"/>
          <w:kern w:val="0"/>
          <w:sz w:val="30"/>
          <w:szCs w:val="30"/>
        </w:rPr>
        <w:t>（一）</w:t>
      </w:r>
      <w:bookmarkEnd w:id="12"/>
      <w:bookmarkEnd w:id="13"/>
      <w:r>
        <w:rPr>
          <w:rFonts w:ascii="楷体_GB2312" w:hAnsi="Times New Roman" w:eastAsia="楷体_GB2312" w:cs="Times New Roman"/>
          <w:spacing w:val="6"/>
          <w:kern w:val="0"/>
          <w:sz w:val="30"/>
          <w:szCs w:val="30"/>
        </w:rPr>
        <w:t>部门概况</w:t>
      </w:r>
      <w:bookmarkEnd w:id="14"/>
      <w:bookmarkEnd w:id="15"/>
      <w:bookmarkEnd w:id="16"/>
    </w:p>
    <w:p w14:paraId="16B06DEA">
      <w:pPr>
        <w:spacing w:line="579" w:lineRule="exact"/>
        <w:ind w:firstLine="600" w:firstLineChars="200"/>
        <w:rPr>
          <w:rFonts w:ascii="仿宋_GB2312" w:hAnsi="仿宋" w:eastAsia="仿宋_GB2312" w:cs="Times New Roman"/>
          <w:b/>
          <w:bCs/>
          <w:kern w:val="30"/>
          <w:sz w:val="30"/>
          <w:szCs w:val="30"/>
        </w:rPr>
      </w:pPr>
      <w:bookmarkStart w:id="17" w:name="_Toc6643"/>
      <w:bookmarkStart w:id="18" w:name="_Toc14274"/>
      <w:bookmarkStart w:id="19" w:name="_Toc48549809"/>
      <w:bookmarkStart w:id="20" w:name="_Toc8845"/>
      <w:r>
        <w:rPr>
          <w:rFonts w:ascii="仿宋_GB2312" w:hAnsi="仿宋" w:eastAsia="仿宋_GB2312" w:cs="Times New Roman"/>
          <w:b/>
          <w:bCs/>
          <w:kern w:val="30"/>
          <w:sz w:val="30"/>
          <w:szCs w:val="30"/>
        </w:rPr>
        <w:t>1.</w:t>
      </w:r>
      <w:bookmarkEnd w:id="17"/>
      <w:bookmarkEnd w:id="18"/>
      <w:bookmarkEnd w:id="19"/>
      <w:bookmarkEnd w:id="20"/>
      <w:r>
        <w:rPr>
          <w:rFonts w:ascii="仿宋_GB2312" w:hAnsi="仿宋" w:eastAsia="仿宋_GB2312" w:cs="Times New Roman"/>
          <w:b/>
          <w:bCs/>
          <w:kern w:val="30"/>
          <w:sz w:val="30"/>
          <w:szCs w:val="30"/>
        </w:rPr>
        <w:t>部门职责</w:t>
      </w:r>
      <w:bookmarkStart w:id="21" w:name="_Toc17062"/>
      <w:bookmarkStart w:id="22" w:name="_Toc9631"/>
      <w:bookmarkStart w:id="23" w:name="_Toc22872"/>
      <w:bookmarkStart w:id="24" w:name="_Toc48549810"/>
    </w:p>
    <w:p w14:paraId="4D303DB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根据《中共富民县委机构编制委员会关于同意教育体育系统 2023 年事业单位编制测算和调配情况的批复》（富编〔</w:t>
      </w:r>
      <w:r>
        <w:rPr>
          <w:rFonts w:ascii="仿宋_GB2312" w:hAnsi="仿宋" w:eastAsia="仿宋_GB2312" w:cs="Times New Roman"/>
          <w:kern w:val="30"/>
          <w:sz w:val="30"/>
          <w:szCs w:val="30"/>
        </w:rPr>
        <w:t>2023</w:t>
      </w:r>
      <w:r>
        <w:rPr>
          <w:rFonts w:hint="eastAsia" w:ascii="仿宋_GB2312" w:hAnsi="仿宋" w:eastAsia="仿宋_GB2312" w:cs="Times New Roman"/>
          <w:kern w:val="30"/>
          <w:sz w:val="30"/>
          <w:szCs w:val="30"/>
        </w:rPr>
        <w:t>〕</w:t>
      </w:r>
      <w:r>
        <w:rPr>
          <w:rFonts w:ascii="仿宋_GB2312" w:hAnsi="仿宋" w:eastAsia="仿宋_GB2312" w:cs="Times New Roman"/>
          <w:kern w:val="30"/>
          <w:sz w:val="30"/>
          <w:szCs w:val="30"/>
        </w:rPr>
        <w:t xml:space="preserve">43 </w:t>
      </w:r>
      <w:r>
        <w:rPr>
          <w:rFonts w:hint="eastAsia" w:ascii="仿宋_GB2312" w:hAnsi="仿宋" w:eastAsia="仿宋_GB2312" w:cs="Times New Roman"/>
          <w:kern w:val="30"/>
          <w:sz w:val="30"/>
          <w:szCs w:val="30"/>
        </w:rPr>
        <w:t>号）、富民县人民政府与昆明市第一中学签订的《富民一中委托管理协议书》，富民县第一中学为富民县教体局所属事业单位，自</w:t>
      </w:r>
      <w:r>
        <w:rPr>
          <w:rFonts w:ascii="仿宋_GB2312" w:hAnsi="仿宋" w:eastAsia="仿宋_GB2312" w:cs="Times New Roman"/>
          <w:kern w:val="30"/>
          <w:sz w:val="30"/>
          <w:szCs w:val="30"/>
        </w:rPr>
        <w:t>2020年</w:t>
      </w:r>
      <w:r>
        <w:rPr>
          <w:rFonts w:hint="eastAsia" w:ascii="仿宋_GB2312" w:hAnsi="仿宋" w:eastAsia="仿宋_GB2312" w:cs="Times New Roman"/>
          <w:kern w:val="30"/>
          <w:sz w:val="30"/>
          <w:szCs w:val="30"/>
        </w:rPr>
        <w:t>9</w:t>
      </w:r>
      <w:r>
        <w:rPr>
          <w:rFonts w:ascii="仿宋_GB2312" w:hAnsi="仿宋" w:eastAsia="仿宋_GB2312" w:cs="Times New Roman"/>
          <w:kern w:val="30"/>
          <w:sz w:val="30"/>
          <w:szCs w:val="30"/>
        </w:rPr>
        <w:t>月至</w:t>
      </w:r>
      <w:r>
        <w:rPr>
          <w:rFonts w:hint="eastAsia" w:ascii="仿宋_GB2312" w:hAnsi="仿宋" w:eastAsia="仿宋_GB2312" w:cs="Times New Roman"/>
          <w:kern w:val="30"/>
          <w:sz w:val="30"/>
          <w:szCs w:val="30"/>
        </w:rPr>
        <w:t>2026</w:t>
      </w:r>
      <w:r>
        <w:rPr>
          <w:rFonts w:ascii="仿宋_GB2312" w:hAnsi="仿宋" w:eastAsia="仿宋_GB2312" w:cs="Times New Roman"/>
          <w:kern w:val="30"/>
          <w:sz w:val="30"/>
          <w:szCs w:val="30"/>
        </w:rPr>
        <w:t>年</w:t>
      </w:r>
      <w:r>
        <w:rPr>
          <w:rFonts w:hint="eastAsia" w:ascii="仿宋_GB2312" w:hAnsi="仿宋" w:eastAsia="仿宋_GB2312" w:cs="Times New Roman"/>
          <w:kern w:val="30"/>
          <w:sz w:val="30"/>
          <w:szCs w:val="30"/>
        </w:rPr>
        <w:t>8</w:t>
      </w:r>
      <w:r>
        <w:rPr>
          <w:rFonts w:ascii="仿宋_GB2312" w:hAnsi="仿宋" w:eastAsia="仿宋_GB2312" w:cs="Times New Roman"/>
          <w:kern w:val="30"/>
          <w:sz w:val="30"/>
          <w:szCs w:val="30"/>
        </w:rPr>
        <w:t>月</w:t>
      </w:r>
      <w:r>
        <w:rPr>
          <w:rFonts w:hint="eastAsia" w:ascii="仿宋_GB2312" w:hAnsi="仿宋" w:eastAsia="仿宋_GB2312" w:cs="Times New Roman"/>
          <w:kern w:val="30"/>
          <w:sz w:val="30"/>
          <w:szCs w:val="30"/>
        </w:rPr>
        <w:t>31</w:t>
      </w:r>
      <w:r>
        <w:rPr>
          <w:rFonts w:ascii="仿宋_GB2312" w:hAnsi="仿宋" w:eastAsia="仿宋_GB2312" w:cs="Times New Roman"/>
          <w:kern w:val="30"/>
          <w:sz w:val="30"/>
          <w:szCs w:val="30"/>
        </w:rPr>
        <w:t>日期间，由</w:t>
      </w:r>
      <w:r>
        <w:rPr>
          <w:rFonts w:hint="eastAsia" w:ascii="仿宋_GB2312" w:hAnsi="仿宋" w:eastAsia="仿宋_GB2312" w:cs="Times New Roman"/>
          <w:kern w:val="30"/>
          <w:sz w:val="30"/>
          <w:szCs w:val="30"/>
        </w:rPr>
        <w:t>富民县人民政府委托昆明市第一中学对富民一中进行管理，昆明一中负责输出品牌、管理、教育教学资源，选派管理团队和教学骨干等，全权管理富民一中，以“增加富民县优质教育资源总量、打造名校”为目标，探索新的学校管理体制和运行机制，为富民一中培育、培养管理干部及教师，提高富民县第一中学教师整体业务素质、教育管理水平和教学质量，将富民一中建设成为质量优良、特色鲜明、品牌优质的学校。委托管理期间，富民一中公办学校性质不变，教职工身份、供养渠道不变，加挂“昆明市第一中学富民学校”牌子。</w:t>
      </w:r>
    </w:p>
    <w:p w14:paraId="1341D2B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主要职责包括：（1）研究拟定全校教育发展战略法，贯彻执行党和国家的教育方针、政策、法规。（2）研究拟定学校发展规划和年度计划，组织实施教育体制和办学体制改革。（3）管理和指导学校基础教育工作，确保普及九年义务教育工作成果。（4）管理学校教育经费；管理学校教育经费，执行财务管理制度。（5）负责和指导学校教职工的思想政治工作，规划学校品德教育、体育卫生教育、艺术教育和国防教育工作；（6）负责做好学校综合治理及安全保卫工作。</w:t>
      </w:r>
    </w:p>
    <w:bookmarkEnd w:id="21"/>
    <w:bookmarkEnd w:id="22"/>
    <w:bookmarkEnd w:id="23"/>
    <w:bookmarkEnd w:id="24"/>
    <w:p w14:paraId="2E480750">
      <w:pPr>
        <w:spacing w:line="579" w:lineRule="exact"/>
        <w:ind w:firstLine="600" w:firstLineChars="200"/>
        <w:rPr>
          <w:rFonts w:ascii="仿宋_GB2312" w:hAnsi="仿宋" w:eastAsia="仿宋_GB2312" w:cs="Times New Roman"/>
          <w:b/>
          <w:bCs/>
          <w:kern w:val="30"/>
          <w:sz w:val="30"/>
          <w:szCs w:val="30"/>
        </w:rPr>
      </w:pPr>
      <w:r>
        <w:rPr>
          <w:rFonts w:ascii="仿宋_GB2312" w:hAnsi="仿宋" w:eastAsia="仿宋_GB2312" w:cs="Times New Roman"/>
          <w:b/>
          <w:bCs/>
          <w:kern w:val="30"/>
          <w:sz w:val="30"/>
          <w:szCs w:val="30"/>
        </w:rPr>
        <w:t>2.机构设置及人员情况</w:t>
      </w:r>
    </w:p>
    <w:p w14:paraId="3153C319">
      <w:pPr>
        <w:spacing w:line="579" w:lineRule="exact"/>
        <w:ind w:firstLine="600" w:firstLineChars="200"/>
        <w:rPr>
          <w:rFonts w:ascii="仿宋_GB2312" w:hAnsi="仿宋" w:eastAsia="仿宋_GB2312" w:cs="Times New Roman"/>
          <w:kern w:val="30"/>
          <w:sz w:val="30"/>
          <w:szCs w:val="30"/>
        </w:rPr>
      </w:pPr>
      <w:bookmarkStart w:id="25" w:name="_Toc19542"/>
      <w:bookmarkStart w:id="26" w:name="_Toc12955"/>
      <w:bookmarkStart w:id="27" w:name="_Toc48549811"/>
      <w:bookmarkStart w:id="28" w:name="_Toc4308"/>
      <w:r>
        <w:rPr>
          <w:rFonts w:ascii="仿宋_GB2312" w:hAnsi="仿宋" w:eastAsia="仿宋_GB2312" w:cs="Times New Roman"/>
          <w:kern w:val="30"/>
          <w:sz w:val="30"/>
          <w:szCs w:val="30"/>
        </w:rPr>
        <w:t>（1）机构设置情况</w:t>
      </w:r>
    </w:p>
    <w:p w14:paraId="1A3F47E2">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截至2023年12月31日，</w:t>
      </w:r>
      <w:r>
        <w:rPr>
          <w:rFonts w:hint="eastAsia" w:ascii="仿宋_GB2312" w:hAnsi="仿宋" w:eastAsia="仿宋_GB2312" w:cs="Times New Roman"/>
          <w:kern w:val="30"/>
          <w:sz w:val="30"/>
          <w:szCs w:val="30"/>
        </w:rPr>
        <w:t>富民一中设初中部、高中部，内设机构7个：党政办公室、总务处、教务处、德育处、科教室、督导室、九峰书院学部。其中九峰书院学部为2023年8月新设部门，“九峰书院”为富民一中前身，始建于清光绪年间。</w:t>
      </w:r>
    </w:p>
    <w:p w14:paraId="7DA21B9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w:t>
      </w:r>
      <w:r>
        <w:rPr>
          <w:rFonts w:ascii="仿宋_GB2312" w:hAnsi="仿宋" w:eastAsia="仿宋_GB2312" w:cs="Times New Roman"/>
          <w:kern w:val="30"/>
          <w:sz w:val="30"/>
          <w:szCs w:val="30"/>
        </w:rPr>
        <w:t>编制核定</w:t>
      </w:r>
      <w:r>
        <w:rPr>
          <w:rFonts w:hint="eastAsia" w:ascii="仿宋_GB2312" w:hAnsi="仿宋" w:eastAsia="仿宋_GB2312" w:cs="Times New Roman"/>
          <w:kern w:val="30"/>
          <w:sz w:val="30"/>
          <w:szCs w:val="30"/>
        </w:rPr>
        <w:t>及人员</w:t>
      </w:r>
      <w:r>
        <w:rPr>
          <w:rFonts w:ascii="仿宋_GB2312" w:hAnsi="仿宋" w:eastAsia="仿宋_GB2312" w:cs="Times New Roman"/>
          <w:kern w:val="30"/>
          <w:sz w:val="30"/>
          <w:szCs w:val="30"/>
        </w:rPr>
        <w:t>情况</w:t>
      </w:r>
    </w:p>
    <w:p w14:paraId="69AEB0A1">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富民一中事业</w:t>
      </w:r>
      <w:r>
        <w:rPr>
          <w:rFonts w:ascii="仿宋_GB2312" w:hAnsi="仿宋" w:eastAsia="仿宋_GB2312" w:cs="Times New Roman"/>
          <w:kern w:val="30"/>
          <w:sz w:val="30"/>
          <w:szCs w:val="30"/>
        </w:rPr>
        <w:t>编制数</w:t>
      </w:r>
      <w:r>
        <w:rPr>
          <w:rFonts w:hint="eastAsia" w:ascii="仿宋_GB2312" w:hAnsi="仿宋" w:eastAsia="仿宋_GB2312" w:cs="Times New Roman"/>
          <w:kern w:val="30"/>
          <w:sz w:val="30"/>
          <w:szCs w:val="30"/>
        </w:rPr>
        <w:t>239名，其中：初中事业编制64名、高中事业编制175名。</w:t>
      </w:r>
      <w:r>
        <w:rPr>
          <w:rFonts w:ascii="仿宋_GB2312" w:hAnsi="仿宋" w:eastAsia="仿宋_GB2312" w:cs="Times New Roman"/>
          <w:kern w:val="30"/>
          <w:sz w:val="30"/>
          <w:szCs w:val="30"/>
        </w:rPr>
        <w:t>截至2023年12月31日，实有在职在编人员</w:t>
      </w:r>
      <w:r>
        <w:rPr>
          <w:rFonts w:hint="eastAsia" w:ascii="仿宋_GB2312" w:hAnsi="仿宋" w:eastAsia="仿宋_GB2312" w:cs="Times New Roman"/>
          <w:kern w:val="30"/>
          <w:sz w:val="30"/>
          <w:szCs w:val="30"/>
        </w:rPr>
        <w:t>200人，较上年度减少36人（其中：新增教职工12人、调出31人、退休17人）</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2023年秋季，学校共有在校学生2763人，其中：初中生844人、高中生1919人。</w:t>
      </w:r>
    </w:p>
    <w:p w14:paraId="2CA9A9D5">
      <w:pPr>
        <w:spacing w:line="579" w:lineRule="exact"/>
        <w:ind w:firstLine="600" w:firstLineChars="200"/>
        <w:rPr>
          <w:rFonts w:ascii="仿宋_GB2312" w:hAnsi="仿宋" w:eastAsia="仿宋_GB2312" w:cs="Times New Roman"/>
          <w:b/>
          <w:bCs/>
          <w:kern w:val="30"/>
          <w:sz w:val="30"/>
          <w:szCs w:val="30"/>
        </w:rPr>
      </w:pPr>
      <w:r>
        <w:rPr>
          <w:rFonts w:ascii="仿宋_GB2312" w:hAnsi="仿宋" w:eastAsia="仿宋_GB2312" w:cs="Times New Roman"/>
          <w:b/>
          <w:bCs/>
          <w:kern w:val="30"/>
          <w:sz w:val="30"/>
          <w:szCs w:val="30"/>
        </w:rPr>
        <w:t>3.年度工作计划及重点工作任务情况</w:t>
      </w:r>
    </w:p>
    <w:p w14:paraId="3C4E1A6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全面贯彻党的教育方针，坚持社会主义办学方向，坚持立德树人，深化普通高中和义务教育课程改革，落实云南省普通高等学校招生制度改革，大力推进素质教育，着力强化特色学校建设，努力规范办学行为，实施科学、精细管理，加强党对学校的全面领导，全面提高教育教学质量，努力办好人民满意的教育。2023年主要工作计划如下：</w:t>
      </w:r>
    </w:p>
    <w:p w14:paraId="5FD8F41D">
      <w:pPr>
        <w:spacing w:line="579" w:lineRule="exact"/>
        <w:ind w:firstLine="600"/>
        <w:rPr>
          <w:rFonts w:ascii="仿宋_GB2312" w:hAnsi="仿宋" w:eastAsia="仿宋_GB2312"/>
          <w:kern w:val="30"/>
          <w:sz w:val="30"/>
          <w:szCs w:val="30"/>
        </w:rPr>
      </w:pPr>
      <w:r>
        <w:rPr>
          <w:rFonts w:hint="eastAsia" w:ascii="仿宋_GB2312" w:hAnsi="仿宋" w:eastAsia="仿宋_GB2312"/>
          <w:kern w:val="30"/>
          <w:sz w:val="30"/>
          <w:szCs w:val="30"/>
        </w:rPr>
        <w:t>（1）加强师德建设，夯实育人根基。在教职工中开展师德师风教育实践活动、爱心结对帮扶活动，注重加强“四支队伍”（干部队伍、骨干教师队伍、青年教师队伍、班主任队伍）建设。</w:t>
      </w:r>
    </w:p>
    <w:p w14:paraId="537E99F6">
      <w:pPr>
        <w:spacing w:line="579" w:lineRule="exact"/>
        <w:ind w:firstLine="600"/>
        <w:rPr>
          <w:rFonts w:ascii="仿宋_GB2312" w:hAnsi="仿宋" w:eastAsia="仿宋_GB2312"/>
          <w:kern w:val="30"/>
          <w:sz w:val="30"/>
          <w:szCs w:val="30"/>
        </w:rPr>
      </w:pPr>
      <w:r>
        <w:rPr>
          <w:rFonts w:hint="eastAsia" w:ascii="仿宋_GB2312" w:hAnsi="仿宋" w:eastAsia="仿宋_GB2312"/>
          <w:kern w:val="30"/>
          <w:sz w:val="30"/>
          <w:szCs w:val="30"/>
        </w:rPr>
        <w:t>（2）彰显昆一中集团办学质量，优化办学特色。贯彻落实“精细管理、提升办学质量、成长好每一个学生、发展好每一位老师”的办学理念，在做好集群式帮扶工作的基础上，努力提升教育教学的质量品质。研磨教育教学模式、教学方式，提升质量的路径、方法。努力实现教学质量处于市公办学校第一方阵，高考一本及本科上线人数要有新突破。</w:t>
      </w:r>
    </w:p>
    <w:p w14:paraId="425148C1">
      <w:pPr>
        <w:spacing w:line="579" w:lineRule="exact"/>
        <w:ind w:firstLine="600"/>
        <w:rPr>
          <w:rFonts w:ascii="仿宋_GB2312" w:hAnsi="仿宋" w:eastAsia="仿宋_GB2312"/>
          <w:kern w:val="30"/>
          <w:sz w:val="30"/>
          <w:szCs w:val="30"/>
        </w:rPr>
      </w:pPr>
      <w:r>
        <w:rPr>
          <w:rFonts w:hint="eastAsia" w:ascii="仿宋_GB2312" w:hAnsi="仿宋" w:eastAsia="仿宋_GB2312"/>
          <w:kern w:val="30"/>
          <w:sz w:val="30"/>
          <w:szCs w:val="30"/>
        </w:rPr>
        <w:t>（3）探索和研究学校提升教学质量的新途径，强化教学管理，细化教学过程，优化教学方法。加强教研组室建设，加强集体备课，积极开展课题研究，抓实学科质量分析，争取年度学校教育教学综合考评再取得进位，进一步提升学校的办学层次。</w:t>
      </w:r>
    </w:p>
    <w:p w14:paraId="27971EFA">
      <w:pPr>
        <w:spacing w:line="579" w:lineRule="exact"/>
        <w:ind w:firstLine="600"/>
        <w:rPr>
          <w:rFonts w:ascii="仿宋_GB2312" w:hAnsi="仿宋" w:eastAsia="仿宋_GB2312"/>
          <w:kern w:val="30"/>
          <w:sz w:val="30"/>
          <w:szCs w:val="30"/>
        </w:rPr>
      </w:pPr>
      <w:r>
        <w:rPr>
          <w:rFonts w:hint="eastAsia" w:ascii="仿宋_GB2312" w:hAnsi="仿宋" w:eastAsia="仿宋_GB2312"/>
          <w:kern w:val="30"/>
          <w:sz w:val="30"/>
          <w:szCs w:val="30"/>
        </w:rPr>
        <w:t>（4）提高教学服务质量，进一步加大硬件设施建设和投入，改善办学条件，加快校安工程建设。建设学生计算机教室，更新添置学校网络服务器，并设置专用房间，安排好实验教学、实验管理。加强对实验、图书以及教辅后勤的管理，管理好学校食堂，建设好教师办公室。</w:t>
      </w:r>
    </w:p>
    <w:p w14:paraId="3239C8BB">
      <w:pPr>
        <w:spacing w:line="590" w:lineRule="exact"/>
        <w:ind w:firstLine="624" w:firstLineChars="200"/>
        <w:outlineLvl w:val="1"/>
        <w:rPr>
          <w:rFonts w:ascii="楷体_GB2312" w:hAnsi="Times New Roman" w:eastAsia="楷体_GB2312" w:cs="Times New Roman"/>
          <w:spacing w:val="6"/>
          <w:kern w:val="0"/>
          <w:sz w:val="30"/>
          <w:szCs w:val="30"/>
        </w:rPr>
      </w:pPr>
      <w:bookmarkStart w:id="29" w:name="_Toc173402197"/>
      <w:bookmarkStart w:id="30" w:name="_Toc180163168"/>
      <w:bookmarkStart w:id="31" w:name="_Toc173402305"/>
      <w:r>
        <w:rPr>
          <w:rFonts w:ascii="楷体_GB2312" w:hAnsi="Times New Roman" w:eastAsia="楷体_GB2312" w:cs="Times New Roman"/>
          <w:spacing w:val="6"/>
          <w:kern w:val="0"/>
          <w:sz w:val="30"/>
          <w:szCs w:val="30"/>
        </w:rPr>
        <w:t>（二）部门预算批复及资金安排情况</w:t>
      </w:r>
      <w:bookmarkEnd w:id="29"/>
      <w:bookmarkEnd w:id="30"/>
      <w:bookmarkEnd w:id="31"/>
    </w:p>
    <w:p w14:paraId="7A5D8473">
      <w:pPr>
        <w:spacing w:line="579" w:lineRule="exact"/>
        <w:ind w:firstLine="600" w:firstLineChars="200"/>
        <w:rPr>
          <w:rFonts w:ascii="仿宋_GB2312" w:hAnsi="仿宋" w:eastAsia="仿宋_GB2312" w:cs="Times New Roman"/>
          <w:b/>
          <w:bCs/>
          <w:kern w:val="30"/>
          <w:sz w:val="30"/>
          <w:szCs w:val="30"/>
        </w:rPr>
      </w:pPr>
      <w:r>
        <w:rPr>
          <w:rFonts w:ascii="仿宋_GB2312" w:hAnsi="仿宋" w:eastAsia="仿宋_GB2312" w:cs="Times New Roman"/>
          <w:b/>
          <w:bCs/>
          <w:kern w:val="30"/>
          <w:sz w:val="30"/>
          <w:szCs w:val="30"/>
        </w:rPr>
        <w:t>1.部门预算批复情况</w:t>
      </w:r>
    </w:p>
    <w:p w14:paraId="342CB564">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根据《</w:t>
      </w:r>
      <w:r>
        <w:rPr>
          <w:rFonts w:hint="eastAsia" w:ascii="仿宋_GB2312" w:hAnsi="仿宋" w:eastAsia="仿宋_GB2312" w:cs="Times New Roman"/>
          <w:kern w:val="30"/>
          <w:sz w:val="30"/>
          <w:szCs w:val="30"/>
        </w:rPr>
        <w:t>富民县教育体育局关于2023年部门预算的批复</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富教复〔2023〕7号</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2023年预算收入</w:t>
      </w:r>
      <w:r>
        <w:rPr>
          <w:rFonts w:hint="eastAsia" w:ascii="仿宋_GB2312" w:hAnsi="仿宋" w:eastAsia="仿宋_GB2312" w:cs="Times New Roman"/>
          <w:kern w:val="30"/>
          <w:sz w:val="30"/>
          <w:szCs w:val="30"/>
        </w:rPr>
        <w:t>5145.17</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，其中：一般公共财政预算收入4982.15万</w:t>
      </w:r>
      <w:r>
        <w:rPr>
          <w:rFonts w:ascii="仿宋_GB2312" w:hAnsi="仿宋" w:eastAsia="仿宋_GB2312" w:cs="Times New Roman"/>
          <w:kern w:val="30"/>
          <w:sz w:val="30"/>
          <w:szCs w:val="30"/>
        </w:rPr>
        <w:t>元</w:t>
      </w:r>
      <w:r>
        <w:rPr>
          <w:rFonts w:hint="eastAsia" w:ascii="仿宋_GB2312" w:hAnsi="仿宋" w:eastAsia="仿宋_GB2312" w:cs="Times New Roman"/>
          <w:kern w:val="30"/>
          <w:sz w:val="30"/>
          <w:szCs w:val="30"/>
        </w:rPr>
        <w:t>、一般公共预算资金结余结转资金13.018万</w:t>
      </w:r>
      <w:r>
        <w:rPr>
          <w:rFonts w:ascii="仿宋_GB2312" w:hAnsi="仿宋" w:eastAsia="仿宋_GB2312" w:cs="Times New Roman"/>
          <w:kern w:val="30"/>
          <w:sz w:val="30"/>
          <w:szCs w:val="30"/>
        </w:rPr>
        <w:t>元</w:t>
      </w:r>
      <w:r>
        <w:rPr>
          <w:rFonts w:hint="eastAsia" w:ascii="仿宋_GB2312" w:hAnsi="仿宋" w:eastAsia="仿宋_GB2312" w:cs="Times New Roman"/>
          <w:kern w:val="30"/>
          <w:sz w:val="30"/>
          <w:szCs w:val="30"/>
        </w:rPr>
        <w:t>、</w:t>
      </w:r>
      <w:bookmarkStart w:id="32" w:name="_Hlk179551747"/>
      <w:r>
        <w:rPr>
          <w:rFonts w:hint="eastAsia" w:ascii="仿宋_GB2312" w:hAnsi="仿宋" w:eastAsia="仿宋_GB2312" w:cs="Times New Roman"/>
          <w:kern w:val="30"/>
          <w:sz w:val="30"/>
          <w:szCs w:val="30"/>
        </w:rPr>
        <w:t>财政专户管理资金150.00万元</w:t>
      </w:r>
      <w:bookmarkEnd w:id="32"/>
      <w:r>
        <w:rPr>
          <w:rFonts w:hint="eastAsia" w:ascii="仿宋_GB2312" w:hAnsi="仿宋" w:eastAsia="仿宋_GB2312" w:cs="Times New Roman"/>
          <w:kern w:val="30"/>
          <w:sz w:val="30"/>
          <w:szCs w:val="30"/>
        </w:rPr>
        <w:t>。</w:t>
      </w:r>
      <w:r>
        <w:rPr>
          <w:rFonts w:ascii="仿宋_GB2312" w:hAnsi="仿宋" w:eastAsia="仿宋_GB2312" w:cs="Times New Roman"/>
          <w:kern w:val="30"/>
          <w:sz w:val="30"/>
          <w:szCs w:val="30"/>
        </w:rPr>
        <w:t>2023年预算</w:t>
      </w:r>
      <w:r>
        <w:rPr>
          <w:rFonts w:hint="eastAsia" w:ascii="仿宋_GB2312" w:hAnsi="仿宋" w:eastAsia="仿宋_GB2312" w:cs="Times New Roman"/>
          <w:kern w:val="30"/>
          <w:sz w:val="30"/>
          <w:szCs w:val="30"/>
        </w:rPr>
        <w:t>支出5145.17</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w:t>
      </w:r>
      <w:r>
        <w:rPr>
          <w:rFonts w:ascii="仿宋_GB2312" w:hAnsi="仿宋" w:eastAsia="仿宋_GB2312" w:cs="Times New Roman"/>
          <w:kern w:val="30"/>
          <w:sz w:val="30"/>
          <w:szCs w:val="30"/>
        </w:rPr>
        <w:t>其中：基本支出</w:t>
      </w:r>
      <w:r>
        <w:rPr>
          <w:rFonts w:hint="eastAsia" w:ascii="仿宋_GB2312" w:hAnsi="仿宋" w:eastAsia="仿宋_GB2312" w:cs="Times New Roman"/>
          <w:kern w:val="30"/>
          <w:sz w:val="30"/>
          <w:szCs w:val="30"/>
        </w:rPr>
        <w:t>4816.15</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w:t>
      </w:r>
      <w:r>
        <w:rPr>
          <w:rFonts w:ascii="仿宋_GB2312" w:hAnsi="仿宋" w:eastAsia="仿宋_GB2312" w:cs="Times New Roman"/>
          <w:kern w:val="30"/>
          <w:sz w:val="30"/>
          <w:szCs w:val="30"/>
        </w:rPr>
        <w:t>工资福利支出</w:t>
      </w:r>
      <w:r>
        <w:rPr>
          <w:rFonts w:hint="eastAsia" w:ascii="仿宋_GB2312" w:hAnsi="仿宋" w:eastAsia="仿宋_GB2312" w:cs="Times New Roman"/>
          <w:kern w:val="30"/>
          <w:sz w:val="30"/>
          <w:szCs w:val="30"/>
        </w:rPr>
        <w:t>4458.04万</w:t>
      </w:r>
      <w:r>
        <w:rPr>
          <w:rFonts w:ascii="仿宋_GB2312" w:hAnsi="仿宋" w:eastAsia="仿宋_GB2312" w:cs="Times New Roman"/>
          <w:kern w:val="30"/>
          <w:sz w:val="30"/>
          <w:szCs w:val="30"/>
        </w:rPr>
        <w:t>元、对个人和家庭的补助支出</w:t>
      </w:r>
      <w:r>
        <w:rPr>
          <w:rFonts w:hint="eastAsia" w:ascii="仿宋_GB2312" w:hAnsi="仿宋" w:eastAsia="仿宋_GB2312" w:cs="Times New Roman"/>
          <w:kern w:val="30"/>
          <w:sz w:val="30"/>
          <w:szCs w:val="30"/>
        </w:rPr>
        <w:t>5.22万</w:t>
      </w:r>
      <w:r>
        <w:rPr>
          <w:rFonts w:ascii="仿宋_GB2312" w:hAnsi="仿宋" w:eastAsia="仿宋_GB2312" w:cs="Times New Roman"/>
          <w:kern w:val="30"/>
          <w:sz w:val="30"/>
          <w:szCs w:val="30"/>
        </w:rPr>
        <w:t>元、商品</w:t>
      </w:r>
      <w:r>
        <w:rPr>
          <w:rFonts w:hint="eastAsia" w:ascii="仿宋_GB2312" w:hAnsi="仿宋" w:eastAsia="仿宋_GB2312" w:cs="Times New Roman"/>
          <w:kern w:val="30"/>
          <w:sz w:val="30"/>
          <w:szCs w:val="30"/>
        </w:rPr>
        <w:t>和</w:t>
      </w:r>
      <w:r>
        <w:rPr>
          <w:rFonts w:ascii="仿宋_GB2312" w:hAnsi="仿宋" w:eastAsia="仿宋_GB2312" w:cs="Times New Roman"/>
          <w:kern w:val="30"/>
          <w:sz w:val="30"/>
          <w:szCs w:val="30"/>
        </w:rPr>
        <w:t>服务支出</w:t>
      </w:r>
      <w:r>
        <w:rPr>
          <w:rFonts w:hint="eastAsia" w:ascii="仿宋_GB2312" w:hAnsi="仿宋" w:eastAsia="仿宋_GB2312" w:cs="Times New Roman"/>
          <w:kern w:val="30"/>
          <w:sz w:val="30"/>
          <w:szCs w:val="30"/>
        </w:rPr>
        <w:t>303.09万</w:t>
      </w:r>
      <w:r>
        <w:rPr>
          <w:rFonts w:ascii="仿宋_GB2312" w:hAnsi="仿宋" w:eastAsia="仿宋_GB2312" w:cs="Times New Roman"/>
          <w:kern w:val="30"/>
          <w:sz w:val="30"/>
          <w:szCs w:val="30"/>
        </w:rPr>
        <w:t>元</w:t>
      </w:r>
      <w:r>
        <w:rPr>
          <w:rFonts w:hint="eastAsia" w:ascii="仿宋_GB2312" w:hAnsi="仿宋" w:eastAsia="仿宋_GB2312" w:cs="Times New Roman"/>
          <w:kern w:val="30"/>
          <w:sz w:val="30"/>
          <w:szCs w:val="30"/>
        </w:rPr>
        <w:t>）</w:t>
      </w:r>
      <w:r>
        <w:rPr>
          <w:rFonts w:ascii="仿宋_GB2312" w:hAnsi="仿宋" w:eastAsia="仿宋_GB2312" w:cs="Times New Roman"/>
          <w:kern w:val="30"/>
          <w:sz w:val="30"/>
          <w:szCs w:val="30"/>
        </w:rPr>
        <w:t>，项目支出</w:t>
      </w:r>
      <w:r>
        <w:rPr>
          <w:rFonts w:hint="eastAsia" w:ascii="仿宋_GB2312" w:hAnsi="仿宋" w:eastAsia="仿宋_GB2312" w:cs="Times New Roman"/>
          <w:kern w:val="30"/>
          <w:sz w:val="30"/>
          <w:szCs w:val="30"/>
        </w:rPr>
        <w:t>329.02</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（含一般公共财政预算166.00万元、结转资金13.018万</w:t>
      </w:r>
      <w:r>
        <w:rPr>
          <w:rFonts w:ascii="仿宋_GB2312" w:hAnsi="仿宋" w:eastAsia="仿宋_GB2312" w:cs="Times New Roman"/>
          <w:kern w:val="30"/>
          <w:sz w:val="30"/>
          <w:szCs w:val="30"/>
        </w:rPr>
        <w:t>元</w:t>
      </w:r>
      <w:r>
        <w:rPr>
          <w:rFonts w:hint="eastAsia" w:ascii="仿宋_GB2312" w:hAnsi="仿宋" w:eastAsia="仿宋_GB2312" w:cs="Times New Roman"/>
          <w:kern w:val="30"/>
          <w:sz w:val="30"/>
          <w:szCs w:val="30"/>
        </w:rPr>
        <w:t>、财政专户管理资金150.00万元）</w:t>
      </w:r>
      <w:r>
        <w:rPr>
          <w:rFonts w:ascii="仿宋_GB2312" w:hAnsi="仿宋" w:eastAsia="仿宋_GB2312" w:cs="Times New Roman"/>
          <w:kern w:val="30"/>
          <w:sz w:val="30"/>
          <w:szCs w:val="30"/>
        </w:rPr>
        <w:t>。</w:t>
      </w:r>
    </w:p>
    <w:p w14:paraId="3A8EF46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2023年，追加富民一</w:t>
      </w:r>
      <w:r>
        <w:rPr>
          <w:rFonts w:hint="eastAsia" w:ascii="仿宋_GB2312" w:hAnsi="仿宋" w:eastAsia="仿宋_GB2312" w:cs="Times New Roman"/>
          <w:kern w:val="30"/>
          <w:sz w:val="30"/>
          <w:szCs w:val="30"/>
          <w:lang w:eastAsia="zh-CN"/>
        </w:rPr>
        <w:t>中央</w:t>
      </w:r>
      <w:r>
        <w:rPr>
          <w:rFonts w:hint="eastAsia" w:ascii="仿宋_GB2312" w:hAnsi="仿宋" w:eastAsia="仿宋_GB2312" w:cs="Times New Roman"/>
          <w:kern w:val="30"/>
          <w:sz w:val="30"/>
          <w:szCs w:val="30"/>
        </w:rPr>
        <w:t>、省级、市级转移支付资金、及其他资金20笔，共计427.48万元，具体见下表：</w:t>
      </w:r>
    </w:p>
    <w:p w14:paraId="57C70E8E">
      <w:pPr>
        <w:spacing w:line="579" w:lineRule="exact"/>
        <w:jc w:val="center"/>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富民一中2023年追加资金明细表</w:t>
      </w:r>
    </w:p>
    <w:p w14:paraId="17CCF14D">
      <w:pPr>
        <w:pStyle w:val="145"/>
        <w:jc w:val="right"/>
        <w:rPr>
          <w:rFonts w:ascii="仿宋_GB2312" w:eastAsia="仿宋_GB2312"/>
        </w:rPr>
      </w:pPr>
      <w:r>
        <w:rPr>
          <w:rFonts w:hint="eastAsia" w:ascii="仿宋_GB2312" w:eastAsia="仿宋_GB2312"/>
        </w:rPr>
        <w:t>金额：元</w:t>
      </w:r>
    </w:p>
    <w:tbl>
      <w:tblPr>
        <w:tblStyle w:val="88"/>
        <w:tblW w:w="8944" w:type="dxa"/>
        <w:tblInd w:w="0" w:type="dxa"/>
        <w:tblLayout w:type="autofit"/>
        <w:tblCellMar>
          <w:top w:w="0" w:type="dxa"/>
          <w:left w:w="108" w:type="dxa"/>
          <w:bottom w:w="0" w:type="dxa"/>
          <w:right w:w="108" w:type="dxa"/>
        </w:tblCellMar>
      </w:tblPr>
      <w:tblGrid>
        <w:gridCol w:w="793"/>
        <w:gridCol w:w="5298"/>
        <w:gridCol w:w="1134"/>
        <w:gridCol w:w="760"/>
        <w:gridCol w:w="959"/>
      </w:tblGrid>
      <w:tr w14:paraId="2BD4A707">
        <w:tblPrEx>
          <w:tblCellMar>
            <w:top w:w="0" w:type="dxa"/>
            <w:left w:w="108" w:type="dxa"/>
            <w:bottom w:w="0" w:type="dxa"/>
            <w:right w:w="108" w:type="dxa"/>
          </w:tblCellMar>
        </w:tblPrEx>
        <w:trPr>
          <w:trHeight w:val="454" w:hRule="atLeast"/>
          <w:tblHeader/>
        </w:trPr>
        <w:tc>
          <w:tcPr>
            <w:tcW w:w="793"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5528C2B">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序号</w:t>
            </w:r>
          </w:p>
        </w:tc>
        <w:tc>
          <w:tcPr>
            <w:tcW w:w="5298" w:type="dxa"/>
            <w:tcBorders>
              <w:top w:val="single" w:color="auto" w:sz="4" w:space="0"/>
              <w:left w:val="nil"/>
              <w:bottom w:val="single" w:color="auto" w:sz="4" w:space="0"/>
              <w:right w:val="single" w:color="auto" w:sz="4" w:space="0"/>
            </w:tcBorders>
            <w:shd w:val="clear" w:color="000000" w:fill="FFFFFF"/>
            <w:noWrap/>
            <w:vAlign w:val="center"/>
          </w:tcPr>
          <w:p w14:paraId="649139B4">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文号及项目名称</w:t>
            </w:r>
          </w:p>
        </w:tc>
        <w:tc>
          <w:tcPr>
            <w:tcW w:w="1134" w:type="dxa"/>
            <w:tcBorders>
              <w:top w:val="single" w:color="auto" w:sz="4" w:space="0"/>
              <w:left w:val="nil"/>
              <w:bottom w:val="single" w:color="auto" w:sz="4" w:space="0"/>
              <w:right w:val="single" w:color="auto" w:sz="4" w:space="0"/>
            </w:tcBorders>
            <w:shd w:val="clear" w:color="000000" w:fill="FFFFFF"/>
            <w:noWrap/>
            <w:vAlign w:val="center"/>
          </w:tcPr>
          <w:p w14:paraId="3CE01556">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金额</w:t>
            </w:r>
          </w:p>
        </w:tc>
        <w:tc>
          <w:tcPr>
            <w:tcW w:w="760" w:type="dxa"/>
            <w:tcBorders>
              <w:top w:val="single" w:color="auto" w:sz="4" w:space="0"/>
              <w:left w:val="nil"/>
              <w:bottom w:val="single" w:color="auto" w:sz="4" w:space="0"/>
              <w:right w:val="single" w:color="auto" w:sz="4" w:space="0"/>
            </w:tcBorders>
            <w:shd w:val="clear" w:color="000000" w:fill="FFFFFF"/>
            <w:noWrap/>
            <w:vAlign w:val="center"/>
          </w:tcPr>
          <w:p w14:paraId="467A19C3">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资金来源</w:t>
            </w:r>
          </w:p>
        </w:tc>
        <w:tc>
          <w:tcPr>
            <w:tcW w:w="959" w:type="dxa"/>
            <w:tcBorders>
              <w:top w:val="single" w:color="auto" w:sz="4" w:space="0"/>
              <w:left w:val="nil"/>
              <w:bottom w:val="single" w:color="auto" w:sz="4" w:space="0"/>
              <w:right w:val="single" w:color="auto" w:sz="4" w:space="0"/>
            </w:tcBorders>
            <w:shd w:val="clear" w:color="000000" w:fill="FFFFFF"/>
            <w:noWrap/>
            <w:vAlign w:val="center"/>
          </w:tcPr>
          <w:p w14:paraId="1402FC1B">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备注</w:t>
            </w:r>
          </w:p>
        </w:tc>
      </w:tr>
      <w:tr w14:paraId="7DF94297">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79CA24D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w:t>
            </w:r>
          </w:p>
        </w:tc>
        <w:tc>
          <w:tcPr>
            <w:tcW w:w="5298" w:type="dxa"/>
            <w:tcBorders>
              <w:top w:val="nil"/>
              <w:left w:val="nil"/>
              <w:bottom w:val="single" w:color="auto" w:sz="4" w:space="0"/>
              <w:right w:val="single" w:color="auto" w:sz="4" w:space="0"/>
            </w:tcBorders>
            <w:shd w:val="clear" w:color="000000" w:fill="FFFFFF"/>
            <w:vAlign w:val="center"/>
          </w:tcPr>
          <w:p w14:paraId="79C2A41F">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昆财教〔2023〕7号2023年</w:t>
            </w:r>
            <w:bookmarkStart w:id="33" w:name="_Hlk179822551"/>
            <w:r>
              <w:rPr>
                <w:rFonts w:hint="eastAsia" w:ascii="仿宋" w:hAnsi="仿宋" w:eastAsia="仿宋" w:cs="宋体"/>
                <w:color w:val="000000"/>
                <w:kern w:val="0"/>
                <w:sz w:val="15"/>
                <w:szCs w:val="15"/>
              </w:rPr>
              <w:t>城乡义务教育补助经费（公用经费）</w:t>
            </w:r>
            <w:bookmarkEnd w:id="33"/>
            <w:r>
              <w:rPr>
                <w:rFonts w:hint="eastAsia" w:ascii="仿宋" w:hAnsi="仿宋" w:eastAsia="仿宋" w:cs="宋体"/>
                <w:color w:val="000000"/>
                <w:kern w:val="0"/>
                <w:sz w:val="15"/>
                <w:szCs w:val="15"/>
              </w:rPr>
              <w:t>中央直达资金</w:t>
            </w:r>
          </w:p>
        </w:tc>
        <w:tc>
          <w:tcPr>
            <w:tcW w:w="1134" w:type="dxa"/>
            <w:tcBorders>
              <w:top w:val="nil"/>
              <w:left w:val="nil"/>
              <w:bottom w:val="single" w:color="auto" w:sz="4" w:space="0"/>
              <w:right w:val="single" w:color="auto" w:sz="4" w:space="0"/>
            </w:tcBorders>
            <w:shd w:val="clear" w:color="000000" w:fill="FFFFFF"/>
            <w:noWrap/>
            <w:vAlign w:val="center"/>
          </w:tcPr>
          <w:p w14:paraId="429DEDF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760" w:type="dxa"/>
            <w:tcBorders>
              <w:top w:val="nil"/>
              <w:left w:val="nil"/>
              <w:bottom w:val="single" w:color="auto" w:sz="4" w:space="0"/>
              <w:right w:val="single" w:color="auto" w:sz="4" w:space="0"/>
            </w:tcBorders>
            <w:shd w:val="clear" w:color="000000" w:fill="FFFFFF"/>
            <w:noWrap/>
            <w:vAlign w:val="center"/>
          </w:tcPr>
          <w:p w14:paraId="7DF51BE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中央</w:t>
            </w:r>
          </w:p>
        </w:tc>
        <w:tc>
          <w:tcPr>
            <w:tcW w:w="959" w:type="dxa"/>
            <w:tcBorders>
              <w:top w:val="nil"/>
              <w:left w:val="nil"/>
              <w:bottom w:val="single" w:color="auto" w:sz="4" w:space="0"/>
              <w:right w:val="single" w:color="auto" w:sz="4" w:space="0"/>
            </w:tcBorders>
            <w:shd w:val="clear" w:color="000000" w:fill="FFFFFF"/>
            <w:noWrap/>
            <w:vAlign w:val="center"/>
          </w:tcPr>
          <w:p w14:paraId="5B15E72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5D5DC778">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0FEA6BE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w:t>
            </w:r>
          </w:p>
        </w:tc>
        <w:tc>
          <w:tcPr>
            <w:tcW w:w="5298" w:type="dxa"/>
            <w:tcBorders>
              <w:top w:val="nil"/>
              <w:left w:val="nil"/>
              <w:bottom w:val="single" w:color="auto" w:sz="4" w:space="0"/>
              <w:right w:val="single" w:color="auto" w:sz="4" w:space="0"/>
            </w:tcBorders>
            <w:shd w:val="clear" w:color="000000" w:fill="FFFFFF"/>
            <w:vAlign w:val="center"/>
          </w:tcPr>
          <w:p w14:paraId="407BC7DD">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昆财教〔2023〕7号2023年义务教育家庭经济困难学生生活补助中央资金</w:t>
            </w:r>
          </w:p>
        </w:tc>
        <w:tc>
          <w:tcPr>
            <w:tcW w:w="1134" w:type="dxa"/>
            <w:tcBorders>
              <w:top w:val="nil"/>
              <w:left w:val="nil"/>
              <w:bottom w:val="single" w:color="auto" w:sz="4" w:space="0"/>
              <w:right w:val="single" w:color="auto" w:sz="4" w:space="0"/>
            </w:tcBorders>
            <w:shd w:val="clear" w:color="000000" w:fill="FFFFFF"/>
            <w:noWrap/>
            <w:vAlign w:val="center"/>
          </w:tcPr>
          <w:p w14:paraId="0031278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760" w:type="dxa"/>
            <w:tcBorders>
              <w:top w:val="nil"/>
              <w:left w:val="nil"/>
              <w:bottom w:val="single" w:color="auto" w:sz="4" w:space="0"/>
              <w:right w:val="single" w:color="auto" w:sz="4" w:space="0"/>
            </w:tcBorders>
            <w:shd w:val="clear" w:color="000000" w:fill="FFFFFF"/>
            <w:noWrap/>
            <w:vAlign w:val="center"/>
          </w:tcPr>
          <w:p w14:paraId="333EBD1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中央</w:t>
            </w:r>
          </w:p>
        </w:tc>
        <w:tc>
          <w:tcPr>
            <w:tcW w:w="959" w:type="dxa"/>
            <w:tcBorders>
              <w:top w:val="nil"/>
              <w:left w:val="nil"/>
              <w:bottom w:val="single" w:color="auto" w:sz="4" w:space="0"/>
              <w:right w:val="single" w:color="auto" w:sz="4" w:space="0"/>
            </w:tcBorders>
            <w:shd w:val="clear" w:color="000000" w:fill="FFFFFF"/>
            <w:noWrap/>
            <w:vAlign w:val="center"/>
          </w:tcPr>
          <w:p w14:paraId="0207D09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72925F6">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32BC28DA">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3</w:t>
            </w:r>
          </w:p>
        </w:tc>
        <w:tc>
          <w:tcPr>
            <w:tcW w:w="5298" w:type="dxa"/>
            <w:tcBorders>
              <w:top w:val="nil"/>
              <w:left w:val="nil"/>
              <w:bottom w:val="single" w:color="auto" w:sz="4" w:space="0"/>
              <w:right w:val="single" w:color="auto" w:sz="4" w:space="0"/>
            </w:tcBorders>
            <w:shd w:val="clear" w:color="000000" w:fill="FFFFFF"/>
            <w:vAlign w:val="center"/>
          </w:tcPr>
          <w:p w14:paraId="04D39BCA">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昆财教〔2022〕104号2022年普通高中脱贫家庭经济困难学生生活补助省级补助资金</w:t>
            </w:r>
          </w:p>
        </w:tc>
        <w:tc>
          <w:tcPr>
            <w:tcW w:w="1134" w:type="dxa"/>
            <w:tcBorders>
              <w:top w:val="nil"/>
              <w:left w:val="nil"/>
              <w:bottom w:val="single" w:color="auto" w:sz="4" w:space="0"/>
              <w:right w:val="single" w:color="auto" w:sz="4" w:space="0"/>
            </w:tcBorders>
            <w:shd w:val="clear" w:color="000000" w:fill="FFFFFF"/>
            <w:noWrap/>
            <w:vAlign w:val="center"/>
          </w:tcPr>
          <w:p w14:paraId="7F0A375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760" w:type="dxa"/>
            <w:tcBorders>
              <w:top w:val="nil"/>
              <w:left w:val="nil"/>
              <w:bottom w:val="single" w:color="auto" w:sz="4" w:space="0"/>
              <w:right w:val="single" w:color="auto" w:sz="4" w:space="0"/>
            </w:tcBorders>
            <w:shd w:val="clear" w:color="000000" w:fill="FFFFFF"/>
            <w:noWrap/>
            <w:vAlign w:val="center"/>
          </w:tcPr>
          <w:p w14:paraId="5450D32C">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省级</w:t>
            </w:r>
          </w:p>
        </w:tc>
        <w:tc>
          <w:tcPr>
            <w:tcW w:w="959" w:type="dxa"/>
            <w:tcBorders>
              <w:top w:val="nil"/>
              <w:left w:val="nil"/>
              <w:bottom w:val="single" w:color="auto" w:sz="4" w:space="0"/>
              <w:right w:val="single" w:color="auto" w:sz="4" w:space="0"/>
            </w:tcBorders>
            <w:shd w:val="clear" w:color="000000" w:fill="FFFFFF"/>
            <w:noWrap/>
            <w:vAlign w:val="center"/>
          </w:tcPr>
          <w:p w14:paraId="1BC4D43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7F88A4AE">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0F1C7B15">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4</w:t>
            </w:r>
          </w:p>
        </w:tc>
        <w:tc>
          <w:tcPr>
            <w:tcW w:w="5298" w:type="dxa"/>
            <w:tcBorders>
              <w:top w:val="nil"/>
              <w:left w:val="nil"/>
              <w:bottom w:val="single" w:color="auto" w:sz="4" w:space="0"/>
              <w:right w:val="single" w:color="auto" w:sz="4" w:space="0"/>
            </w:tcBorders>
            <w:shd w:val="clear" w:color="000000" w:fill="FFFFFF"/>
            <w:vAlign w:val="center"/>
          </w:tcPr>
          <w:p w14:paraId="157FA5E4">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昆财教〔2023〕62号义务教育家庭经济困难学生生活补助资金</w:t>
            </w:r>
          </w:p>
        </w:tc>
        <w:tc>
          <w:tcPr>
            <w:tcW w:w="1134" w:type="dxa"/>
            <w:tcBorders>
              <w:top w:val="nil"/>
              <w:left w:val="nil"/>
              <w:bottom w:val="single" w:color="auto" w:sz="4" w:space="0"/>
              <w:right w:val="single" w:color="auto" w:sz="4" w:space="0"/>
            </w:tcBorders>
            <w:shd w:val="clear" w:color="000000" w:fill="FFFFFF"/>
            <w:noWrap/>
            <w:vAlign w:val="center"/>
          </w:tcPr>
          <w:p w14:paraId="1D65640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760" w:type="dxa"/>
            <w:tcBorders>
              <w:top w:val="nil"/>
              <w:left w:val="nil"/>
              <w:bottom w:val="single" w:color="auto" w:sz="4" w:space="0"/>
              <w:right w:val="single" w:color="auto" w:sz="4" w:space="0"/>
            </w:tcBorders>
            <w:shd w:val="clear" w:color="000000" w:fill="FFFFFF"/>
            <w:noWrap/>
            <w:vAlign w:val="center"/>
          </w:tcPr>
          <w:p w14:paraId="0D4271F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2C96588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0A0716C8">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23DD2D31">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5</w:t>
            </w:r>
          </w:p>
        </w:tc>
        <w:tc>
          <w:tcPr>
            <w:tcW w:w="5298" w:type="dxa"/>
            <w:tcBorders>
              <w:top w:val="nil"/>
              <w:left w:val="nil"/>
              <w:bottom w:val="single" w:color="auto" w:sz="4" w:space="0"/>
              <w:right w:val="single" w:color="auto" w:sz="4" w:space="0"/>
            </w:tcBorders>
            <w:shd w:val="clear" w:color="000000" w:fill="FFFFFF"/>
            <w:vAlign w:val="center"/>
          </w:tcPr>
          <w:p w14:paraId="356BF0D6">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富财预〔2023〕1号2022年第二批义务家庭经济困难学生生活补助市级资金</w:t>
            </w:r>
          </w:p>
        </w:tc>
        <w:tc>
          <w:tcPr>
            <w:tcW w:w="1134" w:type="dxa"/>
            <w:tcBorders>
              <w:top w:val="nil"/>
              <w:left w:val="nil"/>
              <w:bottom w:val="single" w:color="auto" w:sz="4" w:space="0"/>
              <w:right w:val="single" w:color="auto" w:sz="4" w:space="0"/>
            </w:tcBorders>
            <w:shd w:val="clear" w:color="000000" w:fill="FFFFFF"/>
            <w:noWrap/>
            <w:vAlign w:val="center"/>
          </w:tcPr>
          <w:p w14:paraId="30A2F77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760" w:type="dxa"/>
            <w:tcBorders>
              <w:top w:val="nil"/>
              <w:left w:val="nil"/>
              <w:bottom w:val="single" w:color="auto" w:sz="4" w:space="0"/>
              <w:right w:val="single" w:color="auto" w:sz="4" w:space="0"/>
            </w:tcBorders>
            <w:shd w:val="clear" w:color="000000" w:fill="FFFFFF"/>
            <w:noWrap/>
            <w:vAlign w:val="center"/>
          </w:tcPr>
          <w:p w14:paraId="17CCE8F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4E793C3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1481C93B">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6818249B">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6</w:t>
            </w:r>
          </w:p>
        </w:tc>
        <w:tc>
          <w:tcPr>
            <w:tcW w:w="5298" w:type="dxa"/>
            <w:tcBorders>
              <w:top w:val="nil"/>
              <w:left w:val="nil"/>
              <w:bottom w:val="single" w:color="auto" w:sz="4" w:space="0"/>
              <w:right w:val="single" w:color="auto" w:sz="4" w:space="0"/>
            </w:tcBorders>
            <w:shd w:val="clear" w:color="000000" w:fill="FFFFFF"/>
            <w:vAlign w:val="center"/>
          </w:tcPr>
          <w:p w14:paraId="5F8FFC22">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昆财教〔2023〕62号2023年城乡义务教育营养改善补助资金</w:t>
            </w:r>
          </w:p>
        </w:tc>
        <w:tc>
          <w:tcPr>
            <w:tcW w:w="1134" w:type="dxa"/>
            <w:tcBorders>
              <w:top w:val="nil"/>
              <w:left w:val="nil"/>
              <w:bottom w:val="single" w:color="auto" w:sz="4" w:space="0"/>
              <w:right w:val="single" w:color="auto" w:sz="4" w:space="0"/>
            </w:tcBorders>
            <w:shd w:val="clear" w:color="000000" w:fill="FFFFFF"/>
            <w:noWrap/>
            <w:vAlign w:val="center"/>
          </w:tcPr>
          <w:p w14:paraId="4129BFA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760" w:type="dxa"/>
            <w:tcBorders>
              <w:top w:val="nil"/>
              <w:left w:val="nil"/>
              <w:bottom w:val="single" w:color="auto" w:sz="4" w:space="0"/>
              <w:right w:val="single" w:color="auto" w:sz="4" w:space="0"/>
            </w:tcBorders>
            <w:shd w:val="clear" w:color="000000" w:fill="FFFFFF"/>
            <w:noWrap/>
            <w:vAlign w:val="center"/>
          </w:tcPr>
          <w:p w14:paraId="590C311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4E51503F">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58DE4AEE">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41B4D2BC">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7</w:t>
            </w:r>
          </w:p>
        </w:tc>
        <w:tc>
          <w:tcPr>
            <w:tcW w:w="5298" w:type="dxa"/>
            <w:tcBorders>
              <w:top w:val="nil"/>
              <w:left w:val="nil"/>
              <w:bottom w:val="single" w:color="auto" w:sz="4" w:space="0"/>
              <w:right w:val="single" w:color="auto" w:sz="4" w:space="0"/>
            </w:tcBorders>
            <w:shd w:val="clear" w:color="000000" w:fill="FFFFFF"/>
            <w:vAlign w:val="center"/>
          </w:tcPr>
          <w:p w14:paraId="08C7A6F4">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富财教〔2023〕12号云南省建行成长计划专项资金</w:t>
            </w:r>
          </w:p>
        </w:tc>
        <w:tc>
          <w:tcPr>
            <w:tcW w:w="1134" w:type="dxa"/>
            <w:tcBorders>
              <w:top w:val="nil"/>
              <w:left w:val="nil"/>
              <w:bottom w:val="single" w:color="auto" w:sz="4" w:space="0"/>
              <w:right w:val="single" w:color="auto" w:sz="4" w:space="0"/>
            </w:tcBorders>
            <w:shd w:val="clear" w:color="000000" w:fill="FFFFFF"/>
            <w:noWrap/>
            <w:vAlign w:val="center"/>
          </w:tcPr>
          <w:p w14:paraId="5120607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760" w:type="dxa"/>
            <w:tcBorders>
              <w:top w:val="nil"/>
              <w:left w:val="nil"/>
              <w:bottom w:val="single" w:color="auto" w:sz="4" w:space="0"/>
              <w:right w:val="single" w:color="auto" w:sz="4" w:space="0"/>
            </w:tcBorders>
            <w:shd w:val="clear" w:color="000000" w:fill="FFFFFF"/>
            <w:noWrap/>
            <w:vAlign w:val="center"/>
          </w:tcPr>
          <w:p w14:paraId="21AB2B5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w:t>
            </w:r>
          </w:p>
        </w:tc>
        <w:tc>
          <w:tcPr>
            <w:tcW w:w="959" w:type="dxa"/>
            <w:tcBorders>
              <w:top w:val="nil"/>
              <w:left w:val="nil"/>
              <w:bottom w:val="single" w:color="auto" w:sz="4" w:space="0"/>
              <w:right w:val="single" w:color="auto" w:sz="4" w:space="0"/>
            </w:tcBorders>
            <w:shd w:val="clear" w:color="000000" w:fill="FFFFFF"/>
            <w:noWrap/>
            <w:vAlign w:val="center"/>
          </w:tcPr>
          <w:p w14:paraId="057121AE">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123DD94B">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5B7B033E">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8</w:t>
            </w:r>
          </w:p>
        </w:tc>
        <w:tc>
          <w:tcPr>
            <w:tcW w:w="5298" w:type="dxa"/>
            <w:tcBorders>
              <w:top w:val="nil"/>
              <w:left w:val="nil"/>
              <w:bottom w:val="single" w:color="auto" w:sz="4" w:space="0"/>
              <w:right w:val="single" w:color="auto" w:sz="4" w:space="0"/>
            </w:tcBorders>
            <w:shd w:val="clear" w:color="000000" w:fill="FFFFFF"/>
            <w:vAlign w:val="center"/>
          </w:tcPr>
          <w:p w14:paraId="551C3F09">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富财教〔2023〕33号富民县文物管理所2021年水费电费专项补助资金</w:t>
            </w:r>
          </w:p>
        </w:tc>
        <w:tc>
          <w:tcPr>
            <w:tcW w:w="1134" w:type="dxa"/>
            <w:tcBorders>
              <w:top w:val="nil"/>
              <w:left w:val="nil"/>
              <w:bottom w:val="single" w:color="auto" w:sz="4" w:space="0"/>
              <w:right w:val="single" w:color="auto" w:sz="4" w:space="0"/>
            </w:tcBorders>
            <w:shd w:val="clear" w:color="000000" w:fill="FFFFFF"/>
            <w:noWrap/>
            <w:vAlign w:val="center"/>
          </w:tcPr>
          <w:p w14:paraId="1A60125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760" w:type="dxa"/>
            <w:tcBorders>
              <w:top w:val="nil"/>
              <w:left w:val="nil"/>
              <w:bottom w:val="single" w:color="auto" w:sz="4" w:space="0"/>
              <w:right w:val="single" w:color="auto" w:sz="4" w:space="0"/>
            </w:tcBorders>
            <w:shd w:val="clear" w:color="000000" w:fill="FFFFFF"/>
            <w:noWrap/>
            <w:vAlign w:val="center"/>
          </w:tcPr>
          <w:p w14:paraId="7AA9F3EA">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其他</w:t>
            </w:r>
          </w:p>
        </w:tc>
        <w:tc>
          <w:tcPr>
            <w:tcW w:w="959" w:type="dxa"/>
            <w:tcBorders>
              <w:top w:val="nil"/>
              <w:left w:val="nil"/>
              <w:bottom w:val="single" w:color="auto" w:sz="4" w:space="0"/>
              <w:right w:val="single" w:color="auto" w:sz="4" w:space="0"/>
            </w:tcBorders>
            <w:shd w:val="clear" w:color="000000" w:fill="FFFFFF"/>
            <w:noWrap/>
            <w:vAlign w:val="center"/>
          </w:tcPr>
          <w:p w14:paraId="071812FE">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同级横向拨款</w:t>
            </w:r>
          </w:p>
        </w:tc>
      </w:tr>
      <w:tr w14:paraId="3DF92EDC">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667A6061">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9</w:t>
            </w:r>
          </w:p>
        </w:tc>
        <w:tc>
          <w:tcPr>
            <w:tcW w:w="5298" w:type="dxa"/>
            <w:tcBorders>
              <w:top w:val="nil"/>
              <w:left w:val="nil"/>
              <w:bottom w:val="single" w:color="auto" w:sz="4" w:space="0"/>
              <w:right w:val="single" w:color="auto" w:sz="4" w:space="0"/>
            </w:tcBorders>
            <w:shd w:val="clear" w:color="000000" w:fill="FFFFFF"/>
            <w:vAlign w:val="center"/>
          </w:tcPr>
          <w:p w14:paraId="1EEC22A7">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昆财教〔2022〕143号2022年义务教育家庭经济困难学生生活补助专项资金</w:t>
            </w:r>
          </w:p>
        </w:tc>
        <w:tc>
          <w:tcPr>
            <w:tcW w:w="1134" w:type="dxa"/>
            <w:tcBorders>
              <w:top w:val="nil"/>
              <w:left w:val="nil"/>
              <w:bottom w:val="single" w:color="auto" w:sz="4" w:space="0"/>
              <w:right w:val="single" w:color="auto" w:sz="4" w:space="0"/>
            </w:tcBorders>
            <w:shd w:val="clear" w:color="000000" w:fill="FFFFFF"/>
            <w:noWrap/>
            <w:vAlign w:val="center"/>
          </w:tcPr>
          <w:p w14:paraId="6C958EA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760" w:type="dxa"/>
            <w:tcBorders>
              <w:top w:val="nil"/>
              <w:left w:val="nil"/>
              <w:bottom w:val="single" w:color="auto" w:sz="4" w:space="0"/>
              <w:right w:val="single" w:color="auto" w:sz="4" w:space="0"/>
            </w:tcBorders>
            <w:shd w:val="clear" w:color="000000" w:fill="FFFFFF"/>
            <w:noWrap/>
            <w:vAlign w:val="center"/>
          </w:tcPr>
          <w:p w14:paraId="605DAB2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4809CB1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32CBED14">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36FB20D6">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10</w:t>
            </w:r>
          </w:p>
        </w:tc>
        <w:tc>
          <w:tcPr>
            <w:tcW w:w="5298" w:type="dxa"/>
            <w:tcBorders>
              <w:top w:val="nil"/>
              <w:left w:val="nil"/>
              <w:bottom w:val="single" w:color="auto" w:sz="4" w:space="0"/>
              <w:right w:val="single" w:color="auto" w:sz="4" w:space="0"/>
            </w:tcBorders>
            <w:shd w:val="clear" w:color="000000" w:fill="FFFFFF"/>
            <w:vAlign w:val="center"/>
          </w:tcPr>
          <w:p w14:paraId="0F527F31">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昆财教〔2023〕62号2023年城乡义务教育公用经费省级补助资金</w:t>
            </w:r>
          </w:p>
        </w:tc>
        <w:tc>
          <w:tcPr>
            <w:tcW w:w="1134" w:type="dxa"/>
            <w:tcBorders>
              <w:top w:val="nil"/>
              <w:left w:val="nil"/>
              <w:bottom w:val="single" w:color="auto" w:sz="4" w:space="0"/>
              <w:right w:val="single" w:color="auto" w:sz="4" w:space="0"/>
            </w:tcBorders>
            <w:shd w:val="clear" w:color="000000" w:fill="FFFFFF"/>
            <w:noWrap/>
            <w:vAlign w:val="center"/>
          </w:tcPr>
          <w:p w14:paraId="0531D63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760" w:type="dxa"/>
            <w:tcBorders>
              <w:top w:val="nil"/>
              <w:left w:val="nil"/>
              <w:bottom w:val="single" w:color="auto" w:sz="4" w:space="0"/>
              <w:right w:val="single" w:color="auto" w:sz="4" w:space="0"/>
            </w:tcBorders>
            <w:shd w:val="clear" w:color="000000" w:fill="FFFFFF"/>
            <w:noWrap/>
            <w:vAlign w:val="center"/>
          </w:tcPr>
          <w:p w14:paraId="7E0D620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省级</w:t>
            </w:r>
          </w:p>
        </w:tc>
        <w:tc>
          <w:tcPr>
            <w:tcW w:w="959" w:type="dxa"/>
            <w:tcBorders>
              <w:top w:val="nil"/>
              <w:left w:val="nil"/>
              <w:bottom w:val="single" w:color="auto" w:sz="4" w:space="0"/>
              <w:right w:val="single" w:color="auto" w:sz="4" w:space="0"/>
            </w:tcBorders>
            <w:shd w:val="clear" w:color="000000" w:fill="FFFFFF"/>
            <w:noWrap/>
            <w:vAlign w:val="center"/>
          </w:tcPr>
          <w:p w14:paraId="67017BAA">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20EBE2A9">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7ADB9D6E">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11</w:t>
            </w:r>
          </w:p>
        </w:tc>
        <w:tc>
          <w:tcPr>
            <w:tcW w:w="5298" w:type="dxa"/>
            <w:tcBorders>
              <w:top w:val="nil"/>
              <w:left w:val="nil"/>
              <w:bottom w:val="single" w:color="auto" w:sz="4" w:space="0"/>
              <w:right w:val="single" w:color="auto" w:sz="4" w:space="0"/>
            </w:tcBorders>
            <w:shd w:val="clear" w:color="000000" w:fill="FFFFFF"/>
            <w:vAlign w:val="center"/>
          </w:tcPr>
          <w:p w14:paraId="4FA08D37">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昆财教〔2023〕50号2023年城乡义务教育公用经费市级资金</w:t>
            </w:r>
          </w:p>
        </w:tc>
        <w:tc>
          <w:tcPr>
            <w:tcW w:w="1134" w:type="dxa"/>
            <w:tcBorders>
              <w:top w:val="nil"/>
              <w:left w:val="nil"/>
              <w:bottom w:val="single" w:color="auto" w:sz="4" w:space="0"/>
              <w:right w:val="single" w:color="auto" w:sz="4" w:space="0"/>
            </w:tcBorders>
            <w:shd w:val="clear" w:color="000000" w:fill="FFFFFF"/>
            <w:noWrap/>
            <w:vAlign w:val="center"/>
          </w:tcPr>
          <w:p w14:paraId="6EC1F93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760" w:type="dxa"/>
            <w:tcBorders>
              <w:top w:val="nil"/>
              <w:left w:val="nil"/>
              <w:bottom w:val="single" w:color="auto" w:sz="4" w:space="0"/>
              <w:right w:val="single" w:color="auto" w:sz="4" w:space="0"/>
            </w:tcBorders>
            <w:shd w:val="clear" w:color="000000" w:fill="FFFFFF"/>
            <w:noWrap/>
            <w:vAlign w:val="center"/>
          </w:tcPr>
          <w:p w14:paraId="087ACD1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68442A7F">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077D5DD6">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06B39B3E">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12</w:t>
            </w:r>
          </w:p>
        </w:tc>
        <w:tc>
          <w:tcPr>
            <w:tcW w:w="5298" w:type="dxa"/>
            <w:tcBorders>
              <w:top w:val="nil"/>
              <w:left w:val="nil"/>
              <w:bottom w:val="single" w:color="auto" w:sz="4" w:space="0"/>
              <w:right w:val="single" w:color="auto" w:sz="4" w:space="0"/>
            </w:tcBorders>
            <w:shd w:val="clear" w:color="000000" w:fill="FFFFFF"/>
            <w:vAlign w:val="center"/>
          </w:tcPr>
          <w:p w14:paraId="4085DDF6">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富财预〔2023〕1号2022年第二批城乡义务教育公用经费市级资金</w:t>
            </w:r>
          </w:p>
        </w:tc>
        <w:tc>
          <w:tcPr>
            <w:tcW w:w="1134" w:type="dxa"/>
            <w:tcBorders>
              <w:top w:val="nil"/>
              <w:left w:val="nil"/>
              <w:bottom w:val="single" w:color="auto" w:sz="4" w:space="0"/>
              <w:right w:val="single" w:color="auto" w:sz="4" w:space="0"/>
            </w:tcBorders>
            <w:shd w:val="clear" w:color="000000" w:fill="FFFFFF"/>
            <w:noWrap/>
            <w:vAlign w:val="center"/>
          </w:tcPr>
          <w:p w14:paraId="2F6C124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760" w:type="dxa"/>
            <w:tcBorders>
              <w:top w:val="nil"/>
              <w:left w:val="nil"/>
              <w:bottom w:val="single" w:color="auto" w:sz="4" w:space="0"/>
              <w:right w:val="single" w:color="auto" w:sz="4" w:space="0"/>
            </w:tcBorders>
            <w:shd w:val="clear" w:color="000000" w:fill="FFFFFF"/>
            <w:noWrap/>
            <w:vAlign w:val="center"/>
          </w:tcPr>
          <w:p w14:paraId="268F58D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17097A9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294BA550">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144F9273">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13</w:t>
            </w:r>
          </w:p>
        </w:tc>
        <w:tc>
          <w:tcPr>
            <w:tcW w:w="5298" w:type="dxa"/>
            <w:tcBorders>
              <w:top w:val="nil"/>
              <w:left w:val="nil"/>
              <w:bottom w:val="single" w:color="auto" w:sz="4" w:space="0"/>
              <w:right w:val="single" w:color="auto" w:sz="4" w:space="0"/>
            </w:tcBorders>
            <w:shd w:val="clear" w:color="000000" w:fill="FFFFFF"/>
            <w:vAlign w:val="center"/>
          </w:tcPr>
          <w:p w14:paraId="054E3326">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昆财教〔2022〕102号2022年第二批普通高中学生资助中央和省级直达资金</w:t>
            </w:r>
          </w:p>
        </w:tc>
        <w:tc>
          <w:tcPr>
            <w:tcW w:w="1134" w:type="dxa"/>
            <w:tcBorders>
              <w:top w:val="nil"/>
              <w:left w:val="nil"/>
              <w:bottom w:val="single" w:color="auto" w:sz="4" w:space="0"/>
              <w:right w:val="single" w:color="auto" w:sz="4" w:space="0"/>
            </w:tcBorders>
            <w:shd w:val="clear" w:color="000000" w:fill="FFFFFF"/>
            <w:noWrap/>
            <w:vAlign w:val="center"/>
          </w:tcPr>
          <w:p w14:paraId="4A140B0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760" w:type="dxa"/>
            <w:tcBorders>
              <w:top w:val="nil"/>
              <w:left w:val="nil"/>
              <w:bottom w:val="single" w:color="auto" w:sz="4" w:space="0"/>
              <w:right w:val="single" w:color="auto" w:sz="4" w:space="0"/>
            </w:tcBorders>
            <w:shd w:val="clear" w:color="000000" w:fill="FFFFFF"/>
            <w:noWrap/>
            <w:vAlign w:val="center"/>
          </w:tcPr>
          <w:p w14:paraId="0F19D38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中央、省级</w:t>
            </w:r>
          </w:p>
        </w:tc>
        <w:tc>
          <w:tcPr>
            <w:tcW w:w="959" w:type="dxa"/>
            <w:tcBorders>
              <w:top w:val="nil"/>
              <w:left w:val="nil"/>
              <w:bottom w:val="single" w:color="auto" w:sz="4" w:space="0"/>
              <w:right w:val="single" w:color="auto" w:sz="4" w:space="0"/>
            </w:tcBorders>
            <w:shd w:val="clear" w:color="000000" w:fill="FFFFFF"/>
            <w:noWrap/>
            <w:vAlign w:val="center"/>
          </w:tcPr>
          <w:p w14:paraId="3308D253">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00CB4641">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24FF09DF">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14</w:t>
            </w:r>
          </w:p>
        </w:tc>
        <w:tc>
          <w:tcPr>
            <w:tcW w:w="5298" w:type="dxa"/>
            <w:tcBorders>
              <w:top w:val="nil"/>
              <w:left w:val="nil"/>
              <w:bottom w:val="single" w:color="auto" w:sz="4" w:space="0"/>
              <w:right w:val="single" w:color="auto" w:sz="4" w:space="0"/>
            </w:tcBorders>
            <w:shd w:val="clear" w:color="000000" w:fill="FFFFFF"/>
            <w:vAlign w:val="center"/>
          </w:tcPr>
          <w:p w14:paraId="63C46CE3">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昆财教〔2023〕91号高中助学金及免学杂费学生资助专项资金</w:t>
            </w:r>
          </w:p>
        </w:tc>
        <w:tc>
          <w:tcPr>
            <w:tcW w:w="1134" w:type="dxa"/>
            <w:tcBorders>
              <w:top w:val="nil"/>
              <w:left w:val="nil"/>
              <w:bottom w:val="single" w:color="auto" w:sz="4" w:space="0"/>
              <w:right w:val="single" w:color="auto" w:sz="4" w:space="0"/>
            </w:tcBorders>
            <w:shd w:val="clear" w:color="000000" w:fill="FFFFFF"/>
            <w:noWrap/>
            <w:vAlign w:val="center"/>
          </w:tcPr>
          <w:p w14:paraId="3540ED2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760" w:type="dxa"/>
            <w:tcBorders>
              <w:top w:val="nil"/>
              <w:left w:val="nil"/>
              <w:bottom w:val="single" w:color="auto" w:sz="4" w:space="0"/>
              <w:right w:val="single" w:color="auto" w:sz="4" w:space="0"/>
            </w:tcBorders>
            <w:shd w:val="clear" w:color="000000" w:fill="FFFFFF"/>
            <w:noWrap/>
            <w:vAlign w:val="center"/>
          </w:tcPr>
          <w:p w14:paraId="5781A39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7F37CFE0">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64009992">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6E0A4442">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15</w:t>
            </w:r>
          </w:p>
        </w:tc>
        <w:tc>
          <w:tcPr>
            <w:tcW w:w="5298" w:type="dxa"/>
            <w:tcBorders>
              <w:top w:val="nil"/>
              <w:left w:val="nil"/>
              <w:bottom w:val="single" w:color="auto" w:sz="4" w:space="0"/>
              <w:right w:val="single" w:color="auto" w:sz="4" w:space="0"/>
            </w:tcBorders>
            <w:shd w:val="clear" w:color="000000" w:fill="FFFFFF"/>
            <w:vAlign w:val="center"/>
          </w:tcPr>
          <w:p w14:paraId="6EAC6D29">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昆财教〔2022〕78号2022年第二批普通高中脱贫家庭经济困难学生生活补助市级补助资金</w:t>
            </w:r>
          </w:p>
        </w:tc>
        <w:tc>
          <w:tcPr>
            <w:tcW w:w="1134" w:type="dxa"/>
            <w:tcBorders>
              <w:top w:val="nil"/>
              <w:left w:val="nil"/>
              <w:bottom w:val="single" w:color="auto" w:sz="4" w:space="0"/>
              <w:right w:val="single" w:color="auto" w:sz="4" w:space="0"/>
            </w:tcBorders>
            <w:shd w:val="clear" w:color="000000" w:fill="FFFFFF"/>
            <w:noWrap/>
            <w:vAlign w:val="center"/>
          </w:tcPr>
          <w:p w14:paraId="5276C03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760" w:type="dxa"/>
            <w:tcBorders>
              <w:top w:val="nil"/>
              <w:left w:val="nil"/>
              <w:bottom w:val="single" w:color="auto" w:sz="4" w:space="0"/>
              <w:right w:val="single" w:color="auto" w:sz="4" w:space="0"/>
            </w:tcBorders>
            <w:shd w:val="clear" w:color="000000" w:fill="FFFFFF"/>
            <w:noWrap/>
            <w:vAlign w:val="center"/>
          </w:tcPr>
          <w:p w14:paraId="5F6E093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274A4738">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0CB0F938">
        <w:tblPrEx>
          <w:tblCellMar>
            <w:top w:w="0" w:type="dxa"/>
            <w:left w:w="108" w:type="dxa"/>
            <w:bottom w:w="0" w:type="dxa"/>
            <w:right w:w="108" w:type="dxa"/>
          </w:tblCellMar>
        </w:tblPrEx>
        <w:trPr>
          <w:trHeight w:val="275"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65E34C2B">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16</w:t>
            </w:r>
          </w:p>
        </w:tc>
        <w:tc>
          <w:tcPr>
            <w:tcW w:w="5298" w:type="dxa"/>
            <w:tcBorders>
              <w:top w:val="nil"/>
              <w:left w:val="nil"/>
              <w:bottom w:val="single" w:color="auto" w:sz="4" w:space="0"/>
              <w:right w:val="single" w:color="auto" w:sz="4" w:space="0"/>
            </w:tcBorders>
            <w:shd w:val="clear" w:color="000000" w:fill="FFFFFF"/>
            <w:vAlign w:val="center"/>
          </w:tcPr>
          <w:p w14:paraId="2154EF45">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富财预〔2023〕1号2022年普通高中学生资助第二批市级资金</w:t>
            </w:r>
          </w:p>
        </w:tc>
        <w:tc>
          <w:tcPr>
            <w:tcW w:w="1134" w:type="dxa"/>
            <w:tcBorders>
              <w:top w:val="nil"/>
              <w:left w:val="nil"/>
              <w:bottom w:val="single" w:color="auto" w:sz="4" w:space="0"/>
              <w:right w:val="single" w:color="auto" w:sz="4" w:space="0"/>
            </w:tcBorders>
            <w:shd w:val="clear" w:color="000000" w:fill="FFFFFF"/>
            <w:noWrap/>
            <w:vAlign w:val="center"/>
          </w:tcPr>
          <w:p w14:paraId="58949D1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760" w:type="dxa"/>
            <w:tcBorders>
              <w:top w:val="nil"/>
              <w:left w:val="nil"/>
              <w:bottom w:val="single" w:color="auto" w:sz="4" w:space="0"/>
              <w:right w:val="single" w:color="auto" w:sz="4" w:space="0"/>
            </w:tcBorders>
            <w:shd w:val="clear" w:color="000000" w:fill="FFFFFF"/>
            <w:noWrap/>
            <w:vAlign w:val="center"/>
          </w:tcPr>
          <w:p w14:paraId="1B66D7E2">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68DCF4A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　</w:t>
            </w:r>
          </w:p>
        </w:tc>
      </w:tr>
      <w:tr w14:paraId="411A11A0">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24CAAF48">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17</w:t>
            </w:r>
          </w:p>
        </w:tc>
        <w:tc>
          <w:tcPr>
            <w:tcW w:w="5298" w:type="dxa"/>
            <w:tcBorders>
              <w:top w:val="nil"/>
              <w:left w:val="nil"/>
              <w:bottom w:val="single" w:color="auto" w:sz="4" w:space="0"/>
              <w:right w:val="single" w:color="auto" w:sz="4" w:space="0"/>
            </w:tcBorders>
            <w:shd w:val="clear" w:color="000000" w:fill="FFFFFF"/>
            <w:vAlign w:val="center"/>
          </w:tcPr>
          <w:p w14:paraId="3D4536DB">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富教通〔2020〕147号2020年第三批城乡义务教育营养改善补助中央专项资金</w:t>
            </w:r>
          </w:p>
        </w:tc>
        <w:tc>
          <w:tcPr>
            <w:tcW w:w="1134" w:type="dxa"/>
            <w:tcBorders>
              <w:top w:val="nil"/>
              <w:left w:val="nil"/>
              <w:bottom w:val="single" w:color="auto" w:sz="4" w:space="0"/>
              <w:right w:val="single" w:color="auto" w:sz="4" w:space="0"/>
            </w:tcBorders>
            <w:shd w:val="clear" w:color="000000" w:fill="FFFFFF"/>
            <w:noWrap/>
            <w:vAlign w:val="center"/>
          </w:tcPr>
          <w:p w14:paraId="20E6156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231,570.75</w:t>
            </w:r>
          </w:p>
        </w:tc>
        <w:tc>
          <w:tcPr>
            <w:tcW w:w="760" w:type="dxa"/>
            <w:tcBorders>
              <w:top w:val="nil"/>
              <w:left w:val="nil"/>
              <w:bottom w:val="single" w:color="auto" w:sz="4" w:space="0"/>
              <w:right w:val="single" w:color="auto" w:sz="4" w:space="0"/>
            </w:tcBorders>
            <w:shd w:val="clear" w:color="000000" w:fill="FFFFFF"/>
            <w:noWrap/>
            <w:vAlign w:val="center"/>
          </w:tcPr>
          <w:p w14:paraId="107F7DB4">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中央</w:t>
            </w:r>
          </w:p>
        </w:tc>
        <w:tc>
          <w:tcPr>
            <w:tcW w:w="959" w:type="dxa"/>
            <w:tcBorders>
              <w:top w:val="nil"/>
              <w:left w:val="nil"/>
              <w:bottom w:val="single" w:color="auto" w:sz="4" w:space="0"/>
              <w:right w:val="single" w:color="auto" w:sz="4" w:space="0"/>
            </w:tcBorders>
            <w:shd w:val="clear" w:color="000000" w:fill="FFFFFF"/>
            <w:noWrap/>
            <w:vAlign w:val="center"/>
          </w:tcPr>
          <w:p w14:paraId="41D74A51">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结转资金</w:t>
            </w:r>
          </w:p>
        </w:tc>
      </w:tr>
      <w:tr w14:paraId="5557131C">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716F8A4D">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18</w:t>
            </w:r>
          </w:p>
        </w:tc>
        <w:tc>
          <w:tcPr>
            <w:tcW w:w="5298" w:type="dxa"/>
            <w:tcBorders>
              <w:top w:val="nil"/>
              <w:left w:val="nil"/>
              <w:bottom w:val="single" w:color="auto" w:sz="4" w:space="0"/>
              <w:right w:val="single" w:color="auto" w:sz="4" w:space="0"/>
            </w:tcBorders>
            <w:shd w:val="clear" w:color="000000" w:fill="FFFFFF"/>
            <w:vAlign w:val="center"/>
          </w:tcPr>
          <w:p w14:paraId="2DECB722">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富教通〔2020〕151号2020年第二批农村义务教育学生营养改善计划市级补助资金</w:t>
            </w:r>
          </w:p>
        </w:tc>
        <w:tc>
          <w:tcPr>
            <w:tcW w:w="1134" w:type="dxa"/>
            <w:tcBorders>
              <w:top w:val="nil"/>
              <w:left w:val="nil"/>
              <w:bottom w:val="single" w:color="auto" w:sz="4" w:space="0"/>
              <w:right w:val="single" w:color="auto" w:sz="4" w:space="0"/>
            </w:tcBorders>
            <w:shd w:val="clear" w:color="000000" w:fill="FFFFFF"/>
            <w:noWrap/>
            <w:vAlign w:val="center"/>
          </w:tcPr>
          <w:p w14:paraId="4DBE4FD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40,100.00</w:t>
            </w:r>
          </w:p>
        </w:tc>
        <w:tc>
          <w:tcPr>
            <w:tcW w:w="760" w:type="dxa"/>
            <w:tcBorders>
              <w:top w:val="nil"/>
              <w:left w:val="nil"/>
              <w:bottom w:val="single" w:color="auto" w:sz="4" w:space="0"/>
              <w:right w:val="single" w:color="auto" w:sz="4" w:space="0"/>
            </w:tcBorders>
            <w:shd w:val="clear" w:color="000000" w:fill="FFFFFF"/>
            <w:noWrap/>
            <w:vAlign w:val="center"/>
          </w:tcPr>
          <w:p w14:paraId="2E28CDD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2321492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结转资金</w:t>
            </w:r>
          </w:p>
        </w:tc>
      </w:tr>
      <w:tr w14:paraId="3FF189DC">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1501F077">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19</w:t>
            </w:r>
          </w:p>
        </w:tc>
        <w:tc>
          <w:tcPr>
            <w:tcW w:w="5298" w:type="dxa"/>
            <w:tcBorders>
              <w:top w:val="nil"/>
              <w:left w:val="nil"/>
              <w:bottom w:val="single" w:color="auto" w:sz="4" w:space="0"/>
              <w:right w:val="single" w:color="auto" w:sz="4" w:space="0"/>
            </w:tcBorders>
            <w:shd w:val="clear" w:color="000000" w:fill="FFFFFF"/>
            <w:vAlign w:val="center"/>
          </w:tcPr>
          <w:p w14:paraId="438F436E">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富教通〔2020〕138号2020年秋季学期义务教育家庭经济困难学生生活补助市级专项资金</w:t>
            </w:r>
          </w:p>
        </w:tc>
        <w:tc>
          <w:tcPr>
            <w:tcW w:w="1134" w:type="dxa"/>
            <w:tcBorders>
              <w:top w:val="nil"/>
              <w:left w:val="nil"/>
              <w:bottom w:val="single" w:color="auto" w:sz="4" w:space="0"/>
              <w:right w:val="single" w:color="auto" w:sz="4" w:space="0"/>
            </w:tcBorders>
            <w:shd w:val="clear" w:color="000000" w:fill="FFFFFF"/>
            <w:noWrap/>
            <w:vAlign w:val="center"/>
          </w:tcPr>
          <w:p w14:paraId="07C8CED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85,504.00</w:t>
            </w:r>
          </w:p>
        </w:tc>
        <w:tc>
          <w:tcPr>
            <w:tcW w:w="760" w:type="dxa"/>
            <w:tcBorders>
              <w:top w:val="nil"/>
              <w:left w:val="nil"/>
              <w:bottom w:val="single" w:color="auto" w:sz="4" w:space="0"/>
              <w:right w:val="single" w:color="auto" w:sz="4" w:space="0"/>
            </w:tcBorders>
            <w:shd w:val="clear" w:color="000000" w:fill="FFFFFF"/>
            <w:noWrap/>
            <w:vAlign w:val="center"/>
          </w:tcPr>
          <w:p w14:paraId="4953EB1C">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58F259F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结转资金</w:t>
            </w:r>
          </w:p>
        </w:tc>
      </w:tr>
      <w:tr w14:paraId="22D3B946">
        <w:tblPrEx>
          <w:tblCellMar>
            <w:top w:w="0" w:type="dxa"/>
            <w:left w:w="108" w:type="dxa"/>
            <w:bottom w:w="0" w:type="dxa"/>
            <w:right w:w="108" w:type="dxa"/>
          </w:tblCellMar>
        </w:tblPrEx>
        <w:trPr>
          <w:trHeight w:val="38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57216A20">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20</w:t>
            </w:r>
          </w:p>
        </w:tc>
        <w:tc>
          <w:tcPr>
            <w:tcW w:w="5298" w:type="dxa"/>
            <w:tcBorders>
              <w:top w:val="nil"/>
              <w:left w:val="nil"/>
              <w:bottom w:val="single" w:color="auto" w:sz="4" w:space="0"/>
              <w:right w:val="single" w:color="auto" w:sz="4" w:space="0"/>
            </w:tcBorders>
            <w:shd w:val="clear" w:color="000000" w:fill="FFFFFF"/>
            <w:vAlign w:val="center"/>
          </w:tcPr>
          <w:p w14:paraId="358F1C92">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富教通〔2020〕159号2020年农村义务教育营养改善计划市级补助资金</w:t>
            </w:r>
          </w:p>
        </w:tc>
        <w:tc>
          <w:tcPr>
            <w:tcW w:w="1134" w:type="dxa"/>
            <w:tcBorders>
              <w:top w:val="nil"/>
              <w:left w:val="nil"/>
              <w:bottom w:val="single" w:color="auto" w:sz="4" w:space="0"/>
              <w:right w:val="single" w:color="auto" w:sz="4" w:space="0"/>
            </w:tcBorders>
            <w:shd w:val="clear" w:color="000000" w:fill="FFFFFF"/>
            <w:noWrap/>
            <w:vAlign w:val="center"/>
          </w:tcPr>
          <w:p w14:paraId="7813024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73,200.00</w:t>
            </w:r>
          </w:p>
        </w:tc>
        <w:tc>
          <w:tcPr>
            <w:tcW w:w="760" w:type="dxa"/>
            <w:tcBorders>
              <w:top w:val="nil"/>
              <w:left w:val="nil"/>
              <w:bottom w:val="single" w:color="auto" w:sz="4" w:space="0"/>
              <w:right w:val="single" w:color="auto" w:sz="4" w:space="0"/>
            </w:tcBorders>
            <w:shd w:val="clear" w:color="000000" w:fill="FFFFFF"/>
            <w:noWrap/>
            <w:vAlign w:val="center"/>
          </w:tcPr>
          <w:p w14:paraId="02BC95B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市级</w:t>
            </w:r>
          </w:p>
        </w:tc>
        <w:tc>
          <w:tcPr>
            <w:tcW w:w="959" w:type="dxa"/>
            <w:tcBorders>
              <w:top w:val="nil"/>
              <w:left w:val="nil"/>
              <w:bottom w:val="single" w:color="auto" w:sz="4" w:space="0"/>
              <w:right w:val="single" w:color="auto" w:sz="4" w:space="0"/>
            </w:tcBorders>
            <w:shd w:val="clear" w:color="000000" w:fill="FFFFFF"/>
            <w:noWrap/>
            <w:vAlign w:val="center"/>
          </w:tcPr>
          <w:p w14:paraId="2D397105">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结转资金</w:t>
            </w:r>
          </w:p>
        </w:tc>
      </w:tr>
      <w:tr w14:paraId="6991AA37">
        <w:tblPrEx>
          <w:tblCellMar>
            <w:top w:w="0" w:type="dxa"/>
            <w:left w:w="108" w:type="dxa"/>
            <w:bottom w:w="0" w:type="dxa"/>
            <w:right w:w="108" w:type="dxa"/>
          </w:tblCellMar>
        </w:tblPrEx>
        <w:trPr>
          <w:trHeight w:val="353" w:hRule="atLeast"/>
        </w:trPr>
        <w:tc>
          <w:tcPr>
            <w:tcW w:w="793" w:type="dxa"/>
            <w:tcBorders>
              <w:top w:val="nil"/>
              <w:left w:val="single" w:color="auto" w:sz="4" w:space="0"/>
              <w:bottom w:val="single" w:color="auto" w:sz="4" w:space="0"/>
              <w:right w:val="single" w:color="auto" w:sz="4" w:space="0"/>
            </w:tcBorders>
            <w:shd w:val="clear" w:color="000000" w:fill="FFFFFF"/>
            <w:noWrap/>
            <w:vAlign w:val="center"/>
          </w:tcPr>
          <w:p w14:paraId="7E0F91BE">
            <w:pPr>
              <w:widowControl/>
              <w:jc w:val="center"/>
              <w:rPr>
                <w:rFonts w:ascii="仿宋" w:hAnsi="仿宋" w:eastAsia="仿宋" w:cs="宋体"/>
                <w:b/>
                <w:bCs/>
                <w:color w:val="000000"/>
                <w:kern w:val="0"/>
                <w:sz w:val="18"/>
                <w:szCs w:val="18"/>
              </w:rPr>
            </w:pPr>
            <w:r>
              <w:rPr>
                <w:rFonts w:hint="eastAsia" w:ascii="仿宋" w:hAnsi="仿宋" w:eastAsia="仿宋" w:cs="宋体"/>
                <w:b/>
                <w:bCs/>
                <w:color w:val="000000"/>
                <w:kern w:val="0"/>
                <w:sz w:val="18"/>
                <w:szCs w:val="18"/>
              </w:rPr>
              <w:t>合计</w:t>
            </w:r>
          </w:p>
        </w:tc>
        <w:tc>
          <w:tcPr>
            <w:tcW w:w="5298" w:type="dxa"/>
            <w:tcBorders>
              <w:top w:val="nil"/>
              <w:left w:val="nil"/>
              <w:bottom w:val="single" w:color="auto" w:sz="4" w:space="0"/>
              <w:right w:val="single" w:color="auto" w:sz="4" w:space="0"/>
            </w:tcBorders>
            <w:shd w:val="clear" w:color="000000" w:fill="FFFFFF"/>
            <w:noWrap/>
            <w:vAlign w:val="center"/>
          </w:tcPr>
          <w:p w14:paraId="2B861BCF">
            <w:pPr>
              <w:widowControl/>
              <w:jc w:val="left"/>
              <w:rPr>
                <w:rFonts w:ascii="等线" w:hAnsi="等线" w:eastAsia="等线" w:cs="宋体"/>
                <w:b/>
                <w:bCs/>
                <w:color w:val="000000"/>
                <w:kern w:val="0"/>
                <w:sz w:val="22"/>
              </w:rPr>
            </w:pPr>
            <w:r>
              <w:rPr>
                <w:rFonts w:hint="eastAsia" w:ascii="等线" w:hAnsi="等线" w:eastAsia="等线" w:cs="宋体"/>
                <w:b/>
                <w:bCs/>
                <w:color w:val="000000"/>
                <w:kern w:val="0"/>
                <w:sz w:val="22"/>
              </w:rPr>
              <w:t>　</w:t>
            </w:r>
          </w:p>
        </w:tc>
        <w:tc>
          <w:tcPr>
            <w:tcW w:w="1134" w:type="dxa"/>
            <w:tcBorders>
              <w:top w:val="nil"/>
              <w:left w:val="nil"/>
              <w:bottom w:val="single" w:color="auto" w:sz="4" w:space="0"/>
              <w:right w:val="single" w:color="auto" w:sz="4" w:space="0"/>
            </w:tcBorders>
            <w:shd w:val="clear" w:color="000000" w:fill="FFFFFF"/>
            <w:noWrap/>
            <w:vAlign w:val="center"/>
          </w:tcPr>
          <w:p w14:paraId="445862D3">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4,274,832.25</w:t>
            </w:r>
          </w:p>
        </w:tc>
        <w:tc>
          <w:tcPr>
            <w:tcW w:w="760" w:type="dxa"/>
            <w:tcBorders>
              <w:top w:val="nil"/>
              <w:left w:val="nil"/>
              <w:bottom w:val="single" w:color="auto" w:sz="4" w:space="0"/>
              <w:right w:val="single" w:color="auto" w:sz="4" w:space="0"/>
            </w:tcBorders>
            <w:shd w:val="clear" w:color="000000" w:fill="FFFFFF"/>
            <w:noWrap/>
            <w:vAlign w:val="center"/>
          </w:tcPr>
          <w:p w14:paraId="0BDFDDC2">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959" w:type="dxa"/>
            <w:tcBorders>
              <w:top w:val="nil"/>
              <w:left w:val="nil"/>
              <w:bottom w:val="single" w:color="auto" w:sz="4" w:space="0"/>
              <w:right w:val="single" w:color="auto" w:sz="4" w:space="0"/>
            </w:tcBorders>
            <w:shd w:val="clear" w:color="000000" w:fill="FFFFFF"/>
            <w:noWrap/>
            <w:vAlign w:val="center"/>
          </w:tcPr>
          <w:p w14:paraId="227AD938">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14:paraId="1F7104A5"/>
    <w:p w14:paraId="27075633">
      <w:pPr>
        <w:spacing w:line="579" w:lineRule="exact"/>
        <w:ind w:firstLine="600" w:firstLineChars="200"/>
        <w:rPr>
          <w:rFonts w:ascii="仿宋_GB2312" w:hAnsi="仿宋" w:eastAsia="仿宋_GB2312" w:cs="Times New Roman"/>
          <w:b/>
          <w:bCs/>
          <w:kern w:val="30"/>
          <w:sz w:val="30"/>
          <w:szCs w:val="30"/>
        </w:rPr>
      </w:pPr>
      <w:r>
        <w:rPr>
          <w:rFonts w:ascii="仿宋_GB2312" w:hAnsi="仿宋" w:eastAsia="仿宋_GB2312" w:cs="Times New Roman"/>
          <w:b/>
          <w:bCs/>
          <w:kern w:val="30"/>
          <w:sz w:val="30"/>
          <w:szCs w:val="30"/>
        </w:rPr>
        <w:t>2.部门决算情况</w:t>
      </w:r>
    </w:p>
    <w:p w14:paraId="1FE9C0EE">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2023年决算</w:t>
      </w:r>
      <w:r>
        <w:rPr>
          <w:rFonts w:hint="eastAsia" w:ascii="仿宋_GB2312" w:hAnsi="仿宋" w:eastAsia="仿宋_GB2312" w:cs="Times New Roman"/>
          <w:kern w:val="30"/>
          <w:sz w:val="30"/>
          <w:szCs w:val="30"/>
        </w:rPr>
        <w:t>收入为5420.61万元，其中：</w:t>
      </w:r>
      <w:r>
        <w:rPr>
          <w:rFonts w:ascii="仿宋_GB2312" w:hAnsi="仿宋" w:eastAsia="仿宋_GB2312" w:cs="Times New Roman"/>
          <w:kern w:val="30"/>
          <w:sz w:val="30"/>
          <w:szCs w:val="30"/>
        </w:rPr>
        <w:t>年初结转结余</w:t>
      </w:r>
      <w:r>
        <w:rPr>
          <w:rFonts w:hint="eastAsia" w:ascii="仿宋_GB2312" w:hAnsi="仿宋" w:eastAsia="仿宋_GB2312" w:cs="Times New Roman"/>
          <w:kern w:val="30"/>
          <w:sz w:val="30"/>
          <w:szCs w:val="30"/>
        </w:rPr>
        <w:t>106.08</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、一般公共预算财政拨款收入5192.26万元、其他收入122.12万元。</w:t>
      </w:r>
    </w:p>
    <w:p w14:paraId="4CC38B4F">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2023年决算</w:t>
      </w:r>
      <w:r>
        <w:rPr>
          <w:rFonts w:hint="eastAsia" w:ascii="仿宋_GB2312" w:hAnsi="仿宋" w:eastAsia="仿宋_GB2312" w:cs="Times New Roman"/>
          <w:kern w:val="30"/>
          <w:sz w:val="30"/>
          <w:szCs w:val="30"/>
        </w:rPr>
        <w:t>支出为5348.66万元，其中：基本支出4651.96万元、项目支出696.70万元。</w:t>
      </w:r>
    </w:p>
    <w:p w14:paraId="681710A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富民一中2023</w:t>
      </w:r>
      <w:r>
        <w:rPr>
          <w:rFonts w:ascii="仿宋_GB2312" w:hAnsi="仿宋" w:eastAsia="仿宋_GB2312" w:cs="Times New Roman"/>
          <w:kern w:val="30"/>
          <w:sz w:val="30"/>
          <w:szCs w:val="30"/>
        </w:rPr>
        <w:t>年末结转结余</w:t>
      </w:r>
      <w:r>
        <w:rPr>
          <w:rFonts w:hint="eastAsia" w:ascii="仿宋_GB2312" w:hAnsi="仿宋" w:eastAsia="仿宋_GB2312" w:cs="Times New Roman"/>
          <w:kern w:val="30"/>
          <w:sz w:val="30"/>
          <w:szCs w:val="30"/>
        </w:rPr>
        <w:t>资金为71.94</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，与年初结转结余资金106.08</w:t>
      </w:r>
      <w:r>
        <w:rPr>
          <w:rFonts w:ascii="仿宋_GB2312" w:hAnsi="仿宋" w:eastAsia="仿宋_GB2312" w:cs="Times New Roman"/>
          <w:kern w:val="30"/>
          <w:sz w:val="30"/>
          <w:szCs w:val="30"/>
        </w:rPr>
        <w:t>万元</w:t>
      </w:r>
      <w:r>
        <w:rPr>
          <w:rFonts w:hint="eastAsia" w:ascii="仿宋_GB2312" w:hAnsi="仿宋" w:eastAsia="仿宋_GB2312" w:cs="Times New Roman"/>
          <w:kern w:val="30"/>
          <w:sz w:val="30"/>
          <w:szCs w:val="30"/>
        </w:rPr>
        <w:t>相比，减少34.13万元，降幅为32.18</w:t>
      </w:r>
      <w:r>
        <w:rPr>
          <w:rFonts w:ascii="仿宋_GB2312" w:hAnsi="仿宋" w:eastAsia="仿宋_GB2312" w:cs="Times New Roman"/>
          <w:kern w:val="30"/>
          <w:sz w:val="30"/>
          <w:szCs w:val="30"/>
        </w:rPr>
        <w:t>%。</w:t>
      </w:r>
    </w:p>
    <w:p w14:paraId="2607BFEE">
      <w:pPr>
        <w:spacing w:line="590" w:lineRule="exact"/>
        <w:ind w:firstLine="624" w:firstLineChars="200"/>
        <w:outlineLvl w:val="1"/>
        <w:rPr>
          <w:rFonts w:ascii="楷体_GB2312" w:hAnsi="Times New Roman" w:eastAsia="楷体_GB2312" w:cs="Times New Roman"/>
          <w:spacing w:val="6"/>
          <w:kern w:val="0"/>
          <w:sz w:val="30"/>
          <w:szCs w:val="30"/>
        </w:rPr>
      </w:pPr>
      <w:bookmarkStart w:id="34" w:name="_Toc18748"/>
      <w:bookmarkStart w:id="35" w:name="_Toc173402306"/>
      <w:bookmarkStart w:id="36" w:name="_Toc180163169"/>
      <w:bookmarkStart w:id="37" w:name="_Toc173402198"/>
      <w:r>
        <w:rPr>
          <w:rFonts w:ascii="楷体_GB2312" w:hAnsi="Times New Roman" w:eastAsia="楷体_GB2312" w:cs="Times New Roman"/>
          <w:spacing w:val="6"/>
          <w:kern w:val="0"/>
          <w:sz w:val="30"/>
          <w:szCs w:val="30"/>
        </w:rPr>
        <w:t>（三）部门绩效目标设立情况</w:t>
      </w:r>
      <w:bookmarkEnd w:id="34"/>
      <w:bookmarkEnd w:id="35"/>
      <w:bookmarkEnd w:id="36"/>
      <w:bookmarkEnd w:id="37"/>
    </w:p>
    <w:p w14:paraId="43DFD25E">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1.</w:t>
      </w:r>
      <w:r>
        <w:rPr>
          <w:rFonts w:hint="eastAsia" w:ascii="仿宋_GB2312" w:hAnsi="仿宋" w:eastAsia="仿宋_GB2312" w:cs="Times New Roman"/>
          <w:kern w:val="30"/>
          <w:sz w:val="30"/>
          <w:szCs w:val="30"/>
        </w:rPr>
        <w:t>批复（下达）的部门整体绩效目标</w:t>
      </w:r>
    </w:p>
    <w:p w14:paraId="5611038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富民一中为富民县教育体育局所属事业单位，申报的2023年部门整体绩效目标如下：</w:t>
      </w:r>
    </w:p>
    <w:p w14:paraId="3F70264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（1）数量指标</w:t>
      </w:r>
    </w:p>
    <w:p w14:paraId="6288B04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校园数量≥18个</w:t>
      </w:r>
    </w:p>
    <w:p w14:paraId="0BCE0A5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（2）质量指标</w:t>
      </w:r>
    </w:p>
    <w:p w14:paraId="0424374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预算执行率=100%。</w:t>
      </w:r>
    </w:p>
    <w:p w14:paraId="3510F032">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（3）成本指标</w:t>
      </w:r>
    </w:p>
    <w:p w14:paraId="19515C6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生态环境成本≤33550.5万元。</w:t>
      </w:r>
    </w:p>
    <w:p w14:paraId="7526DB82">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（4）社会效益指标</w:t>
      </w:r>
    </w:p>
    <w:p w14:paraId="12A8588D">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促进本地区教育发展，提高教育教学质量≥90%</w:t>
      </w:r>
    </w:p>
    <w:p w14:paraId="6A23AD4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（5）可持续影响指标</w:t>
      </w:r>
    </w:p>
    <w:p w14:paraId="712C518D">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促进当地教育均衡发展≥90%</w:t>
      </w:r>
    </w:p>
    <w:p w14:paraId="185E898F">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（6）满意度指标</w:t>
      </w:r>
    </w:p>
    <w:p w14:paraId="1125E03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教职工满意度≥95</w:t>
      </w:r>
      <w:r>
        <w:rPr>
          <w:rFonts w:ascii="仿宋_GB2312" w:hAnsi="仿宋" w:eastAsia="仿宋_GB2312" w:cs="Times New Roman"/>
          <w:kern w:val="30"/>
          <w:sz w:val="30"/>
          <w:szCs w:val="30"/>
        </w:rPr>
        <w:t>%</w:t>
      </w:r>
    </w:p>
    <w:p w14:paraId="321BAF31">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家长、学生满意度≥95</w:t>
      </w:r>
      <w:r>
        <w:rPr>
          <w:rFonts w:ascii="仿宋_GB2312" w:hAnsi="仿宋" w:eastAsia="仿宋_GB2312" w:cs="Times New Roman"/>
          <w:kern w:val="30"/>
          <w:sz w:val="30"/>
          <w:szCs w:val="30"/>
        </w:rPr>
        <w:t>%</w:t>
      </w:r>
    </w:p>
    <w:p w14:paraId="18266BC0">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具体绩效目标和绩效指标设置情况详见附件1-1部门（单位）整体支出绩效目标表。</w:t>
      </w:r>
    </w:p>
    <w:p w14:paraId="4062ADB2">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2.绩效评价调整后的绩效目标</w:t>
      </w:r>
    </w:p>
    <w:p w14:paraId="5E4BAF62">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因富民一中</w:t>
      </w:r>
      <w:r>
        <w:rPr>
          <w:rFonts w:ascii="仿宋_GB2312" w:hAnsi="仿宋" w:eastAsia="仿宋_GB2312" w:cs="Times New Roman"/>
          <w:kern w:val="30"/>
          <w:sz w:val="30"/>
          <w:szCs w:val="30"/>
        </w:rPr>
        <w:t>2023年部门整体绩效目标</w:t>
      </w:r>
      <w:r>
        <w:rPr>
          <w:rFonts w:hint="eastAsia" w:ascii="仿宋_GB2312" w:hAnsi="仿宋" w:eastAsia="仿宋_GB2312" w:cs="Times New Roman"/>
          <w:kern w:val="30"/>
          <w:sz w:val="30"/>
          <w:szCs w:val="30"/>
        </w:rPr>
        <w:t>设置单一，未包含学校各项核心职责及年度任务，如：德育教育、教学质量、硬件建设、平安校园建设、营养餐计划等，评价组</w:t>
      </w:r>
      <w:r>
        <w:rPr>
          <w:rFonts w:ascii="仿宋_GB2312" w:hAnsi="仿宋" w:eastAsia="仿宋_GB2312" w:cs="Times New Roman"/>
          <w:kern w:val="30"/>
          <w:sz w:val="30"/>
          <w:szCs w:val="30"/>
        </w:rPr>
        <w:t>通过前期实地调研，与</w:t>
      </w: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进行沟通，听取部门履职情况介绍，结合</w:t>
      </w:r>
      <w:r>
        <w:rPr>
          <w:rFonts w:hint="eastAsia" w:ascii="仿宋_GB2312" w:hAnsi="仿宋" w:eastAsia="仿宋_GB2312" w:cs="Times New Roman"/>
          <w:kern w:val="30"/>
          <w:sz w:val="30"/>
          <w:szCs w:val="30"/>
        </w:rPr>
        <w:t>现有的法规政策文件和工作要求，并根据“三定方案”和</w:t>
      </w:r>
      <w:r>
        <w:rPr>
          <w:rFonts w:ascii="仿宋_GB2312" w:hAnsi="仿宋" w:eastAsia="仿宋_GB2312" w:cs="Times New Roman"/>
          <w:kern w:val="30"/>
          <w:sz w:val="30"/>
          <w:szCs w:val="30"/>
        </w:rPr>
        <w:t>2023年</w:t>
      </w:r>
      <w:r>
        <w:rPr>
          <w:rFonts w:hint="eastAsia" w:ascii="仿宋_GB2312" w:hAnsi="仿宋" w:eastAsia="仿宋_GB2312" w:cs="Times New Roman"/>
          <w:kern w:val="30"/>
          <w:sz w:val="30"/>
          <w:szCs w:val="30"/>
        </w:rPr>
        <w:t>度</w:t>
      </w:r>
      <w:r>
        <w:rPr>
          <w:rFonts w:ascii="仿宋_GB2312" w:hAnsi="仿宋" w:eastAsia="仿宋_GB2312" w:cs="Times New Roman"/>
          <w:kern w:val="30"/>
          <w:sz w:val="30"/>
          <w:szCs w:val="30"/>
        </w:rPr>
        <w:t>工作</w:t>
      </w:r>
      <w:r>
        <w:rPr>
          <w:rFonts w:hint="eastAsia" w:ascii="仿宋_GB2312" w:hAnsi="仿宋" w:eastAsia="仿宋_GB2312" w:cs="Times New Roman"/>
          <w:kern w:val="30"/>
          <w:sz w:val="30"/>
          <w:szCs w:val="30"/>
        </w:rPr>
        <w:t>目标和</w:t>
      </w:r>
      <w:r>
        <w:rPr>
          <w:rFonts w:ascii="仿宋_GB2312" w:hAnsi="仿宋" w:eastAsia="仿宋_GB2312" w:cs="Times New Roman"/>
          <w:kern w:val="30"/>
          <w:sz w:val="30"/>
          <w:szCs w:val="30"/>
        </w:rPr>
        <w:t>部门实际工作情况，</w:t>
      </w:r>
      <w:r>
        <w:rPr>
          <w:rFonts w:hint="eastAsia" w:ascii="仿宋_GB2312" w:hAnsi="仿宋" w:eastAsia="仿宋_GB2312" w:cs="Times New Roman"/>
          <w:kern w:val="30"/>
          <w:sz w:val="30"/>
          <w:szCs w:val="30"/>
        </w:rPr>
        <w:t>对</w:t>
      </w:r>
      <w:r>
        <w:rPr>
          <w:rFonts w:ascii="仿宋_GB2312" w:hAnsi="仿宋" w:eastAsia="仿宋_GB2312" w:cs="Times New Roman"/>
          <w:kern w:val="30"/>
          <w:sz w:val="30"/>
          <w:szCs w:val="30"/>
        </w:rPr>
        <w:t>部门整体绩效目标</w:t>
      </w:r>
      <w:r>
        <w:rPr>
          <w:rFonts w:hint="eastAsia" w:ascii="仿宋_GB2312" w:hAnsi="仿宋" w:eastAsia="仿宋_GB2312" w:cs="Times New Roman"/>
          <w:kern w:val="30"/>
          <w:sz w:val="30"/>
          <w:szCs w:val="30"/>
        </w:rPr>
        <w:t>作</w:t>
      </w:r>
      <w:r>
        <w:rPr>
          <w:rFonts w:ascii="仿宋_GB2312" w:hAnsi="仿宋" w:eastAsia="仿宋_GB2312" w:cs="Times New Roman"/>
          <w:kern w:val="30"/>
          <w:sz w:val="30"/>
          <w:szCs w:val="30"/>
        </w:rPr>
        <w:t>了调整，增加了反映</w:t>
      </w:r>
      <w:r>
        <w:rPr>
          <w:rFonts w:hint="eastAsia" w:ascii="仿宋_GB2312" w:hAnsi="仿宋" w:eastAsia="仿宋_GB2312" w:cs="Times New Roman"/>
          <w:kern w:val="30"/>
          <w:sz w:val="30"/>
          <w:szCs w:val="30"/>
        </w:rPr>
        <w:t>高中办学水平提档、平安校园建设、特色品牌建设等部门履职相关指标</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详见附件</w:t>
      </w:r>
      <w:r>
        <w:rPr>
          <w:rFonts w:ascii="仿宋_GB2312" w:hAnsi="仿宋" w:eastAsia="仿宋_GB2312" w:cs="Times New Roman"/>
          <w:kern w:val="30"/>
          <w:sz w:val="30"/>
          <w:szCs w:val="30"/>
        </w:rPr>
        <w:t>1-2部门（单位）整体支出绩效目标表</w:t>
      </w:r>
      <w:r>
        <w:rPr>
          <w:rFonts w:hint="eastAsia" w:ascii="仿宋_GB2312" w:hAnsi="仿宋" w:eastAsia="仿宋_GB2312" w:cs="Times New Roman"/>
          <w:kern w:val="30"/>
          <w:sz w:val="30"/>
          <w:szCs w:val="30"/>
        </w:rPr>
        <w:t>（调整后）</w:t>
      </w:r>
      <w:r>
        <w:rPr>
          <w:rFonts w:ascii="仿宋_GB2312" w:hAnsi="仿宋" w:eastAsia="仿宋_GB2312" w:cs="Times New Roman"/>
          <w:kern w:val="30"/>
          <w:sz w:val="30"/>
          <w:szCs w:val="30"/>
        </w:rPr>
        <w:t>。</w:t>
      </w:r>
    </w:p>
    <w:bookmarkEnd w:id="25"/>
    <w:bookmarkEnd w:id="26"/>
    <w:bookmarkEnd w:id="27"/>
    <w:bookmarkEnd w:id="28"/>
    <w:p w14:paraId="551ABC9E">
      <w:pPr>
        <w:spacing w:line="590" w:lineRule="exact"/>
        <w:ind w:firstLine="624" w:firstLineChars="200"/>
        <w:outlineLvl w:val="1"/>
        <w:rPr>
          <w:rFonts w:ascii="楷体_GB2312" w:hAnsi="Times New Roman" w:eastAsia="楷体_GB2312" w:cs="Times New Roman"/>
          <w:spacing w:val="6"/>
          <w:kern w:val="0"/>
          <w:sz w:val="30"/>
          <w:szCs w:val="30"/>
        </w:rPr>
      </w:pPr>
      <w:bookmarkStart w:id="38" w:name="_Toc180163170"/>
      <w:bookmarkStart w:id="39" w:name="_Toc173402307"/>
      <w:bookmarkStart w:id="40" w:name="_Toc173402199"/>
      <w:bookmarkStart w:id="41" w:name="_Toc48549812"/>
      <w:bookmarkStart w:id="42" w:name="_Toc18479"/>
      <w:r>
        <w:rPr>
          <w:rFonts w:ascii="楷体_GB2312" w:hAnsi="Times New Roman" w:eastAsia="楷体_GB2312" w:cs="Times New Roman"/>
          <w:spacing w:val="6"/>
          <w:kern w:val="0"/>
          <w:sz w:val="30"/>
          <w:szCs w:val="30"/>
        </w:rPr>
        <w:t>（四）组织管理情况</w:t>
      </w:r>
      <w:bookmarkEnd w:id="38"/>
      <w:bookmarkEnd w:id="39"/>
      <w:bookmarkEnd w:id="40"/>
      <w:bookmarkEnd w:id="41"/>
      <w:bookmarkEnd w:id="42"/>
    </w:p>
    <w:p w14:paraId="6A1B1D2E">
      <w:pPr>
        <w:spacing w:line="579" w:lineRule="exact"/>
        <w:ind w:firstLine="600" w:firstLineChars="200"/>
        <w:rPr>
          <w:rFonts w:ascii="仿宋_GB2312" w:hAnsi="仿宋" w:eastAsia="仿宋_GB2312" w:cs="Times New Roman"/>
          <w:kern w:val="30"/>
          <w:sz w:val="30"/>
          <w:szCs w:val="30"/>
        </w:rPr>
      </w:pPr>
      <w:bookmarkStart w:id="43" w:name="_Toc46659222"/>
      <w:bookmarkStart w:id="44" w:name="_Toc19080"/>
      <w:r>
        <w:rPr>
          <w:rFonts w:ascii="仿宋_GB2312" w:hAnsi="仿宋" w:eastAsia="仿宋_GB2312" w:cs="Times New Roman"/>
          <w:kern w:val="30"/>
          <w:sz w:val="30"/>
          <w:szCs w:val="30"/>
        </w:rPr>
        <w:t>1.</w:t>
      </w:r>
      <w:r>
        <w:rPr>
          <w:rFonts w:hint="eastAsia" w:ascii="仿宋_GB2312" w:hAnsi="仿宋" w:eastAsia="仿宋_GB2312" w:cs="Times New Roman"/>
          <w:kern w:val="30"/>
          <w:sz w:val="30"/>
          <w:szCs w:val="30"/>
        </w:rPr>
        <w:t>部门预算绩效管理</w:t>
      </w:r>
    </w:p>
    <w:p w14:paraId="3901A74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预算收入、支出资金均按要求进行年度预算编制、目标申报、预算执行管理及年终决算管理。其中：基本支出按人员经费、公用经费的相关标准进行预算编报及预算支出管理；项目支出通过年初预算申报、年中预算调整及追加的方式，根据财政部门下达的预算金额执行。</w:t>
      </w:r>
    </w:p>
    <w:p w14:paraId="3B4C446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富民一中预算绩效管理，根据内设机构职责分工，由办公室牵头、各内设科室配合开展全过程预算绩效管理工作，按相关制度的要求开展了年度预算申报、绩效目标管理、绩效监控、绩效评价及结果运用等工作。</w:t>
      </w:r>
    </w:p>
    <w:p w14:paraId="5E19182C">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2.资金管理</w:t>
      </w:r>
    </w:p>
    <w:p w14:paraId="09A2992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富民一中制定了《富民一中财务管理制度》《富民一中经费管理使用制度》《富民一中内控业务流程》等管理办法</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对预算管理、资金管理、资产管理等内控事项作了规范，对于专项支出金额大于2000元的须校务会讨论通过方可支出。</w:t>
      </w:r>
    </w:p>
    <w:p w14:paraId="03DCD988">
      <w:pPr>
        <w:pStyle w:val="145"/>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差旅费、会议费、培训费、接待费等支出，均按照《中共富民县委办公室、富民县人民政府办公室关于印发</w:t>
      </w:r>
      <w:r>
        <w:rPr>
          <w:rFonts w:ascii="仿宋_GB2312" w:hAnsi="仿宋" w:eastAsia="仿宋_GB2312"/>
          <w:kern w:val="30"/>
          <w:sz w:val="30"/>
          <w:szCs w:val="30"/>
        </w:rPr>
        <w:t>〈富民县机关事业单位差旅费管理办法〉的通知》(富办通〔2020〕34号)</w:t>
      </w:r>
      <w:r>
        <w:rPr>
          <w:rFonts w:hint="eastAsia" w:ascii="仿宋_GB2312" w:hAnsi="仿宋" w:eastAsia="仿宋_GB2312"/>
          <w:kern w:val="30"/>
          <w:sz w:val="30"/>
          <w:szCs w:val="30"/>
        </w:rPr>
        <w:t>、</w:t>
      </w:r>
      <w:r>
        <w:rPr>
          <w:rFonts w:ascii="仿宋_GB2312" w:hAnsi="仿宋" w:eastAsia="仿宋_GB2312"/>
          <w:kern w:val="30"/>
          <w:sz w:val="30"/>
          <w:szCs w:val="30"/>
        </w:rPr>
        <w:t>《中共富民县委办公室、富民县人民政府办公室关于印发〈富民县县级机关培训费管理办法〉的通知》（富办通（2015）84号）</w:t>
      </w:r>
      <w:r>
        <w:rPr>
          <w:rFonts w:hint="eastAsia" w:ascii="仿宋_GB2312" w:hAnsi="仿宋" w:eastAsia="仿宋_GB2312"/>
          <w:kern w:val="30"/>
          <w:sz w:val="30"/>
          <w:szCs w:val="30"/>
        </w:rPr>
        <w:t>、《中共富民县委办公室、</w:t>
      </w:r>
      <w:r>
        <w:rPr>
          <w:rFonts w:ascii="仿宋_GB2312" w:hAnsi="仿宋" w:eastAsia="仿宋_GB2312"/>
          <w:kern w:val="30"/>
          <w:sz w:val="30"/>
          <w:szCs w:val="30"/>
        </w:rPr>
        <w:t>富民县人民政府办公室关于印发〈富民县党政机关国内公务接待管理实施细则〉的通知》（富办通〔2015〕63号）</w:t>
      </w:r>
      <w:r>
        <w:rPr>
          <w:rFonts w:hint="eastAsia" w:ascii="仿宋_GB2312" w:hAnsi="仿宋" w:eastAsia="仿宋_GB2312"/>
          <w:kern w:val="30"/>
          <w:sz w:val="30"/>
          <w:szCs w:val="30"/>
        </w:rPr>
        <w:t>等</w:t>
      </w:r>
      <w:r>
        <w:rPr>
          <w:rFonts w:ascii="仿宋_GB2312" w:hAnsi="仿宋" w:eastAsia="仿宋_GB2312"/>
          <w:kern w:val="30"/>
          <w:sz w:val="30"/>
          <w:szCs w:val="30"/>
        </w:rPr>
        <w:t>文件执行。</w:t>
      </w:r>
    </w:p>
    <w:p w14:paraId="4F3ADFDC">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3.业务管理</w:t>
      </w:r>
    </w:p>
    <w:p w14:paraId="70B90AB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富民一中各项业务管理，办公室负责日常运转工作，7个内设机构按照各自职责和年度任务分解，开展各项业务工作，完成具体工作任务。</w:t>
      </w:r>
    </w:p>
    <w:p w14:paraId="6A69283A">
      <w:pPr>
        <w:spacing w:line="579" w:lineRule="exact"/>
        <w:jc w:val="center"/>
        <w:rPr>
          <w:rFonts w:ascii="仿宋_GB2312" w:hAnsi="仿宋" w:eastAsia="仿宋_GB2312" w:cs="Times New Roman"/>
          <w:b/>
          <w:bCs/>
          <w:kern w:val="30"/>
          <w:sz w:val="24"/>
          <w:szCs w:val="24"/>
        </w:rPr>
      </w:pPr>
      <w:r>
        <w:rPr>
          <w:rFonts w:hint="eastAsia" w:ascii="仿宋_GB2312" w:hAnsi="仿宋" w:eastAsia="仿宋_GB2312" w:cs="Times New Roman"/>
          <w:b/>
          <w:bCs/>
          <w:kern w:val="30"/>
          <w:sz w:val="24"/>
          <w:szCs w:val="24"/>
        </w:rPr>
        <w:t>富民一中内设科室职责分工</w:t>
      </w:r>
    </w:p>
    <w:tbl>
      <w:tblPr>
        <w:tblStyle w:val="88"/>
        <w:tblW w:w="8949" w:type="dxa"/>
        <w:tblInd w:w="0" w:type="dxa"/>
        <w:tblLayout w:type="autofit"/>
        <w:tblCellMar>
          <w:top w:w="0" w:type="dxa"/>
          <w:left w:w="108" w:type="dxa"/>
          <w:bottom w:w="0" w:type="dxa"/>
          <w:right w:w="108" w:type="dxa"/>
        </w:tblCellMar>
      </w:tblPr>
      <w:tblGrid>
        <w:gridCol w:w="1576"/>
        <w:gridCol w:w="7373"/>
      </w:tblGrid>
      <w:tr w14:paraId="2B411ACF">
        <w:tblPrEx>
          <w:tblCellMar>
            <w:top w:w="0" w:type="dxa"/>
            <w:left w:w="108" w:type="dxa"/>
            <w:bottom w:w="0" w:type="dxa"/>
            <w:right w:w="108" w:type="dxa"/>
          </w:tblCellMar>
        </w:tblPrEx>
        <w:trPr>
          <w:trHeight w:val="432" w:hRule="atLeast"/>
          <w:tblHeader/>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B54A">
            <w:pPr>
              <w:snapToGrid w:val="0"/>
              <w:jc w:val="center"/>
              <w:textAlignment w:val="center"/>
              <w:rPr>
                <w:rFonts w:ascii="仿宋_GB2312" w:hAnsi="仿宋_GB2312" w:eastAsia="仿宋_GB2312" w:cs="黑体"/>
                <w:b/>
                <w:bCs/>
                <w:color w:val="000000"/>
                <w:szCs w:val="21"/>
              </w:rPr>
            </w:pPr>
            <w:r>
              <w:rPr>
                <w:rFonts w:hint="eastAsia" w:ascii="仿宋_GB2312" w:hAnsi="仿宋_GB2312" w:eastAsia="仿宋_GB2312" w:cs="黑体"/>
                <w:b/>
                <w:bCs/>
                <w:color w:val="000000"/>
                <w:szCs w:val="21"/>
              </w:rPr>
              <w:t>内设机构</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2C922">
            <w:pPr>
              <w:snapToGrid w:val="0"/>
              <w:jc w:val="center"/>
              <w:textAlignment w:val="center"/>
              <w:rPr>
                <w:rFonts w:ascii="仿宋_GB2312" w:hAnsi="仿宋_GB2312" w:eastAsia="仿宋_GB2312" w:cs="黑体"/>
                <w:b/>
                <w:bCs/>
                <w:color w:val="000000"/>
                <w:szCs w:val="21"/>
              </w:rPr>
            </w:pPr>
            <w:r>
              <w:rPr>
                <w:rFonts w:hint="eastAsia" w:ascii="仿宋_GB2312" w:hAnsi="仿宋_GB2312" w:eastAsia="仿宋_GB2312" w:cs="黑体"/>
                <w:b/>
                <w:bCs/>
                <w:color w:val="000000"/>
                <w:szCs w:val="21"/>
              </w:rPr>
              <w:t>职责分工</w:t>
            </w:r>
          </w:p>
        </w:tc>
      </w:tr>
      <w:tr w14:paraId="126F9248">
        <w:tblPrEx>
          <w:tblCellMar>
            <w:top w:w="0" w:type="dxa"/>
            <w:left w:w="108" w:type="dxa"/>
            <w:bottom w:w="0" w:type="dxa"/>
            <w:right w:w="108" w:type="dxa"/>
          </w:tblCellMar>
        </w:tblPrEx>
        <w:trPr>
          <w:trHeight w:val="499"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5B55">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党政办公室</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1807">
            <w:pPr>
              <w:rPr>
                <w:rFonts w:ascii="仿宋_GB2312" w:hAnsi="仿宋_GB2312" w:eastAsia="仿宋_GB2312"/>
                <w:color w:val="000000"/>
                <w:szCs w:val="21"/>
              </w:rPr>
            </w:pPr>
            <w:r>
              <w:rPr>
                <w:rFonts w:hint="eastAsia" w:ascii="仿宋_GB2312" w:hAnsi="仿宋_GB2312" w:eastAsia="仿宋_GB2312"/>
                <w:color w:val="000000"/>
                <w:szCs w:val="21"/>
              </w:rPr>
              <w:t>1.党建工作：负责中心党的建设、党务公开、意识形态、党风廉政建设、精神文明建设、组织、宣传、纪检监察、群团等工作；承担理论学习中心组学习、“三会一课”、民主（组织）生活会等会议的服务工作；完成领导交办的其他工作。</w:t>
            </w:r>
          </w:p>
          <w:p w14:paraId="748DE436">
            <w:pPr>
              <w:rPr>
                <w:rFonts w:ascii="仿宋_GB2312" w:hAnsi="仿宋_GB2312" w:eastAsia="仿宋_GB2312"/>
                <w:color w:val="000000"/>
                <w:szCs w:val="21"/>
              </w:rPr>
            </w:pPr>
            <w:r>
              <w:rPr>
                <w:rFonts w:hint="eastAsia" w:ascii="仿宋_GB2312" w:hAnsi="仿宋_GB2312" w:eastAsia="仿宋_GB2312"/>
                <w:color w:val="000000"/>
                <w:szCs w:val="21"/>
              </w:rPr>
              <w:t>2.人事管理：教职工招聘、考核、晋升、离职等人事手续办理。</w:t>
            </w:r>
          </w:p>
          <w:p w14:paraId="37D4EC32">
            <w:pPr>
              <w:rPr>
                <w:rFonts w:ascii="仿宋_GB2312" w:hAnsi="仿宋_GB2312" w:eastAsia="仿宋_GB2312"/>
                <w:color w:val="000000"/>
                <w:szCs w:val="21"/>
              </w:rPr>
            </w:pPr>
            <w:r>
              <w:rPr>
                <w:rFonts w:hint="eastAsia" w:ascii="仿宋_GB2312" w:hAnsi="仿宋_GB2312" w:eastAsia="仿宋_GB2312"/>
                <w:color w:val="000000"/>
                <w:szCs w:val="21"/>
              </w:rPr>
              <w:t>3.平台管理：负责管理学校公众号校长平台运营管理。</w:t>
            </w:r>
          </w:p>
        </w:tc>
      </w:tr>
      <w:tr w14:paraId="491F439B">
        <w:tblPrEx>
          <w:tblCellMar>
            <w:top w:w="0" w:type="dxa"/>
            <w:left w:w="108" w:type="dxa"/>
            <w:bottom w:w="0" w:type="dxa"/>
            <w:right w:w="108" w:type="dxa"/>
          </w:tblCellMar>
        </w:tblPrEx>
        <w:trPr>
          <w:trHeight w:val="432"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8711B">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总务处</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2737">
            <w:pPr>
              <w:rPr>
                <w:rFonts w:ascii="仿宋_GB2312" w:hAnsi="仿宋_GB2312" w:eastAsia="仿宋_GB2312"/>
                <w:color w:val="000000"/>
                <w:szCs w:val="21"/>
              </w:rPr>
            </w:pPr>
            <w:r>
              <w:rPr>
                <w:rFonts w:hint="eastAsia" w:ascii="仿宋_GB2312" w:hAnsi="仿宋_GB2312" w:eastAsia="仿宋_GB2312"/>
                <w:color w:val="000000"/>
                <w:szCs w:val="21"/>
              </w:rPr>
              <w:t>1.财务管理：预算编制、财务审核、资产管理、财务报告编制。</w:t>
            </w:r>
          </w:p>
          <w:p w14:paraId="3949C63F">
            <w:pPr>
              <w:rPr>
                <w:rFonts w:ascii="仿宋_GB2312" w:hAnsi="仿宋_GB2312" w:eastAsia="仿宋_GB2312"/>
                <w:color w:val="000000"/>
                <w:szCs w:val="21"/>
              </w:rPr>
            </w:pPr>
            <w:r>
              <w:rPr>
                <w:rFonts w:hint="eastAsia" w:ascii="仿宋_GB2312" w:hAnsi="仿宋_GB2312" w:eastAsia="仿宋_GB2312"/>
                <w:color w:val="000000"/>
                <w:szCs w:val="21"/>
              </w:rPr>
              <w:t>2.后勤保障：校园设施维护、环境卫生、餐饮服务等。</w:t>
            </w:r>
          </w:p>
          <w:p w14:paraId="181DEA30">
            <w:pPr>
              <w:rPr>
                <w:rFonts w:ascii="仿宋_GB2312" w:hAnsi="仿宋_GB2312" w:eastAsia="仿宋_GB2312"/>
                <w:color w:val="000000"/>
                <w:szCs w:val="21"/>
              </w:rPr>
            </w:pPr>
            <w:r>
              <w:rPr>
                <w:rFonts w:hint="eastAsia" w:ascii="仿宋_GB2312" w:hAnsi="仿宋_GB2312" w:eastAsia="仿宋_GB2312"/>
                <w:color w:val="000000"/>
                <w:szCs w:val="21"/>
              </w:rPr>
              <w:t>3.安全保卫：校园安全巡查、突发事件应对、安全教育。</w:t>
            </w:r>
          </w:p>
          <w:p w14:paraId="11CD6FBE">
            <w:pPr>
              <w:rPr>
                <w:rFonts w:ascii="仿宋_GB2312" w:hAnsi="仿宋_GB2312" w:eastAsia="仿宋_GB2312"/>
                <w:color w:val="000000"/>
                <w:szCs w:val="21"/>
              </w:rPr>
            </w:pPr>
            <w:r>
              <w:rPr>
                <w:rFonts w:hint="eastAsia" w:ascii="仿宋_GB2312" w:hAnsi="仿宋_GB2312" w:eastAsia="仿宋_GB2312"/>
                <w:color w:val="000000"/>
                <w:szCs w:val="21"/>
              </w:rPr>
              <w:t>4.学生资助工作：负责学校学生资助工作。</w:t>
            </w:r>
          </w:p>
        </w:tc>
      </w:tr>
      <w:tr w14:paraId="38A74424">
        <w:tblPrEx>
          <w:tblCellMar>
            <w:top w:w="0" w:type="dxa"/>
            <w:left w:w="108" w:type="dxa"/>
            <w:bottom w:w="0" w:type="dxa"/>
            <w:right w:w="108" w:type="dxa"/>
          </w:tblCellMar>
        </w:tblPrEx>
        <w:trPr>
          <w:trHeight w:val="41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BA1">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教务处</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C401">
            <w:pPr>
              <w:rPr>
                <w:rFonts w:ascii="仿宋_GB2312" w:hAnsi="仿宋_GB2312" w:eastAsia="仿宋_GB2312"/>
                <w:color w:val="000000"/>
                <w:szCs w:val="21"/>
              </w:rPr>
            </w:pPr>
            <w:r>
              <w:rPr>
                <w:rFonts w:hint="eastAsia" w:ascii="仿宋_GB2312" w:hAnsi="仿宋_GB2312" w:eastAsia="仿宋_GB2312"/>
                <w:color w:val="000000"/>
                <w:szCs w:val="21"/>
              </w:rPr>
              <w:t>1.教学计划与评价：制定学期教学计划，组织教学评估与质量监控。</w:t>
            </w:r>
          </w:p>
          <w:p w14:paraId="636489E6">
            <w:pPr>
              <w:rPr>
                <w:rFonts w:ascii="仿宋_GB2312" w:hAnsi="仿宋_GB2312" w:eastAsia="仿宋_GB2312"/>
                <w:color w:val="000000"/>
                <w:szCs w:val="21"/>
              </w:rPr>
            </w:pPr>
            <w:r>
              <w:rPr>
                <w:rFonts w:hint="eastAsia" w:ascii="仿宋_GB2312" w:hAnsi="仿宋_GB2312" w:eastAsia="仿宋_GB2312"/>
                <w:color w:val="000000"/>
                <w:szCs w:val="21"/>
              </w:rPr>
              <w:t>2.教师发展：组织教师培训、教学研讨，促进教师专业成长。</w:t>
            </w:r>
          </w:p>
          <w:p w14:paraId="7A56DBCC">
            <w:pPr>
              <w:rPr>
                <w:rFonts w:ascii="仿宋_GB2312" w:hAnsi="仿宋_GB2312" w:eastAsia="仿宋_GB2312"/>
                <w:color w:val="000000"/>
                <w:szCs w:val="21"/>
              </w:rPr>
            </w:pPr>
            <w:r>
              <w:rPr>
                <w:rFonts w:hint="eastAsia" w:ascii="仿宋_GB2312" w:hAnsi="仿宋_GB2312" w:eastAsia="仿宋_GB2312"/>
                <w:color w:val="000000"/>
                <w:szCs w:val="21"/>
              </w:rPr>
              <w:t>3.学籍管理：学生注册、转学、休学、复学等学籍事</w:t>
            </w:r>
          </w:p>
          <w:p w14:paraId="21C6208E">
            <w:pPr>
              <w:rPr>
                <w:rFonts w:ascii="仿宋_GB2312" w:hAnsi="仿宋_GB2312" w:eastAsia="仿宋_GB2312"/>
                <w:color w:val="000000"/>
                <w:szCs w:val="21"/>
              </w:rPr>
            </w:pPr>
            <w:r>
              <w:rPr>
                <w:rFonts w:hint="eastAsia" w:ascii="仿宋_GB2312" w:hAnsi="仿宋_GB2312" w:eastAsia="仿宋_GB2312"/>
                <w:color w:val="000000"/>
                <w:szCs w:val="21"/>
              </w:rPr>
              <w:t>4.考试管理：组织期中、期末考试及各类选拔性考试。</w:t>
            </w:r>
          </w:p>
          <w:p w14:paraId="58B9B229">
            <w:pPr>
              <w:rPr>
                <w:rFonts w:ascii="仿宋_GB2312" w:hAnsi="仿宋_GB2312" w:eastAsia="仿宋_GB2312"/>
                <w:color w:val="000000"/>
                <w:szCs w:val="21"/>
              </w:rPr>
            </w:pPr>
            <w:r>
              <w:rPr>
                <w:rFonts w:hint="eastAsia" w:ascii="仿宋_GB2312" w:hAnsi="仿宋_GB2312" w:eastAsia="仿宋_GB2312"/>
                <w:color w:val="000000"/>
                <w:szCs w:val="21"/>
              </w:rPr>
              <w:t>5.招生宣传：制作招生简章，组织开展线上线下招生宣讲会。</w:t>
            </w:r>
          </w:p>
          <w:p w14:paraId="6AD79064">
            <w:pPr>
              <w:rPr>
                <w:rFonts w:ascii="仿宋_GB2312" w:hAnsi="仿宋_GB2312" w:eastAsia="仿宋_GB2312"/>
                <w:color w:val="000000"/>
                <w:szCs w:val="21"/>
              </w:rPr>
            </w:pPr>
            <w:r>
              <w:rPr>
                <w:rFonts w:hint="eastAsia" w:ascii="仿宋_GB2312" w:hAnsi="仿宋_GB2312" w:eastAsia="仿宋_GB2312"/>
                <w:color w:val="000000"/>
                <w:szCs w:val="21"/>
              </w:rPr>
              <w:t>6.入学考试：负责组织和实施各类入学选拔考试。</w:t>
            </w:r>
          </w:p>
          <w:p w14:paraId="22955F68">
            <w:pPr>
              <w:rPr>
                <w:rFonts w:ascii="仿宋_GB2312" w:hAnsi="仿宋_GB2312" w:eastAsia="仿宋_GB2312"/>
                <w:color w:val="000000"/>
                <w:szCs w:val="21"/>
              </w:rPr>
            </w:pPr>
            <w:r>
              <w:rPr>
                <w:rFonts w:hint="eastAsia" w:ascii="仿宋_GB2312" w:hAnsi="仿宋_GB2312" w:eastAsia="仿宋_GB2312"/>
                <w:color w:val="000000"/>
                <w:szCs w:val="21"/>
              </w:rPr>
              <w:t>7.就业指导：提供职业规划咨询，组织就业招聘会，建立企业合作关系。</w:t>
            </w:r>
          </w:p>
        </w:tc>
      </w:tr>
      <w:tr w14:paraId="4F6F5F99">
        <w:tblPrEx>
          <w:tblCellMar>
            <w:top w:w="0" w:type="dxa"/>
            <w:left w:w="108" w:type="dxa"/>
            <w:bottom w:w="0" w:type="dxa"/>
            <w:right w:w="108" w:type="dxa"/>
          </w:tblCellMar>
        </w:tblPrEx>
        <w:trPr>
          <w:trHeight w:val="41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EC19">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德育处</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23B9">
            <w:pPr>
              <w:rPr>
                <w:rFonts w:ascii="仿宋_GB2312" w:hAnsi="仿宋_GB2312" w:eastAsia="仿宋_GB2312"/>
                <w:color w:val="000000"/>
                <w:szCs w:val="21"/>
              </w:rPr>
            </w:pPr>
            <w:r>
              <w:rPr>
                <w:rFonts w:hint="eastAsia" w:ascii="仿宋_GB2312" w:hAnsi="仿宋_GB2312" w:eastAsia="仿宋_GB2312"/>
                <w:color w:val="000000"/>
                <w:szCs w:val="21"/>
              </w:rPr>
              <w:t>1.日常管理：学生行为规范监督、宿舍管理、违纪处理。</w:t>
            </w:r>
          </w:p>
          <w:p w14:paraId="009DE72B">
            <w:pPr>
              <w:rPr>
                <w:rFonts w:ascii="仿宋_GB2312" w:hAnsi="仿宋_GB2312" w:eastAsia="仿宋_GB2312"/>
                <w:color w:val="000000"/>
                <w:szCs w:val="21"/>
              </w:rPr>
            </w:pPr>
            <w:r>
              <w:rPr>
                <w:rFonts w:hint="eastAsia" w:ascii="仿宋_GB2312" w:hAnsi="仿宋_GB2312" w:eastAsia="仿宋_GB2312"/>
                <w:color w:val="000000"/>
                <w:szCs w:val="21"/>
              </w:rPr>
              <w:t>2.心理健康：提供心理咨询服务，开展心理健康教育活动。</w:t>
            </w:r>
          </w:p>
          <w:p w14:paraId="5265965C">
            <w:pPr>
              <w:rPr>
                <w:rFonts w:ascii="仿宋_GB2312" w:hAnsi="仿宋_GB2312" w:eastAsia="仿宋_GB2312"/>
                <w:color w:val="000000"/>
                <w:szCs w:val="21"/>
              </w:rPr>
            </w:pPr>
            <w:r>
              <w:rPr>
                <w:rFonts w:hint="eastAsia" w:ascii="仿宋_GB2312" w:hAnsi="仿宋_GB2312" w:eastAsia="仿宋_GB2312"/>
                <w:color w:val="000000"/>
                <w:szCs w:val="21"/>
              </w:rPr>
              <w:t>3.学生活动：策划并组织校内外文化、体育、社会实践等活动。</w:t>
            </w:r>
          </w:p>
          <w:p w14:paraId="63C952AC">
            <w:pPr>
              <w:rPr>
                <w:rFonts w:ascii="仿宋_GB2312" w:hAnsi="仿宋_GB2312" w:eastAsia="仿宋_GB2312"/>
                <w:color w:val="000000"/>
                <w:szCs w:val="21"/>
              </w:rPr>
            </w:pPr>
            <w:r>
              <w:rPr>
                <w:rFonts w:hint="eastAsia" w:ascii="仿宋_GB2312" w:hAnsi="仿宋_GB2312" w:eastAsia="仿宋_GB2312"/>
                <w:color w:val="000000"/>
                <w:szCs w:val="21"/>
              </w:rPr>
              <w:t>4.奖助学金：奖学金评定、助学金发放及贫困生帮扶。</w:t>
            </w:r>
          </w:p>
        </w:tc>
      </w:tr>
      <w:tr w14:paraId="6EC2D999">
        <w:tblPrEx>
          <w:tblCellMar>
            <w:top w:w="0" w:type="dxa"/>
            <w:left w:w="108" w:type="dxa"/>
            <w:bottom w:w="0" w:type="dxa"/>
            <w:right w:w="108" w:type="dxa"/>
          </w:tblCellMar>
        </w:tblPrEx>
        <w:trPr>
          <w:trHeight w:val="41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75E9">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科教室</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868C">
            <w:pPr>
              <w:rPr>
                <w:rFonts w:ascii="仿宋_GB2312" w:hAnsi="仿宋_GB2312" w:eastAsia="仿宋_GB2312"/>
                <w:color w:val="000000"/>
                <w:szCs w:val="21"/>
              </w:rPr>
            </w:pPr>
            <w:r>
              <w:rPr>
                <w:rFonts w:hint="eastAsia" w:ascii="仿宋_GB2312" w:hAnsi="仿宋_GB2312" w:eastAsia="仿宋_GB2312"/>
                <w:color w:val="000000"/>
                <w:szCs w:val="21"/>
              </w:rPr>
              <w:t>1.科研项目管理：科研课题的申报、立项、中期检查、结题验收。</w:t>
            </w:r>
          </w:p>
          <w:p w14:paraId="2CF51E3A">
            <w:pPr>
              <w:rPr>
                <w:rFonts w:ascii="仿宋_GB2312" w:hAnsi="仿宋_GB2312" w:eastAsia="仿宋_GB2312"/>
                <w:color w:val="000000"/>
                <w:szCs w:val="21"/>
              </w:rPr>
            </w:pPr>
            <w:r>
              <w:rPr>
                <w:rFonts w:hint="eastAsia" w:ascii="仿宋_GB2312" w:hAnsi="仿宋_GB2312" w:eastAsia="仿宋_GB2312"/>
                <w:color w:val="000000"/>
                <w:szCs w:val="21"/>
              </w:rPr>
              <w:t>2.学术交流：组织学术讲座、研讨会，促进校内外学术合作。</w:t>
            </w:r>
          </w:p>
          <w:p w14:paraId="551AAB8D">
            <w:pPr>
              <w:rPr>
                <w:rFonts w:ascii="仿宋_GB2312" w:hAnsi="仿宋_GB2312" w:eastAsia="仿宋_GB2312"/>
                <w:color w:val="000000"/>
                <w:szCs w:val="21"/>
              </w:rPr>
            </w:pPr>
            <w:r>
              <w:rPr>
                <w:rFonts w:hint="eastAsia" w:ascii="仿宋_GB2312" w:hAnsi="仿宋_GB2312" w:eastAsia="仿宋_GB2312"/>
                <w:color w:val="000000"/>
                <w:szCs w:val="21"/>
              </w:rPr>
              <w:t>3.成果转化：推动科研成果在教学中的应用及社会服务。</w:t>
            </w:r>
          </w:p>
        </w:tc>
      </w:tr>
      <w:tr w14:paraId="17A86AFE">
        <w:tblPrEx>
          <w:tblCellMar>
            <w:top w:w="0" w:type="dxa"/>
            <w:left w:w="108" w:type="dxa"/>
            <w:bottom w:w="0" w:type="dxa"/>
            <w:right w:w="108" w:type="dxa"/>
          </w:tblCellMar>
        </w:tblPrEx>
        <w:trPr>
          <w:trHeight w:val="41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558BC">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督导室</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D6E5">
            <w:pPr>
              <w:rPr>
                <w:rFonts w:ascii="仿宋_GB2312" w:hAnsi="仿宋_GB2312" w:eastAsia="仿宋_GB2312"/>
                <w:color w:val="000000"/>
                <w:szCs w:val="21"/>
              </w:rPr>
            </w:pPr>
            <w:r>
              <w:rPr>
                <w:rFonts w:hint="eastAsia" w:ascii="仿宋_GB2312" w:hAnsi="仿宋_GB2312" w:eastAsia="仿宋_GB2312"/>
                <w:color w:val="000000"/>
                <w:szCs w:val="21"/>
              </w:rPr>
              <w:t>1.负责学校教育教学常规和课堂秩序管理工作。</w:t>
            </w:r>
          </w:p>
          <w:p w14:paraId="6B60243C">
            <w:pPr>
              <w:rPr>
                <w:rFonts w:ascii="仿宋_GB2312" w:hAnsi="仿宋_GB2312" w:eastAsia="仿宋_GB2312"/>
                <w:color w:val="000000"/>
                <w:szCs w:val="21"/>
              </w:rPr>
            </w:pPr>
            <w:r>
              <w:rPr>
                <w:rFonts w:hint="eastAsia" w:ascii="仿宋_GB2312" w:hAnsi="仿宋_GB2312" w:eastAsia="仿宋_GB2312"/>
                <w:color w:val="000000"/>
                <w:szCs w:val="21"/>
              </w:rPr>
              <w:t>2.负责课堂督导（进班听课）工作。</w:t>
            </w:r>
          </w:p>
          <w:p w14:paraId="5C24637B">
            <w:pPr>
              <w:rPr>
                <w:rFonts w:ascii="仿宋_GB2312" w:hAnsi="仿宋_GB2312" w:eastAsia="仿宋_GB2312"/>
                <w:color w:val="000000"/>
                <w:szCs w:val="21"/>
              </w:rPr>
            </w:pPr>
            <w:r>
              <w:rPr>
                <w:rFonts w:hint="eastAsia" w:ascii="仿宋_GB2312" w:hAnsi="仿宋_GB2312" w:eastAsia="仿宋_GB2312"/>
                <w:color w:val="000000"/>
                <w:szCs w:val="21"/>
              </w:rPr>
              <w:t>3.负责各学科教师教案备写及作业批改的检查工作。</w:t>
            </w:r>
          </w:p>
        </w:tc>
      </w:tr>
      <w:tr w14:paraId="18D17113">
        <w:tblPrEx>
          <w:tblCellMar>
            <w:top w:w="0" w:type="dxa"/>
            <w:left w:w="108" w:type="dxa"/>
            <w:bottom w:w="0" w:type="dxa"/>
            <w:right w:w="108" w:type="dxa"/>
          </w:tblCellMar>
        </w:tblPrEx>
        <w:trPr>
          <w:trHeight w:val="418"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5D70">
            <w:pPr>
              <w:snapToGrid w:val="0"/>
              <w:jc w:val="left"/>
              <w:textAlignment w:val="center"/>
              <w:rPr>
                <w:rFonts w:ascii="仿宋_GB2312" w:hAnsi="仿宋_GB2312" w:eastAsia="仿宋_GB2312"/>
                <w:color w:val="000000"/>
                <w:szCs w:val="21"/>
              </w:rPr>
            </w:pPr>
            <w:r>
              <w:rPr>
                <w:rFonts w:hint="eastAsia" w:ascii="仿宋_GB2312" w:hAnsi="仿宋_GB2312" w:eastAsia="仿宋_GB2312"/>
                <w:color w:val="000000"/>
                <w:szCs w:val="21"/>
              </w:rPr>
              <w:t>九峰书院学部</w:t>
            </w:r>
          </w:p>
        </w:tc>
        <w:tc>
          <w:tcPr>
            <w:tcW w:w="7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BAF79">
            <w:pPr>
              <w:rPr>
                <w:rFonts w:ascii="仿宋_GB2312" w:hAnsi="仿宋_GB2312" w:eastAsia="仿宋_GB2312"/>
                <w:color w:val="000000"/>
                <w:szCs w:val="21"/>
              </w:rPr>
            </w:pPr>
            <w:r>
              <w:rPr>
                <w:rFonts w:hint="eastAsia" w:ascii="仿宋_GB2312" w:hAnsi="仿宋_GB2312" w:eastAsia="仿宋_GB2312"/>
                <w:color w:val="000000"/>
                <w:szCs w:val="21"/>
              </w:rPr>
              <w:t>负责学校优生培育工作。</w:t>
            </w:r>
          </w:p>
        </w:tc>
      </w:tr>
    </w:tbl>
    <w:p w14:paraId="1F6BB4A7">
      <w:pPr>
        <w:spacing w:line="590" w:lineRule="exact"/>
        <w:ind w:firstLine="624" w:firstLineChars="200"/>
        <w:outlineLvl w:val="0"/>
        <w:rPr>
          <w:rFonts w:ascii="黑体" w:hAnsi="黑体" w:eastAsia="黑体" w:cs="宋体"/>
          <w:spacing w:val="6"/>
          <w:kern w:val="0"/>
          <w:sz w:val="30"/>
          <w:szCs w:val="30"/>
        </w:rPr>
      </w:pPr>
      <w:bookmarkStart w:id="45" w:name="_Toc173402308"/>
      <w:bookmarkStart w:id="46" w:name="_Toc180163171"/>
      <w:bookmarkStart w:id="47" w:name="_Toc173402200"/>
      <w:r>
        <w:rPr>
          <w:rFonts w:ascii="黑体" w:hAnsi="黑体" w:eastAsia="黑体" w:cs="宋体"/>
          <w:spacing w:val="6"/>
          <w:kern w:val="0"/>
          <w:sz w:val="30"/>
          <w:szCs w:val="30"/>
        </w:rPr>
        <w:t>二、绩效评价工作开展情况</w:t>
      </w:r>
      <w:bookmarkEnd w:id="43"/>
      <w:bookmarkEnd w:id="44"/>
      <w:bookmarkEnd w:id="45"/>
      <w:bookmarkEnd w:id="46"/>
      <w:bookmarkEnd w:id="47"/>
    </w:p>
    <w:p w14:paraId="17A55D40">
      <w:pPr>
        <w:spacing w:line="590" w:lineRule="exact"/>
        <w:ind w:firstLine="624" w:firstLineChars="200"/>
        <w:outlineLvl w:val="1"/>
        <w:rPr>
          <w:rFonts w:ascii="楷体_GB2312" w:hAnsi="Times New Roman" w:eastAsia="楷体_GB2312" w:cs="Times New Roman"/>
          <w:spacing w:val="6"/>
          <w:kern w:val="0"/>
          <w:sz w:val="30"/>
          <w:szCs w:val="30"/>
        </w:rPr>
      </w:pPr>
      <w:bookmarkStart w:id="48" w:name="_Toc46659223"/>
      <w:bookmarkStart w:id="49" w:name="_Toc1550"/>
      <w:bookmarkStart w:id="50" w:name="_Toc173402201"/>
      <w:bookmarkStart w:id="51" w:name="_Toc173402309"/>
      <w:bookmarkStart w:id="52" w:name="_Toc180163172"/>
      <w:r>
        <w:rPr>
          <w:rFonts w:ascii="楷体_GB2312" w:hAnsi="Times New Roman" w:eastAsia="楷体_GB2312" w:cs="Times New Roman"/>
          <w:spacing w:val="6"/>
          <w:kern w:val="0"/>
          <w:sz w:val="30"/>
          <w:szCs w:val="30"/>
        </w:rPr>
        <w:t>（一）绩效评价目的</w:t>
      </w:r>
      <w:bookmarkEnd w:id="48"/>
      <w:bookmarkEnd w:id="49"/>
      <w:r>
        <w:rPr>
          <w:rFonts w:ascii="楷体_GB2312" w:hAnsi="Times New Roman" w:eastAsia="楷体_GB2312" w:cs="Times New Roman"/>
          <w:spacing w:val="6"/>
          <w:kern w:val="0"/>
          <w:sz w:val="30"/>
          <w:szCs w:val="30"/>
        </w:rPr>
        <w:t>、对象和范围</w:t>
      </w:r>
      <w:bookmarkEnd w:id="50"/>
      <w:bookmarkEnd w:id="51"/>
      <w:bookmarkEnd w:id="52"/>
    </w:p>
    <w:p w14:paraId="76262CB1">
      <w:pPr>
        <w:spacing w:line="579" w:lineRule="exact"/>
        <w:ind w:firstLine="600" w:firstLineChars="200"/>
        <w:rPr>
          <w:rFonts w:ascii="仿宋_GB2312" w:hAnsi="仿宋" w:eastAsia="仿宋_GB2312" w:cs="Times New Roman"/>
          <w:kern w:val="30"/>
          <w:sz w:val="30"/>
          <w:szCs w:val="30"/>
        </w:rPr>
      </w:pPr>
      <w:bookmarkStart w:id="53" w:name="_Toc46659224"/>
      <w:r>
        <w:rPr>
          <w:rFonts w:ascii="仿宋_GB2312" w:hAnsi="仿宋" w:eastAsia="仿宋_GB2312" w:cs="Times New Roman"/>
          <w:kern w:val="30"/>
          <w:sz w:val="30"/>
          <w:szCs w:val="30"/>
        </w:rPr>
        <w:t>1.绩效评价的目的</w:t>
      </w:r>
    </w:p>
    <w:p w14:paraId="2EFA833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通过绩效评价，反映被评价部门</w:t>
      </w:r>
      <w:r>
        <w:rPr>
          <w:rFonts w:ascii="仿宋_GB2312" w:hAnsi="仿宋" w:eastAsia="仿宋_GB2312" w:cs="Times New Roman"/>
          <w:kern w:val="30"/>
          <w:sz w:val="30"/>
          <w:szCs w:val="30"/>
        </w:rPr>
        <w:t>2023年</w:t>
      </w:r>
      <w:r>
        <w:rPr>
          <w:rFonts w:hint="eastAsia" w:ascii="仿宋_GB2312" w:hAnsi="仿宋" w:eastAsia="仿宋_GB2312" w:cs="Times New Roman"/>
          <w:kern w:val="30"/>
          <w:sz w:val="30"/>
          <w:szCs w:val="30"/>
        </w:rPr>
        <w:t>履职情况、财政资源配置情况、资金使用情况、项目实施情况和效果，分析绩效目标完成情况，总结好的经验和做法，研究影响绩效的问题和原因，揭示资源分配是否合理、资金使用是否高效，提出解决的措施和办法，为被评价部门进一步强化预算绩效管理、优化资源配置和财政支出结构、提升履职效能、提高财政资金使用效益提供参考。</w:t>
      </w:r>
    </w:p>
    <w:p w14:paraId="1C18ACDE">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2.绩效评价的对象和范围</w:t>
      </w:r>
    </w:p>
    <w:bookmarkEnd w:id="53"/>
    <w:p w14:paraId="08F3C1A3">
      <w:pPr>
        <w:spacing w:line="579" w:lineRule="exact"/>
        <w:ind w:firstLine="600" w:firstLineChars="200"/>
        <w:rPr>
          <w:rFonts w:ascii="仿宋_GB2312" w:hAnsi="仿宋" w:eastAsia="仿宋_GB2312" w:cs="Times New Roman"/>
          <w:kern w:val="30"/>
          <w:sz w:val="30"/>
          <w:szCs w:val="30"/>
        </w:rPr>
      </w:pPr>
      <w:bookmarkStart w:id="54" w:name="_Toc81510220"/>
      <w:bookmarkStart w:id="55" w:name="_Toc6186"/>
      <w:bookmarkStart w:id="56" w:name="_Toc48549819"/>
      <w:r>
        <w:rPr>
          <w:rFonts w:ascii="仿宋_GB2312" w:hAnsi="仿宋" w:eastAsia="仿宋_GB2312" w:cs="Times New Roman"/>
          <w:kern w:val="30"/>
          <w:sz w:val="30"/>
          <w:szCs w:val="30"/>
        </w:rPr>
        <w:t>本次绩效评价</w:t>
      </w:r>
      <w:r>
        <w:rPr>
          <w:rFonts w:hint="eastAsia" w:ascii="仿宋_GB2312" w:hAnsi="仿宋" w:eastAsia="仿宋_GB2312" w:cs="Times New Roman"/>
          <w:kern w:val="30"/>
          <w:sz w:val="30"/>
          <w:szCs w:val="30"/>
        </w:rPr>
        <w:t>对象和范围为富民一中整体资金支出，包括2023年安排的一般公共预算资金、中央及省级下达资金、</w:t>
      </w:r>
      <w:r>
        <w:rPr>
          <w:rFonts w:ascii="仿宋_GB2312" w:hAnsi="仿宋" w:eastAsia="仿宋_GB2312" w:cs="Times New Roman"/>
          <w:kern w:val="30"/>
          <w:sz w:val="30"/>
          <w:szCs w:val="30"/>
        </w:rPr>
        <w:t>年初结转结余资金</w:t>
      </w:r>
      <w:r>
        <w:rPr>
          <w:rFonts w:hint="eastAsia" w:ascii="仿宋_GB2312" w:hAnsi="仿宋" w:eastAsia="仿宋_GB2312" w:cs="Times New Roman"/>
          <w:kern w:val="30"/>
          <w:sz w:val="30"/>
          <w:szCs w:val="30"/>
        </w:rPr>
        <w:t>、其他资金。</w:t>
      </w:r>
    </w:p>
    <w:p w14:paraId="14802B3C">
      <w:pPr>
        <w:spacing w:line="590" w:lineRule="exact"/>
        <w:ind w:firstLine="624" w:firstLineChars="200"/>
        <w:outlineLvl w:val="1"/>
        <w:rPr>
          <w:rFonts w:ascii="楷体_GB2312" w:hAnsi="Times New Roman" w:eastAsia="楷体_GB2312" w:cs="Times New Roman"/>
          <w:spacing w:val="6"/>
          <w:kern w:val="0"/>
          <w:sz w:val="30"/>
          <w:szCs w:val="30"/>
        </w:rPr>
      </w:pPr>
      <w:bookmarkStart w:id="57" w:name="_Toc180163173"/>
      <w:bookmarkStart w:id="58" w:name="_Toc173402310"/>
      <w:bookmarkStart w:id="59" w:name="_Toc173402202"/>
      <w:r>
        <w:rPr>
          <w:rFonts w:ascii="楷体_GB2312" w:hAnsi="Times New Roman" w:eastAsia="楷体_GB2312" w:cs="Times New Roman"/>
          <w:spacing w:val="6"/>
          <w:kern w:val="0"/>
          <w:sz w:val="30"/>
          <w:szCs w:val="30"/>
        </w:rPr>
        <w:t>（二）</w:t>
      </w:r>
      <w:bookmarkEnd w:id="54"/>
      <w:bookmarkEnd w:id="55"/>
      <w:r>
        <w:rPr>
          <w:rFonts w:hint="eastAsia" w:ascii="楷体_GB2312" w:hAnsi="Times New Roman" w:eastAsia="楷体_GB2312" w:cs="Times New Roman"/>
          <w:spacing w:val="6"/>
          <w:kern w:val="0"/>
          <w:sz w:val="30"/>
          <w:szCs w:val="30"/>
        </w:rPr>
        <w:t>绩效评价原则、评价指标体系（附表说明）、评价方法和标准</w:t>
      </w:r>
      <w:bookmarkEnd w:id="57"/>
      <w:bookmarkEnd w:id="58"/>
      <w:bookmarkEnd w:id="59"/>
    </w:p>
    <w:bookmarkEnd w:id="56"/>
    <w:p w14:paraId="4B0ED234">
      <w:pPr>
        <w:spacing w:line="579" w:lineRule="exact"/>
        <w:ind w:firstLine="600" w:firstLineChars="200"/>
        <w:rPr>
          <w:rFonts w:ascii="仿宋_GB2312" w:hAnsi="仿宋" w:eastAsia="仿宋_GB2312" w:cs="Times New Roman"/>
          <w:b/>
          <w:bCs/>
          <w:kern w:val="30"/>
          <w:sz w:val="30"/>
          <w:szCs w:val="30"/>
        </w:rPr>
      </w:pPr>
      <w:bookmarkStart w:id="60" w:name="_Toc48549821"/>
      <w:bookmarkStart w:id="61" w:name="_Toc371"/>
      <w:bookmarkStart w:id="62" w:name="_Toc81510222"/>
      <w:bookmarkStart w:id="63" w:name="_Toc4297"/>
      <w:bookmarkStart w:id="64" w:name="_Toc6394"/>
      <w:r>
        <w:rPr>
          <w:rFonts w:hint="eastAsia" w:ascii="仿宋_GB2312" w:hAnsi="仿宋" w:eastAsia="仿宋_GB2312" w:cs="Times New Roman"/>
          <w:b/>
          <w:bCs/>
          <w:kern w:val="30"/>
          <w:sz w:val="30"/>
          <w:szCs w:val="30"/>
        </w:rPr>
        <w:t>1</w:t>
      </w:r>
      <w:r>
        <w:rPr>
          <w:rFonts w:ascii="仿宋_GB2312" w:hAnsi="仿宋" w:eastAsia="仿宋_GB2312" w:cs="Times New Roman"/>
          <w:b/>
          <w:bCs/>
          <w:kern w:val="30"/>
          <w:sz w:val="30"/>
          <w:szCs w:val="30"/>
        </w:rPr>
        <w:t>.</w:t>
      </w:r>
      <w:r>
        <w:rPr>
          <w:rFonts w:hint="eastAsia" w:ascii="仿宋_GB2312" w:hAnsi="仿宋" w:eastAsia="仿宋_GB2312" w:cs="Times New Roman"/>
          <w:b/>
          <w:bCs/>
          <w:kern w:val="30"/>
          <w:sz w:val="30"/>
          <w:szCs w:val="30"/>
        </w:rPr>
        <w:t>绩效评价原则</w:t>
      </w:r>
    </w:p>
    <w:p w14:paraId="21A4186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本次绩效评价遵循科学公正、统筹兼顾、激励约束、公开透明的基本原则：</w:t>
      </w:r>
    </w:p>
    <w:p w14:paraId="76CB659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（1）科学公正原则。运用科学合理的方法，按照规范的程序，对项目绩效进行客观、公正的反映。</w:t>
      </w:r>
    </w:p>
    <w:p w14:paraId="157F83EE">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（2）统筹兼顾原则。职责明确，与单位自评各有侧重、相互衔接，在单位自评的基础上开展此次绩效评价工作。</w:t>
      </w:r>
    </w:p>
    <w:p w14:paraId="7BA8F2D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（3）激励约束原则。绩效评价结果与预算安排、政策调整、改进管理实质性挂钩，体现奖优罚劣和激励相容导向，有效要安排、低效要压减、无效要问责。</w:t>
      </w:r>
    </w:p>
    <w:p w14:paraId="4964101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（4）公开透明原则。绩效评价结果依法依规公开，并自觉接受社会监督。</w:t>
      </w:r>
    </w:p>
    <w:p w14:paraId="7D35D60B">
      <w:pPr>
        <w:spacing w:line="579" w:lineRule="exact"/>
        <w:ind w:firstLine="600" w:firstLineChars="200"/>
        <w:rPr>
          <w:rFonts w:ascii="仿宋_GB2312" w:hAnsi="仿宋" w:eastAsia="仿宋_GB2312" w:cs="Times New Roman"/>
          <w:b/>
          <w:bCs/>
          <w:kern w:val="30"/>
          <w:sz w:val="30"/>
          <w:szCs w:val="30"/>
        </w:rPr>
      </w:pPr>
      <w:r>
        <w:rPr>
          <w:rFonts w:hint="eastAsia" w:ascii="仿宋_GB2312" w:hAnsi="仿宋" w:eastAsia="仿宋_GB2312" w:cs="Times New Roman"/>
          <w:b/>
          <w:bCs/>
          <w:kern w:val="30"/>
          <w:sz w:val="30"/>
          <w:szCs w:val="30"/>
        </w:rPr>
        <w:t>2.绩效评价指标体系</w:t>
      </w:r>
    </w:p>
    <w:p w14:paraId="3035B4B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（1）绩效评价指标</w:t>
      </w:r>
    </w:p>
    <w:p w14:paraId="37F9B9CC">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本次绩效评价设置4个一级指标（投入、过程、产出、效果）；9个二级指标（目标设定、预算配置、预算</w:t>
      </w:r>
      <w:r>
        <w:rPr>
          <w:rFonts w:hint="eastAsia" w:ascii="仿宋_GB2312" w:hAnsi="仿宋" w:eastAsia="仿宋_GB2312" w:cs="Times New Roman"/>
          <w:kern w:val="30"/>
          <w:sz w:val="30"/>
          <w:szCs w:val="30"/>
        </w:rPr>
        <w:t>管理</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资金</w:t>
      </w:r>
      <w:r>
        <w:rPr>
          <w:rFonts w:ascii="仿宋_GB2312" w:hAnsi="仿宋" w:eastAsia="仿宋_GB2312" w:cs="Times New Roman"/>
          <w:kern w:val="30"/>
          <w:sz w:val="30"/>
          <w:szCs w:val="30"/>
        </w:rPr>
        <w:t>管理、资产管理、职责履行、社会效益、可持续影响效益、满意度）；</w:t>
      </w:r>
      <w:r>
        <w:rPr>
          <w:rFonts w:hint="eastAsia" w:ascii="仿宋_GB2312" w:hAnsi="仿宋" w:eastAsia="仿宋_GB2312" w:cs="Times New Roman"/>
          <w:kern w:val="30"/>
          <w:sz w:val="30"/>
          <w:szCs w:val="30"/>
        </w:rPr>
        <w:t>若干</w:t>
      </w:r>
      <w:r>
        <w:rPr>
          <w:rFonts w:ascii="仿宋_GB2312" w:hAnsi="仿宋" w:eastAsia="仿宋_GB2312" w:cs="Times New Roman"/>
          <w:kern w:val="30"/>
          <w:sz w:val="30"/>
          <w:szCs w:val="30"/>
        </w:rPr>
        <w:t>三级指标。</w:t>
      </w:r>
      <w:r>
        <w:rPr>
          <w:rFonts w:hint="eastAsia" w:ascii="仿宋_GB2312" w:hAnsi="仿宋" w:eastAsia="仿宋_GB2312" w:cs="Times New Roman"/>
          <w:kern w:val="30"/>
          <w:sz w:val="30"/>
          <w:szCs w:val="30"/>
        </w:rPr>
        <w:t>具体见附件</w:t>
      </w:r>
      <w:r>
        <w:rPr>
          <w:rFonts w:ascii="仿宋_GB2312" w:hAnsi="仿宋" w:eastAsia="仿宋_GB2312" w:cs="Times New Roman"/>
          <w:kern w:val="30"/>
          <w:sz w:val="30"/>
          <w:szCs w:val="30"/>
        </w:rPr>
        <w:t>2：整体绩效评价指标体系及评分表</w:t>
      </w:r>
      <w:r>
        <w:rPr>
          <w:rFonts w:hint="eastAsia" w:ascii="仿宋_GB2312" w:hAnsi="仿宋" w:eastAsia="仿宋_GB2312" w:cs="Times New Roman"/>
          <w:kern w:val="30"/>
          <w:sz w:val="30"/>
          <w:szCs w:val="30"/>
        </w:rPr>
        <w:t>。</w:t>
      </w:r>
    </w:p>
    <w:p w14:paraId="5E6966B5">
      <w:pPr>
        <w:spacing w:line="579" w:lineRule="exact"/>
        <w:ind w:firstLine="600" w:firstLineChars="200"/>
        <w:rPr>
          <w:rFonts w:ascii="仿宋_GB2312" w:hAnsi="仿宋" w:eastAsia="仿宋_GB2312" w:cs="Times New Roman"/>
          <w:kern w:val="30"/>
          <w:sz w:val="30"/>
          <w:szCs w:val="30"/>
        </w:rPr>
      </w:pPr>
      <w:bookmarkStart w:id="65" w:name="_Toc4177"/>
      <w:r>
        <w:rPr>
          <w:rFonts w:hint="eastAsia" w:ascii="仿宋_GB2312" w:hAnsi="仿宋" w:eastAsia="仿宋_GB2312" w:cs="Times New Roman"/>
          <w:kern w:val="30"/>
          <w:sz w:val="30"/>
          <w:szCs w:val="30"/>
        </w:rPr>
        <w:t>（2）</w:t>
      </w:r>
      <w:r>
        <w:rPr>
          <w:rFonts w:ascii="仿宋_GB2312" w:hAnsi="仿宋" w:eastAsia="仿宋_GB2312" w:cs="Times New Roman"/>
          <w:kern w:val="30"/>
          <w:sz w:val="30"/>
          <w:szCs w:val="30"/>
        </w:rPr>
        <w:t>绩效评价指标分值权重</w:t>
      </w:r>
      <w:bookmarkEnd w:id="65"/>
    </w:p>
    <w:p w14:paraId="1A144C62">
      <w:pPr>
        <w:spacing w:line="579" w:lineRule="exact"/>
        <w:ind w:firstLine="600" w:firstLineChars="200"/>
        <w:rPr>
          <w:rFonts w:ascii="仿宋_GB2312" w:hAnsi="仿宋" w:eastAsia="仿宋_GB2312" w:cs="Times New Roman"/>
          <w:color w:val="FF0000"/>
          <w:kern w:val="30"/>
          <w:sz w:val="30"/>
          <w:szCs w:val="30"/>
        </w:rPr>
      </w:pPr>
      <w:r>
        <w:rPr>
          <w:rFonts w:hint="eastAsia" w:ascii="仿宋_GB2312" w:hAnsi="仿宋" w:eastAsia="仿宋_GB2312" w:cs="Times New Roman"/>
          <w:kern w:val="30"/>
          <w:sz w:val="30"/>
          <w:szCs w:val="30"/>
        </w:rPr>
        <w:t>本次绩效评价为百分制，最终得分由各指标得分累计加总形成。绩效评价指标体系从决策、过程、产出、效益四个方面进行构建，“</w:t>
      </w:r>
      <w:r>
        <w:rPr>
          <w:rFonts w:ascii="仿宋_GB2312" w:hAnsi="仿宋" w:eastAsia="仿宋_GB2312" w:cs="Times New Roman"/>
          <w:kern w:val="30"/>
          <w:sz w:val="30"/>
          <w:szCs w:val="30"/>
        </w:rPr>
        <w:t>投入</w:t>
      </w:r>
      <w:r>
        <w:rPr>
          <w:rFonts w:hint="eastAsia" w:ascii="仿宋_GB2312" w:hAnsi="仿宋" w:eastAsia="仿宋_GB2312" w:cs="Times New Roman"/>
          <w:kern w:val="30"/>
          <w:sz w:val="30"/>
          <w:szCs w:val="30"/>
        </w:rPr>
        <w:t>”分值权重</w:t>
      </w:r>
      <w:r>
        <w:rPr>
          <w:rFonts w:ascii="仿宋_GB2312" w:hAnsi="仿宋" w:eastAsia="仿宋_GB2312" w:cs="Times New Roman"/>
          <w:kern w:val="30"/>
          <w:sz w:val="30"/>
          <w:szCs w:val="30"/>
        </w:rPr>
        <w:t>15分，“过程”分值权重20分，“产出”分值权重30分，“效益”分值权重35分。</w:t>
      </w:r>
    </w:p>
    <w:bookmarkEnd w:id="60"/>
    <w:bookmarkEnd w:id="61"/>
    <w:bookmarkEnd w:id="62"/>
    <w:bookmarkEnd w:id="63"/>
    <w:bookmarkEnd w:id="64"/>
    <w:p w14:paraId="2A34FF32">
      <w:pPr>
        <w:pStyle w:val="134"/>
        <w:ind w:firstLine="600" w:firstLineChars="200"/>
        <w:rPr>
          <w:rFonts w:ascii="仿宋_GB2312" w:hAnsi="仿宋" w:eastAsia="仿宋_GB2312"/>
          <w:b/>
          <w:bCs/>
          <w:kern w:val="30"/>
          <w:sz w:val="30"/>
          <w:szCs w:val="30"/>
        </w:rPr>
      </w:pPr>
      <w:bookmarkStart w:id="66" w:name="_Toc81510223"/>
      <w:bookmarkStart w:id="67" w:name="_Toc17096"/>
      <w:bookmarkStart w:id="68" w:name="_Toc4266"/>
      <w:bookmarkStart w:id="69" w:name="_Toc29497"/>
      <w:bookmarkStart w:id="70" w:name="_Toc46659225"/>
      <w:r>
        <w:rPr>
          <w:rFonts w:hint="eastAsia" w:ascii="仿宋_GB2312" w:hAnsi="仿宋" w:eastAsia="仿宋_GB2312"/>
          <w:b/>
          <w:bCs/>
          <w:kern w:val="30"/>
          <w:sz w:val="30"/>
          <w:szCs w:val="30"/>
        </w:rPr>
        <w:t>3</w:t>
      </w:r>
      <w:r>
        <w:rPr>
          <w:rFonts w:ascii="仿宋_GB2312" w:hAnsi="仿宋" w:eastAsia="仿宋_GB2312"/>
          <w:b/>
          <w:bCs/>
          <w:kern w:val="30"/>
          <w:sz w:val="30"/>
          <w:szCs w:val="30"/>
        </w:rPr>
        <w:t>.绩效评价方法</w:t>
      </w:r>
    </w:p>
    <w:p w14:paraId="25B4A86A">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本次绩效评价主要采用资金查验法、比较法、因素分析法、实地调查法、成本效益分析法、公众评判法等方法。</w:t>
      </w:r>
    </w:p>
    <w:p w14:paraId="3B8A942A">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（1）</w:t>
      </w:r>
      <w:bookmarkStart w:id="71" w:name="_Hlk174554058"/>
      <w:r>
        <w:rPr>
          <w:rFonts w:ascii="仿宋_GB2312" w:hAnsi="仿宋" w:eastAsia="仿宋_GB2312"/>
          <w:kern w:val="30"/>
          <w:sz w:val="30"/>
          <w:szCs w:val="30"/>
        </w:rPr>
        <w:t>资金查验法</w:t>
      </w:r>
      <w:bookmarkEnd w:id="71"/>
      <w:r>
        <w:rPr>
          <w:rFonts w:ascii="仿宋_GB2312" w:hAnsi="仿宋" w:eastAsia="仿宋_GB2312"/>
          <w:kern w:val="30"/>
          <w:sz w:val="30"/>
          <w:szCs w:val="30"/>
        </w:rPr>
        <w:t>。通过对资金使用主体账簿和原始凭据的核</w:t>
      </w:r>
      <w:r>
        <w:rPr>
          <w:rFonts w:hint="eastAsia" w:ascii="仿宋_GB2312" w:hAnsi="仿宋" w:eastAsia="仿宋_GB2312"/>
          <w:kern w:val="30"/>
          <w:sz w:val="30"/>
          <w:szCs w:val="30"/>
        </w:rPr>
        <w:t>查，对资金的到位及使用情况进行梳理和检查，对资金未到位或未使用的原因进行追溯分析。结合资金使用明细材料，对项目支出的运行成本、预算执行相关数据逻辑关系进行对比分析，发现疑点时延伸检查，通过对资金流向的追溯，判断资金使用的合规性、合理性，以掌握项目单位资金管理的具体情况。</w:t>
      </w:r>
    </w:p>
    <w:p w14:paraId="7097483C">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w:t>
      </w:r>
      <w:r>
        <w:rPr>
          <w:rFonts w:ascii="仿宋_GB2312" w:hAnsi="仿宋" w:eastAsia="仿宋_GB2312"/>
          <w:kern w:val="30"/>
          <w:sz w:val="30"/>
          <w:szCs w:val="30"/>
        </w:rPr>
        <w:t>2</w:t>
      </w:r>
      <w:r>
        <w:rPr>
          <w:rFonts w:hint="eastAsia" w:ascii="仿宋_GB2312" w:hAnsi="仿宋" w:eastAsia="仿宋_GB2312"/>
          <w:kern w:val="30"/>
          <w:sz w:val="30"/>
          <w:szCs w:val="30"/>
        </w:rPr>
        <w:t>）比较法。通过数据比较，对绩效目标与实际产出效果、历史与当期情况的比较，对项目的实际绩效与预期目标实现程度等进行对比分析，同时对以前度同口径数据进行纵向比较分析，重点关注资金的增减变化。一是目标与产出的对比，分析各项指标的实现程度及偏离情况；二是对资金支出情况与历史数据进行对比，对资金资源配置、资金使用、绩效实现情况进行综合分析。</w:t>
      </w:r>
    </w:p>
    <w:p w14:paraId="52574463">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w:t>
      </w:r>
      <w:r>
        <w:rPr>
          <w:rFonts w:ascii="仿宋_GB2312" w:hAnsi="仿宋" w:eastAsia="仿宋_GB2312"/>
          <w:kern w:val="30"/>
          <w:sz w:val="30"/>
          <w:szCs w:val="30"/>
        </w:rPr>
        <w:t>3）因素分析法</w:t>
      </w:r>
      <w:r>
        <w:rPr>
          <w:rFonts w:hint="eastAsia" w:ascii="仿宋_GB2312" w:hAnsi="仿宋" w:eastAsia="仿宋_GB2312"/>
          <w:kern w:val="30"/>
          <w:sz w:val="30"/>
          <w:szCs w:val="30"/>
        </w:rPr>
        <w:t>。针对本次绩效评价，分析影响被评价项目绩效目标实现及实施效果的内外部因素，包括资金投入及时性、资金支出结构的合理性、组织配备有效性、管理流程规范性等，以定量方式分析各因素对项目绩效的影响程度和影响方向，从而确定各因素的敏感性和正负相关性。</w:t>
      </w:r>
    </w:p>
    <w:p w14:paraId="4F6CA170">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w:t>
      </w:r>
      <w:r>
        <w:rPr>
          <w:rFonts w:ascii="仿宋_GB2312" w:hAnsi="仿宋" w:eastAsia="仿宋_GB2312"/>
          <w:kern w:val="30"/>
          <w:sz w:val="30"/>
          <w:szCs w:val="30"/>
        </w:rPr>
        <w:t>4）</w:t>
      </w:r>
      <w:bookmarkStart w:id="72" w:name="_Hlk174554075"/>
      <w:r>
        <w:rPr>
          <w:rFonts w:ascii="仿宋_GB2312" w:hAnsi="仿宋" w:eastAsia="仿宋_GB2312"/>
          <w:kern w:val="30"/>
          <w:sz w:val="30"/>
          <w:szCs w:val="30"/>
        </w:rPr>
        <w:t>实地调查法</w:t>
      </w:r>
      <w:bookmarkEnd w:id="72"/>
      <w:r>
        <w:rPr>
          <w:rFonts w:ascii="仿宋_GB2312" w:hAnsi="仿宋" w:eastAsia="仿宋_GB2312"/>
          <w:kern w:val="30"/>
          <w:sz w:val="30"/>
          <w:szCs w:val="30"/>
        </w:rPr>
        <w:t>。</w:t>
      </w:r>
      <w:r>
        <w:rPr>
          <w:rFonts w:hint="eastAsia" w:ascii="仿宋_GB2312" w:hAnsi="仿宋" w:eastAsia="仿宋_GB2312"/>
          <w:kern w:val="30"/>
          <w:sz w:val="30"/>
          <w:szCs w:val="30"/>
        </w:rPr>
        <w:t>评价</w:t>
      </w:r>
      <w:r>
        <w:rPr>
          <w:rFonts w:ascii="仿宋_GB2312" w:hAnsi="仿宋" w:eastAsia="仿宋_GB2312"/>
          <w:kern w:val="30"/>
          <w:sz w:val="30"/>
          <w:szCs w:val="30"/>
        </w:rPr>
        <w:t>组根据分工，采用资料收集</w:t>
      </w:r>
      <w:r>
        <w:rPr>
          <w:rFonts w:hint="eastAsia" w:ascii="仿宋_GB2312" w:hAnsi="仿宋" w:eastAsia="仿宋_GB2312"/>
          <w:kern w:val="30"/>
          <w:sz w:val="30"/>
          <w:szCs w:val="30"/>
        </w:rPr>
        <w:t>、实地调研、访谈、问卷调查等方式，开展实地调查，评价项目相关工作实施情况和目标完成情况。实地调查过程中，根据绩效评价指标体系、基础数据采集表，拟定资料清单和实地调研清单，现场收集项目资料、随机进行现场访谈。</w:t>
      </w:r>
    </w:p>
    <w:p w14:paraId="54B0B67E">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w:t>
      </w:r>
      <w:r>
        <w:rPr>
          <w:rFonts w:ascii="仿宋_GB2312" w:hAnsi="仿宋" w:eastAsia="仿宋_GB2312"/>
          <w:kern w:val="30"/>
          <w:sz w:val="30"/>
          <w:szCs w:val="30"/>
        </w:rPr>
        <w:t>5</w:t>
      </w:r>
      <w:r>
        <w:rPr>
          <w:rFonts w:hint="eastAsia" w:ascii="仿宋_GB2312" w:hAnsi="仿宋" w:eastAsia="仿宋_GB2312"/>
          <w:kern w:val="30"/>
          <w:sz w:val="30"/>
          <w:szCs w:val="30"/>
        </w:rPr>
        <w:t>）成本效益分析法。针对本次绩效评价，通过将项目资金投入与相应的产出、效益情况进行关联性分析，在明确资金等资源配置和业务耦合关系的基础上，打通投入与产出、效益之间的联系，开展“业财融合”的成本绩效分析，对优化支出结构、提高财政资金的使用效率和效益、促进部门完善内部管理和降本增效提出合理建议。</w:t>
      </w:r>
    </w:p>
    <w:p w14:paraId="0121BBD4">
      <w:pPr>
        <w:pStyle w:val="134"/>
        <w:ind w:firstLine="600" w:firstLineChars="200"/>
        <w:rPr>
          <w:rFonts w:ascii="仿宋_GB2312" w:hAnsi="仿宋" w:eastAsia="仿宋_GB2312"/>
          <w:kern w:val="30"/>
          <w:sz w:val="30"/>
          <w:szCs w:val="30"/>
        </w:rPr>
      </w:pPr>
      <w:r>
        <w:rPr>
          <w:rFonts w:hint="eastAsia" w:ascii="仿宋_GB2312" w:hAnsi="仿宋" w:eastAsia="仿宋_GB2312"/>
          <w:kern w:val="30"/>
          <w:sz w:val="30"/>
          <w:szCs w:val="30"/>
        </w:rPr>
        <w:t>（</w:t>
      </w:r>
      <w:r>
        <w:rPr>
          <w:rFonts w:ascii="仿宋_GB2312" w:hAnsi="仿宋" w:eastAsia="仿宋_GB2312"/>
          <w:kern w:val="30"/>
          <w:sz w:val="30"/>
          <w:szCs w:val="30"/>
        </w:rPr>
        <w:t>6</w:t>
      </w:r>
      <w:r>
        <w:rPr>
          <w:rFonts w:hint="eastAsia" w:ascii="仿宋_GB2312" w:hAnsi="仿宋" w:eastAsia="仿宋_GB2312"/>
          <w:kern w:val="30"/>
          <w:sz w:val="30"/>
          <w:szCs w:val="30"/>
        </w:rPr>
        <w:t>）公众评判法。通过现场调研、访谈、满意度问卷等，了解</w:t>
      </w:r>
      <w:r>
        <w:rPr>
          <w:rFonts w:ascii="仿宋_GB2312" w:hAnsi="仿宋" w:eastAsia="仿宋_GB2312"/>
          <w:kern w:val="30"/>
          <w:sz w:val="30"/>
          <w:szCs w:val="30"/>
        </w:rPr>
        <w:t>部门履职情况、</w:t>
      </w:r>
      <w:r>
        <w:rPr>
          <w:rFonts w:hint="eastAsia" w:ascii="仿宋_GB2312" w:hAnsi="仿宋" w:eastAsia="仿宋_GB2312"/>
          <w:kern w:val="30"/>
          <w:sz w:val="30"/>
          <w:szCs w:val="30"/>
        </w:rPr>
        <w:t>项目实施效果情况，以发现</w:t>
      </w:r>
      <w:r>
        <w:rPr>
          <w:rFonts w:ascii="仿宋_GB2312" w:hAnsi="仿宋" w:eastAsia="仿宋_GB2312"/>
          <w:kern w:val="30"/>
          <w:sz w:val="30"/>
          <w:szCs w:val="30"/>
        </w:rPr>
        <w:t>部门预算管理、</w:t>
      </w:r>
      <w:r>
        <w:rPr>
          <w:rFonts w:hint="eastAsia" w:ascii="仿宋_GB2312" w:hAnsi="仿宋" w:eastAsia="仿宋_GB2312"/>
          <w:kern w:val="30"/>
          <w:sz w:val="30"/>
          <w:szCs w:val="30"/>
        </w:rPr>
        <w:t>职责</w:t>
      </w:r>
      <w:r>
        <w:rPr>
          <w:rFonts w:ascii="仿宋_GB2312" w:hAnsi="仿宋" w:eastAsia="仿宋_GB2312"/>
          <w:kern w:val="30"/>
          <w:sz w:val="30"/>
          <w:szCs w:val="30"/>
        </w:rPr>
        <w:t>履行、</w:t>
      </w:r>
      <w:r>
        <w:rPr>
          <w:rFonts w:hint="eastAsia" w:ascii="仿宋_GB2312" w:hAnsi="仿宋" w:eastAsia="仿宋_GB2312"/>
          <w:kern w:val="30"/>
          <w:sz w:val="30"/>
          <w:szCs w:val="30"/>
        </w:rPr>
        <w:t>项目管理、绩效管理中存在的问题，着重对预算产出、取得的效果情况进行调查了解，为评价提供相关依据。</w:t>
      </w:r>
    </w:p>
    <w:bookmarkEnd w:id="66"/>
    <w:bookmarkEnd w:id="67"/>
    <w:bookmarkEnd w:id="68"/>
    <w:bookmarkEnd w:id="69"/>
    <w:p w14:paraId="648DACAD">
      <w:pPr>
        <w:pStyle w:val="134"/>
        <w:ind w:firstLine="600" w:firstLineChars="200"/>
        <w:rPr>
          <w:rFonts w:ascii="仿宋_GB2312" w:hAnsi="仿宋" w:eastAsia="仿宋_GB2312"/>
          <w:b/>
          <w:bCs/>
          <w:kern w:val="30"/>
          <w:sz w:val="30"/>
          <w:szCs w:val="30"/>
        </w:rPr>
      </w:pPr>
      <w:bookmarkStart w:id="73" w:name="_Toc81510227"/>
      <w:bookmarkStart w:id="74" w:name="_Toc18325"/>
      <w:r>
        <w:rPr>
          <w:rFonts w:hint="eastAsia" w:ascii="仿宋_GB2312" w:hAnsi="仿宋" w:eastAsia="仿宋_GB2312"/>
          <w:b/>
          <w:bCs/>
          <w:kern w:val="30"/>
          <w:sz w:val="30"/>
          <w:szCs w:val="30"/>
        </w:rPr>
        <w:t>4</w:t>
      </w:r>
      <w:r>
        <w:rPr>
          <w:rFonts w:ascii="仿宋_GB2312" w:hAnsi="仿宋" w:eastAsia="仿宋_GB2312"/>
          <w:b/>
          <w:bCs/>
          <w:kern w:val="30"/>
          <w:sz w:val="30"/>
          <w:szCs w:val="30"/>
        </w:rPr>
        <w:t>.评价标准</w:t>
      </w:r>
    </w:p>
    <w:p w14:paraId="5B04D7FE">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绩效评价标准通常包括计划标准、行业标准、历史标准等，用于比较绩效指标完成情况。</w:t>
      </w:r>
    </w:p>
    <w:p w14:paraId="791A3D2E">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绩效评价指标体系满分100分，对所有的末级评价指标一一评价、打分后，进行得分加总，得出部门整体总得分，根据总得分，将评价结果分为4个等级：优（得分90分以上，含90分）、良（得分80分～90分，含80分）、中（得分60分～80分，含60分）、差（60分以下）。</w:t>
      </w:r>
    </w:p>
    <w:p w14:paraId="43D536DD">
      <w:pPr>
        <w:spacing w:line="590" w:lineRule="exact"/>
        <w:ind w:firstLine="624" w:firstLineChars="200"/>
        <w:outlineLvl w:val="1"/>
        <w:rPr>
          <w:rFonts w:ascii="楷体_GB2312" w:hAnsi="Times New Roman" w:eastAsia="楷体_GB2312" w:cs="Times New Roman"/>
          <w:spacing w:val="6"/>
          <w:kern w:val="0"/>
          <w:sz w:val="30"/>
          <w:szCs w:val="30"/>
        </w:rPr>
      </w:pPr>
      <w:bookmarkStart w:id="75" w:name="_Toc173402311"/>
      <w:bookmarkStart w:id="76" w:name="_Toc180163174"/>
      <w:bookmarkStart w:id="77" w:name="_Toc173402203"/>
      <w:r>
        <w:rPr>
          <w:rFonts w:ascii="楷体_GB2312" w:hAnsi="Times New Roman" w:eastAsia="楷体_GB2312" w:cs="Times New Roman"/>
          <w:spacing w:val="6"/>
          <w:kern w:val="0"/>
          <w:sz w:val="30"/>
          <w:szCs w:val="30"/>
        </w:rPr>
        <w:t>（</w:t>
      </w:r>
      <w:r>
        <w:rPr>
          <w:rFonts w:hint="eastAsia" w:ascii="楷体_GB2312" w:hAnsi="Times New Roman" w:eastAsia="楷体_GB2312" w:cs="Times New Roman"/>
          <w:spacing w:val="6"/>
          <w:kern w:val="0"/>
          <w:sz w:val="30"/>
          <w:szCs w:val="30"/>
        </w:rPr>
        <w:t>三</w:t>
      </w:r>
      <w:r>
        <w:rPr>
          <w:rFonts w:ascii="楷体_GB2312" w:hAnsi="Times New Roman" w:eastAsia="楷体_GB2312" w:cs="Times New Roman"/>
          <w:spacing w:val="6"/>
          <w:kern w:val="0"/>
          <w:sz w:val="30"/>
          <w:szCs w:val="30"/>
        </w:rPr>
        <w:t>）绩效评价工作过程</w:t>
      </w:r>
      <w:bookmarkEnd w:id="73"/>
      <w:bookmarkEnd w:id="74"/>
      <w:bookmarkEnd w:id="75"/>
      <w:bookmarkEnd w:id="76"/>
      <w:bookmarkEnd w:id="77"/>
    </w:p>
    <w:p w14:paraId="0A22CAE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项目前期准备：与委托方对接，对部门基本情况进行初步了解；根据评价任务进行前期准备，组织相关人员了解部门基本情况、职能职责、与部门履职有关的政策、主要项目的实施情况等，被评价部门根据资料清单准备评价所需资料。</w:t>
      </w:r>
    </w:p>
    <w:p w14:paraId="5FCC4A7D">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2</w:t>
      </w:r>
      <w:r>
        <w:rPr>
          <w:rFonts w:hint="eastAsia" w:ascii="仿宋_GB2312" w:hAnsi="仿宋" w:eastAsia="仿宋_GB2312" w:cs="Times New Roman"/>
          <w:kern w:val="30"/>
          <w:sz w:val="30"/>
          <w:szCs w:val="30"/>
        </w:rPr>
        <w:t>.开展实地评价：绩效评价组深入现场进行实地评价，与被评价部门相关人员进行充分沟通交流，开展调研访谈、现场踏勘、问卷调查、资料收集等实地评价工作，完成实地评价相应工作底稿。</w:t>
      </w:r>
    </w:p>
    <w:p w14:paraId="1F79B6D1">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3</w:t>
      </w:r>
      <w:r>
        <w:rPr>
          <w:rFonts w:hint="eastAsia" w:ascii="仿宋_GB2312" w:hAnsi="仿宋" w:eastAsia="仿宋_GB2312" w:cs="Times New Roman"/>
          <w:kern w:val="30"/>
          <w:sz w:val="30"/>
          <w:szCs w:val="30"/>
        </w:rPr>
        <w:t>.撰写报告：在实地评价工作结束后，整理汇总相关材料及数据，对于数据不清晰、不完整的情况，评价组作进一步取证核实，经分析研判，征求专家意见，形成总体评价结论，撰写评价报告。</w:t>
      </w:r>
    </w:p>
    <w:p w14:paraId="20521B53">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4</w:t>
      </w:r>
      <w:r>
        <w:rPr>
          <w:rFonts w:hint="eastAsia" w:ascii="仿宋_GB2312" w:hAnsi="仿宋" w:eastAsia="仿宋_GB2312" w:cs="Times New Roman"/>
          <w:kern w:val="30"/>
          <w:sz w:val="30"/>
          <w:szCs w:val="30"/>
        </w:rPr>
        <w:t>.报告征求意见及修改完善：将绩效评价报告（征求意见稿）提交被评价单位、富民县财政局征求意见，在充分考虑反馈意见的基础上，修改完善评价报告。</w:t>
      </w:r>
    </w:p>
    <w:p w14:paraId="7E2253BA">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5</w:t>
      </w:r>
      <w:r>
        <w:rPr>
          <w:rFonts w:hint="eastAsia" w:ascii="仿宋_GB2312" w:hAnsi="仿宋" w:eastAsia="仿宋_GB2312" w:cs="Times New Roman"/>
          <w:kern w:val="30"/>
          <w:sz w:val="30"/>
          <w:szCs w:val="30"/>
        </w:rPr>
        <w:t>.出具评价报告：按规范要求出具绩效评价报告，整理相关工作底稿，配合做好报告结果应用等相关工作。</w:t>
      </w:r>
    </w:p>
    <w:bookmarkEnd w:id="70"/>
    <w:p w14:paraId="542FF0ED">
      <w:pPr>
        <w:spacing w:line="590" w:lineRule="exact"/>
        <w:ind w:firstLine="624" w:firstLineChars="200"/>
        <w:outlineLvl w:val="0"/>
        <w:rPr>
          <w:rFonts w:ascii="黑体" w:hAnsi="黑体" w:eastAsia="黑体" w:cs="宋体"/>
          <w:spacing w:val="6"/>
          <w:kern w:val="0"/>
          <w:sz w:val="30"/>
          <w:szCs w:val="30"/>
        </w:rPr>
      </w:pPr>
      <w:bookmarkStart w:id="78" w:name="_Toc180163175"/>
      <w:bookmarkStart w:id="79" w:name="_Toc46659228"/>
      <w:bookmarkStart w:id="80" w:name="_Toc173402204"/>
      <w:bookmarkStart w:id="81" w:name="_Toc17560"/>
      <w:bookmarkStart w:id="82" w:name="_Toc173402312"/>
      <w:r>
        <w:rPr>
          <w:rFonts w:ascii="黑体" w:hAnsi="黑体" w:eastAsia="黑体" w:cs="宋体"/>
          <w:spacing w:val="6"/>
          <w:kern w:val="0"/>
          <w:sz w:val="30"/>
          <w:szCs w:val="30"/>
        </w:rPr>
        <w:t>三、评价结论和绩效分析</w:t>
      </w:r>
      <w:bookmarkEnd w:id="78"/>
      <w:bookmarkEnd w:id="79"/>
      <w:bookmarkEnd w:id="80"/>
      <w:bookmarkEnd w:id="81"/>
      <w:bookmarkEnd w:id="82"/>
    </w:p>
    <w:p w14:paraId="7FE250E6">
      <w:pPr>
        <w:spacing w:line="590" w:lineRule="exact"/>
        <w:ind w:firstLine="624" w:firstLineChars="200"/>
        <w:outlineLvl w:val="1"/>
        <w:rPr>
          <w:rFonts w:ascii="楷体_GB2312" w:hAnsi="Times New Roman" w:eastAsia="楷体_GB2312" w:cs="Times New Roman"/>
          <w:spacing w:val="6"/>
          <w:kern w:val="0"/>
          <w:sz w:val="30"/>
          <w:szCs w:val="30"/>
        </w:rPr>
      </w:pPr>
      <w:bookmarkStart w:id="83" w:name="_Toc20895"/>
      <w:bookmarkStart w:id="84" w:name="_Toc46659229"/>
      <w:bookmarkStart w:id="85" w:name="_Toc173402313"/>
      <w:bookmarkStart w:id="86" w:name="_Toc180163176"/>
      <w:bookmarkStart w:id="87" w:name="_Toc173402205"/>
      <w:r>
        <w:rPr>
          <w:rFonts w:ascii="楷体_GB2312" w:hAnsi="Times New Roman" w:eastAsia="楷体_GB2312" w:cs="Times New Roman"/>
          <w:spacing w:val="6"/>
          <w:kern w:val="0"/>
          <w:sz w:val="30"/>
          <w:szCs w:val="30"/>
        </w:rPr>
        <w:t>（一）</w:t>
      </w:r>
      <w:bookmarkEnd w:id="83"/>
      <w:bookmarkEnd w:id="84"/>
      <w:r>
        <w:rPr>
          <w:rFonts w:ascii="楷体_GB2312" w:hAnsi="Times New Roman" w:eastAsia="楷体_GB2312" w:cs="Times New Roman"/>
          <w:spacing w:val="6"/>
          <w:kern w:val="0"/>
          <w:sz w:val="30"/>
          <w:szCs w:val="30"/>
        </w:rPr>
        <w:t>绩效评价综合结论</w:t>
      </w:r>
      <w:bookmarkEnd w:id="85"/>
      <w:bookmarkEnd w:id="86"/>
      <w:bookmarkEnd w:id="87"/>
    </w:p>
    <w:p w14:paraId="041B4075">
      <w:pPr>
        <w:spacing w:line="579" w:lineRule="exact"/>
        <w:ind w:firstLine="600" w:firstLineChars="200"/>
        <w:rPr>
          <w:rFonts w:ascii="仿宋_GB2312" w:hAnsi="仿宋" w:eastAsia="仿宋_GB2312" w:cs="Times New Roman"/>
          <w:kern w:val="30"/>
          <w:sz w:val="30"/>
          <w:szCs w:val="30"/>
        </w:rPr>
      </w:pPr>
      <w:bookmarkStart w:id="88" w:name="_Hlk514328959"/>
      <w:r>
        <w:rPr>
          <w:rFonts w:ascii="仿宋_GB2312" w:hAnsi="仿宋" w:eastAsia="仿宋_GB2312" w:cs="Times New Roman"/>
          <w:kern w:val="30"/>
          <w:sz w:val="30"/>
          <w:szCs w:val="30"/>
        </w:rPr>
        <w:t>经对</w:t>
      </w: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2023年部门整体进行绩效评价，分析投入、过程、产出、效果4个方面，综合得分</w:t>
      </w:r>
      <w:r>
        <w:rPr>
          <w:rFonts w:hint="eastAsia" w:ascii="仿宋_GB2312" w:hAnsi="仿宋" w:eastAsia="仿宋_GB2312" w:cs="Times New Roman"/>
          <w:kern w:val="30"/>
          <w:sz w:val="30"/>
          <w:szCs w:val="30"/>
        </w:rPr>
        <w:t>88.7</w:t>
      </w:r>
      <w:r>
        <w:rPr>
          <w:rFonts w:ascii="仿宋_GB2312" w:hAnsi="仿宋" w:eastAsia="仿宋_GB2312" w:cs="Times New Roman"/>
          <w:kern w:val="30"/>
          <w:sz w:val="30"/>
          <w:szCs w:val="30"/>
        </w:rPr>
        <w:t>分，评价等级为“</w:t>
      </w:r>
      <w:r>
        <w:rPr>
          <w:rFonts w:hint="eastAsia" w:ascii="仿宋_GB2312" w:hAnsi="仿宋" w:eastAsia="仿宋_GB2312" w:cs="Times New Roman"/>
          <w:kern w:val="30"/>
          <w:sz w:val="30"/>
          <w:szCs w:val="30"/>
        </w:rPr>
        <w:t>良</w:t>
      </w:r>
      <w:r>
        <w:rPr>
          <w:rFonts w:ascii="仿宋_GB2312" w:hAnsi="仿宋" w:eastAsia="仿宋_GB2312" w:cs="Times New Roman"/>
          <w:kern w:val="30"/>
          <w:sz w:val="30"/>
          <w:szCs w:val="30"/>
        </w:rPr>
        <w:t>”。一级指标具体得分情况详见下表：</w:t>
      </w:r>
    </w:p>
    <w:p w14:paraId="751E828D">
      <w:pPr>
        <w:spacing w:line="600" w:lineRule="exact"/>
        <w:jc w:val="center"/>
        <w:rPr>
          <w:rFonts w:ascii="仿宋" w:hAnsi="仿宋" w:eastAsia="仿宋" w:cs="Arial Narrow"/>
          <w:b/>
          <w:bCs/>
          <w:color w:val="000000"/>
          <w:sz w:val="24"/>
          <w:szCs w:val="24"/>
        </w:rPr>
      </w:pPr>
      <w:r>
        <w:rPr>
          <w:rFonts w:ascii="仿宋" w:hAnsi="仿宋" w:eastAsia="仿宋" w:cs="Arial Narrow"/>
          <w:b/>
          <w:bCs/>
          <w:color w:val="000000"/>
          <w:sz w:val="24"/>
          <w:szCs w:val="24"/>
        </w:rPr>
        <w:t>表4</w:t>
      </w:r>
      <w:r>
        <w:rPr>
          <w:rFonts w:ascii="仿宋" w:hAnsi="仿宋" w:eastAsia="仿宋" w:cs="Arial Narrow"/>
          <w:b/>
          <w:bCs/>
          <w:color w:val="000000" w:themeColor="text1"/>
          <w:kern w:val="30"/>
          <w:sz w:val="24"/>
        </w:rPr>
        <w:t>绩效评价得分情况表</w:t>
      </w:r>
    </w:p>
    <w:tbl>
      <w:tblPr>
        <w:tblStyle w:val="88"/>
        <w:tblW w:w="87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1841"/>
        <w:gridCol w:w="2210"/>
        <w:gridCol w:w="2568"/>
      </w:tblGrid>
      <w:tr w14:paraId="2A9EB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blHeader/>
        </w:trPr>
        <w:tc>
          <w:tcPr>
            <w:tcW w:w="2121" w:type="dxa"/>
            <w:shd w:val="clear" w:color="auto" w:fill="auto"/>
            <w:noWrap/>
            <w:vAlign w:val="center"/>
          </w:tcPr>
          <w:p w14:paraId="65B9AC7F">
            <w:pPr>
              <w:jc w:val="center"/>
              <w:rPr>
                <w:rFonts w:ascii="仿宋" w:hAnsi="仿宋" w:eastAsia="仿宋" w:cs="Arial Narrow"/>
                <w:b/>
                <w:color w:val="000000"/>
                <w:szCs w:val="21"/>
              </w:rPr>
            </w:pPr>
            <w:r>
              <w:rPr>
                <w:rFonts w:ascii="仿宋" w:hAnsi="仿宋" w:eastAsia="仿宋" w:cs="Arial Narrow"/>
                <w:b/>
                <w:color w:val="000000"/>
                <w:szCs w:val="21"/>
              </w:rPr>
              <w:t>一级指标</w:t>
            </w:r>
          </w:p>
        </w:tc>
        <w:tc>
          <w:tcPr>
            <w:tcW w:w="1841" w:type="dxa"/>
            <w:shd w:val="clear" w:color="auto" w:fill="auto"/>
            <w:noWrap/>
            <w:vAlign w:val="center"/>
          </w:tcPr>
          <w:p w14:paraId="5FE3C2A4">
            <w:pPr>
              <w:jc w:val="center"/>
              <w:rPr>
                <w:rFonts w:ascii="仿宋" w:hAnsi="仿宋" w:eastAsia="仿宋" w:cs="Arial Narrow"/>
                <w:b/>
                <w:bCs/>
                <w:color w:val="000000"/>
                <w:szCs w:val="21"/>
              </w:rPr>
            </w:pPr>
            <w:r>
              <w:rPr>
                <w:rFonts w:ascii="仿宋" w:hAnsi="仿宋" w:eastAsia="仿宋" w:cs="Arial Narrow"/>
                <w:b/>
                <w:bCs/>
                <w:color w:val="000000"/>
                <w:szCs w:val="21"/>
              </w:rPr>
              <w:t>指标分值</w:t>
            </w:r>
          </w:p>
        </w:tc>
        <w:tc>
          <w:tcPr>
            <w:tcW w:w="2210" w:type="dxa"/>
            <w:shd w:val="clear" w:color="auto" w:fill="auto"/>
            <w:noWrap/>
            <w:vAlign w:val="center"/>
          </w:tcPr>
          <w:p w14:paraId="75A54BFB">
            <w:pPr>
              <w:jc w:val="center"/>
              <w:rPr>
                <w:rFonts w:ascii="仿宋" w:hAnsi="仿宋" w:eastAsia="仿宋" w:cs="Arial Narrow"/>
                <w:b/>
                <w:bCs/>
                <w:color w:val="000000"/>
                <w:szCs w:val="21"/>
              </w:rPr>
            </w:pPr>
            <w:r>
              <w:rPr>
                <w:rFonts w:ascii="仿宋" w:hAnsi="仿宋" w:eastAsia="仿宋" w:cs="Arial Narrow"/>
                <w:b/>
                <w:bCs/>
                <w:color w:val="000000"/>
                <w:szCs w:val="21"/>
              </w:rPr>
              <w:t>评价得分</w:t>
            </w:r>
          </w:p>
        </w:tc>
        <w:tc>
          <w:tcPr>
            <w:tcW w:w="2568" w:type="dxa"/>
            <w:shd w:val="clear" w:color="auto" w:fill="auto"/>
            <w:noWrap/>
            <w:vAlign w:val="center"/>
          </w:tcPr>
          <w:p w14:paraId="1A19AB25">
            <w:pPr>
              <w:jc w:val="center"/>
              <w:rPr>
                <w:rFonts w:ascii="仿宋" w:hAnsi="仿宋" w:eastAsia="仿宋" w:cs="Arial Narrow"/>
                <w:b/>
                <w:bCs/>
                <w:color w:val="000000"/>
                <w:szCs w:val="21"/>
              </w:rPr>
            </w:pPr>
            <w:r>
              <w:rPr>
                <w:rFonts w:ascii="仿宋" w:hAnsi="仿宋" w:eastAsia="仿宋" w:cs="Arial Narrow"/>
                <w:b/>
                <w:bCs/>
                <w:color w:val="000000"/>
                <w:szCs w:val="21"/>
              </w:rPr>
              <w:t>得分率</w:t>
            </w:r>
          </w:p>
        </w:tc>
      </w:tr>
      <w:tr w14:paraId="1567A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21" w:type="dxa"/>
            <w:shd w:val="clear" w:color="auto" w:fill="auto"/>
            <w:noWrap/>
            <w:vAlign w:val="center"/>
          </w:tcPr>
          <w:p w14:paraId="0C9AE039">
            <w:pPr>
              <w:jc w:val="center"/>
              <w:rPr>
                <w:rFonts w:ascii="仿宋" w:hAnsi="仿宋" w:eastAsia="仿宋" w:cs="Arial Narrow"/>
                <w:bCs/>
                <w:color w:val="000000"/>
                <w:szCs w:val="21"/>
              </w:rPr>
            </w:pPr>
            <w:r>
              <w:rPr>
                <w:rFonts w:ascii="仿宋" w:hAnsi="仿宋" w:eastAsia="仿宋" w:cs="Arial Narrow"/>
                <w:bCs/>
                <w:color w:val="000000"/>
                <w:szCs w:val="21"/>
              </w:rPr>
              <w:t>投入</w:t>
            </w:r>
          </w:p>
        </w:tc>
        <w:tc>
          <w:tcPr>
            <w:tcW w:w="1841" w:type="dxa"/>
            <w:shd w:val="clear" w:color="auto" w:fill="auto"/>
            <w:noWrap/>
            <w:vAlign w:val="center"/>
          </w:tcPr>
          <w:p w14:paraId="14CBE83E">
            <w:pPr>
              <w:jc w:val="center"/>
              <w:rPr>
                <w:rFonts w:ascii="仿宋" w:hAnsi="仿宋" w:eastAsia="仿宋" w:cs="Arial Narrow"/>
                <w:bCs/>
                <w:color w:val="000000"/>
                <w:szCs w:val="21"/>
              </w:rPr>
            </w:pPr>
            <w:r>
              <w:rPr>
                <w:rFonts w:ascii="Arial Narrow" w:hAnsi="Arial Narrow"/>
                <w:color w:val="000000"/>
                <w:sz w:val="20"/>
                <w:szCs w:val="20"/>
              </w:rPr>
              <w:t>15</w:t>
            </w:r>
          </w:p>
        </w:tc>
        <w:tc>
          <w:tcPr>
            <w:tcW w:w="2210" w:type="dxa"/>
            <w:shd w:val="clear" w:color="auto" w:fill="auto"/>
            <w:noWrap/>
            <w:vAlign w:val="center"/>
          </w:tcPr>
          <w:p w14:paraId="4AB87C46">
            <w:pPr>
              <w:jc w:val="center"/>
              <w:rPr>
                <w:rFonts w:ascii="仿宋" w:hAnsi="仿宋" w:eastAsia="仿宋" w:cs="Arial Narrow"/>
                <w:bCs/>
                <w:color w:val="000000"/>
                <w:szCs w:val="21"/>
              </w:rPr>
            </w:pPr>
            <w:r>
              <w:rPr>
                <w:rFonts w:ascii="Arial Narrow" w:hAnsi="Arial Narrow"/>
                <w:color w:val="000000"/>
                <w:sz w:val="20"/>
                <w:szCs w:val="20"/>
              </w:rPr>
              <w:t xml:space="preserve">11.00 </w:t>
            </w:r>
          </w:p>
        </w:tc>
        <w:tc>
          <w:tcPr>
            <w:tcW w:w="2568" w:type="dxa"/>
            <w:shd w:val="clear" w:color="auto" w:fill="auto"/>
            <w:noWrap/>
            <w:vAlign w:val="center"/>
          </w:tcPr>
          <w:p w14:paraId="16B531DB">
            <w:pPr>
              <w:jc w:val="center"/>
              <w:rPr>
                <w:rFonts w:ascii="仿宋" w:hAnsi="仿宋" w:eastAsia="仿宋" w:cs="Arial Narrow"/>
                <w:bCs/>
                <w:color w:val="000000"/>
                <w:szCs w:val="21"/>
              </w:rPr>
            </w:pPr>
            <w:r>
              <w:rPr>
                <w:rFonts w:ascii="Arial Narrow" w:hAnsi="Arial Narrow"/>
                <w:color w:val="000000"/>
                <w:sz w:val="20"/>
                <w:szCs w:val="20"/>
              </w:rPr>
              <w:t>73.33%</w:t>
            </w:r>
          </w:p>
        </w:tc>
      </w:tr>
      <w:tr w14:paraId="480EB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21" w:type="dxa"/>
            <w:shd w:val="clear" w:color="auto" w:fill="auto"/>
            <w:noWrap/>
            <w:vAlign w:val="center"/>
          </w:tcPr>
          <w:p w14:paraId="0033986A">
            <w:pPr>
              <w:jc w:val="center"/>
              <w:rPr>
                <w:rFonts w:ascii="仿宋" w:hAnsi="仿宋" w:eastAsia="仿宋" w:cs="Arial Narrow"/>
                <w:bCs/>
                <w:color w:val="000000"/>
                <w:szCs w:val="21"/>
              </w:rPr>
            </w:pPr>
            <w:r>
              <w:rPr>
                <w:rFonts w:ascii="仿宋" w:hAnsi="仿宋" w:eastAsia="仿宋" w:cs="Arial Narrow"/>
                <w:bCs/>
                <w:color w:val="000000"/>
                <w:szCs w:val="21"/>
              </w:rPr>
              <w:t>过程</w:t>
            </w:r>
          </w:p>
        </w:tc>
        <w:tc>
          <w:tcPr>
            <w:tcW w:w="1841" w:type="dxa"/>
            <w:shd w:val="clear" w:color="auto" w:fill="auto"/>
            <w:noWrap/>
            <w:vAlign w:val="center"/>
          </w:tcPr>
          <w:p w14:paraId="0A1DC8DB">
            <w:pPr>
              <w:jc w:val="center"/>
              <w:rPr>
                <w:rFonts w:ascii="仿宋" w:hAnsi="仿宋" w:eastAsia="仿宋" w:cs="Arial Narrow"/>
                <w:bCs/>
                <w:color w:val="000000"/>
                <w:szCs w:val="21"/>
              </w:rPr>
            </w:pPr>
            <w:r>
              <w:rPr>
                <w:rFonts w:ascii="Arial Narrow" w:hAnsi="Arial Narrow"/>
                <w:color w:val="000000"/>
                <w:sz w:val="20"/>
                <w:szCs w:val="20"/>
              </w:rPr>
              <w:t>20</w:t>
            </w:r>
          </w:p>
        </w:tc>
        <w:tc>
          <w:tcPr>
            <w:tcW w:w="2210" w:type="dxa"/>
            <w:shd w:val="clear" w:color="auto" w:fill="auto"/>
            <w:noWrap/>
            <w:vAlign w:val="center"/>
          </w:tcPr>
          <w:p w14:paraId="0FBF5878">
            <w:pPr>
              <w:jc w:val="center"/>
              <w:rPr>
                <w:rFonts w:ascii="仿宋" w:hAnsi="仿宋" w:eastAsia="仿宋" w:cs="Arial Narrow"/>
                <w:bCs/>
                <w:color w:val="000000"/>
                <w:szCs w:val="21"/>
              </w:rPr>
            </w:pPr>
            <w:r>
              <w:rPr>
                <w:rFonts w:ascii="Arial Narrow" w:hAnsi="Arial Narrow"/>
                <w:color w:val="000000"/>
                <w:sz w:val="20"/>
                <w:szCs w:val="20"/>
              </w:rPr>
              <w:t xml:space="preserve">13.20 </w:t>
            </w:r>
          </w:p>
        </w:tc>
        <w:tc>
          <w:tcPr>
            <w:tcW w:w="2568" w:type="dxa"/>
            <w:shd w:val="clear" w:color="auto" w:fill="auto"/>
            <w:noWrap/>
            <w:vAlign w:val="center"/>
          </w:tcPr>
          <w:p w14:paraId="1DB37F4D">
            <w:pPr>
              <w:jc w:val="center"/>
              <w:rPr>
                <w:rFonts w:ascii="仿宋" w:hAnsi="仿宋" w:eastAsia="仿宋" w:cs="Arial Narrow"/>
                <w:bCs/>
                <w:color w:val="000000"/>
                <w:szCs w:val="21"/>
              </w:rPr>
            </w:pPr>
            <w:r>
              <w:rPr>
                <w:rFonts w:ascii="Arial Narrow" w:hAnsi="Arial Narrow"/>
                <w:color w:val="000000"/>
                <w:sz w:val="20"/>
                <w:szCs w:val="20"/>
              </w:rPr>
              <w:t>66.00%</w:t>
            </w:r>
          </w:p>
        </w:tc>
      </w:tr>
      <w:tr w14:paraId="3B82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21" w:type="dxa"/>
            <w:shd w:val="clear" w:color="auto" w:fill="auto"/>
            <w:noWrap/>
            <w:vAlign w:val="center"/>
          </w:tcPr>
          <w:p w14:paraId="65F1A7FC">
            <w:pPr>
              <w:jc w:val="center"/>
              <w:rPr>
                <w:rFonts w:ascii="仿宋" w:hAnsi="仿宋" w:eastAsia="仿宋" w:cs="Arial Narrow"/>
                <w:bCs/>
                <w:color w:val="000000"/>
                <w:szCs w:val="21"/>
              </w:rPr>
            </w:pPr>
            <w:r>
              <w:rPr>
                <w:rFonts w:ascii="仿宋" w:hAnsi="仿宋" w:eastAsia="仿宋" w:cs="Arial Narrow"/>
                <w:bCs/>
                <w:color w:val="000000"/>
                <w:szCs w:val="21"/>
              </w:rPr>
              <w:t>产出</w:t>
            </w:r>
          </w:p>
        </w:tc>
        <w:tc>
          <w:tcPr>
            <w:tcW w:w="1841" w:type="dxa"/>
            <w:shd w:val="clear" w:color="auto" w:fill="auto"/>
            <w:noWrap/>
            <w:vAlign w:val="center"/>
          </w:tcPr>
          <w:p w14:paraId="057DC71C">
            <w:pPr>
              <w:jc w:val="center"/>
              <w:rPr>
                <w:rFonts w:ascii="仿宋" w:hAnsi="仿宋" w:eastAsia="仿宋" w:cs="Arial Narrow"/>
                <w:bCs/>
                <w:color w:val="000000"/>
                <w:szCs w:val="21"/>
              </w:rPr>
            </w:pPr>
            <w:r>
              <w:rPr>
                <w:rFonts w:ascii="Arial Narrow" w:hAnsi="Arial Narrow"/>
                <w:color w:val="000000"/>
                <w:sz w:val="20"/>
                <w:szCs w:val="20"/>
              </w:rPr>
              <w:t>30</w:t>
            </w:r>
          </w:p>
        </w:tc>
        <w:tc>
          <w:tcPr>
            <w:tcW w:w="2210" w:type="dxa"/>
            <w:shd w:val="clear" w:color="auto" w:fill="auto"/>
            <w:noWrap/>
            <w:vAlign w:val="center"/>
          </w:tcPr>
          <w:p w14:paraId="7EEFFBA3">
            <w:pPr>
              <w:jc w:val="center"/>
              <w:rPr>
                <w:rFonts w:ascii="仿宋" w:hAnsi="仿宋" w:eastAsia="仿宋" w:cs="Arial Narrow"/>
                <w:bCs/>
                <w:color w:val="000000"/>
                <w:szCs w:val="21"/>
              </w:rPr>
            </w:pPr>
            <w:r>
              <w:rPr>
                <w:rFonts w:ascii="Arial Narrow" w:hAnsi="Arial Narrow"/>
                <w:color w:val="000000"/>
                <w:sz w:val="20"/>
                <w:szCs w:val="20"/>
              </w:rPr>
              <w:t xml:space="preserve">28.00 </w:t>
            </w:r>
          </w:p>
        </w:tc>
        <w:tc>
          <w:tcPr>
            <w:tcW w:w="2568" w:type="dxa"/>
            <w:shd w:val="clear" w:color="auto" w:fill="auto"/>
            <w:noWrap/>
            <w:vAlign w:val="center"/>
          </w:tcPr>
          <w:p w14:paraId="70D6FFFD">
            <w:pPr>
              <w:jc w:val="center"/>
              <w:rPr>
                <w:rFonts w:ascii="仿宋" w:hAnsi="仿宋" w:eastAsia="仿宋" w:cs="Arial Narrow"/>
                <w:bCs/>
                <w:color w:val="000000"/>
                <w:szCs w:val="21"/>
              </w:rPr>
            </w:pPr>
            <w:r>
              <w:rPr>
                <w:rFonts w:ascii="Arial Narrow" w:hAnsi="Arial Narrow"/>
                <w:color w:val="000000"/>
                <w:sz w:val="20"/>
                <w:szCs w:val="20"/>
              </w:rPr>
              <w:t>93.33%</w:t>
            </w:r>
          </w:p>
        </w:tc>
      </w:tr>
      <w:tr w14:paraId="51A5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21" w:type="dxa"/>
            <w:shd w:val="clear" w:color="auto" w:fill="auto"/>
            <w:noWrap/>
            <w:vAlign w:val="center"/>
          </w:tcPr>
          <w:p w14:paraId="51F29B7F">
            <w:pPr>
              <w:jc w:val="center"/>
              <w:rPr>
                <w:rFonts w:ascii="仿宋" w:hAnsi="仿宋" w:eastAsia="仿宋" w:cs="Arial Narrow"/>
                <w:bCs/>
                <w:color w:val="000000"/>
                <w:szCs w:val="21"/>
              </w:rPr>
            </w:pPr>
            <w:r>
              <w:rPr>
                <w:rFonts w:ascii="仿宋" w:hAnsi="仿宋" w:eastAsia="仿宋" w:cs="Arial Narrow"/>
                <w:bCs/>
                <w:color w:val="000000"/>
                <w:szCs w:val="21"/>
              </w:rPr>
              <w:t>效果</w:t>
            </w:r>
          </w:p>
        </w:tc>
        <w:tc>
          <w:tcPr>
            <w:tcW w:w="1841" w:type="dxa"/>
            <w:shd w:val="clear" w:color="auto" w:fill="auto"/>
            <w:noWrap/>
            <w:vAlign w:val="center"/>
          </w:tcPr>
          <w:p w14:paraId="1B26DB79">
            <w:pPr>
              <w:jc w:val="center"/>
              <w:rPr>
                <w:rFonts w:ascii="仿宋" w:hAnsi="仿宋" w:eastAsia="仿宋" w:cs="Arial Narrow"/>
                <w:bCs/>
                <w:color w:val="000000"/>
                <w:szCs w:val="21"/>
              </w:rPr>
            </w:pPr>
            <w:r>
              <w:rPr>
                <w:rFonts w:ascii="Arial Narrow" w:hAnsi="Arial Narrow"/>
                <w:color w:val="000000"/>
                <w:sz w:val="20"/>
                <w:szCs w:val="20"/>
              </w:rPr>
              <w:t>35</w:t>
            </w:r>
          </w:p>
        </w:tc>
        <w:tc>
          <w:tcPr>
            <w:tcW w:w="2210" w:type="dxa"/>
            <w:shd w:val="clear" w:color="auto" w:fill="auto"/>
            <w:noWrap/>
            <w:vAlign w:val="center"/>
          </w:tcPr>
          <w:p w14:paraId="2533FB15">
            <w:pPr>
              <w:jc w:val="center"/>
              <w:rPr>
                <w:rFonts w:ascii="仿宋" w:hAnsi="仿宋" w:eastAsia="仿宋" w:cs="Arial Narrow"/>
                <w:bCs/>
                <w:color w:val="000000"/>
                <w:szCs w:val="21"/>
              </w:rPr>
            </w:pPr>
            <w:r>
              <w:rPr>
                <w:rFonts w:ascii="Arial Narrow" w:hAnsi="Arial Narrow"/>
                <w:color w:val="000000"/>
                <w:sz w:val="20"/>
                <w:szCs w:val="20"/>
              </w:rPr>
              <w:t xml:space="preserve">36.50 </w:t>
            </w:r>
          </w:p>
        </w:tc>
        <w:tc>
          <w:tcPr>
            <w:tcW w:w="2568" w:type="dxa"/>
            <w:shd w:val="clear" w:color="auto" w:fill="auto"/>
            <w:noWrap/>
            <w:vAlign w:val="center"/>
          </w:tcPr>
          <w:p w14:paraId="314F9803">
            <w:pPr>
              <w:jc w:val="center"/>
              <w:rPr>
                <w:rFonts w:ascii="仿宋" w:hAnsi="仿宋" w:eastAsia="仿宋" w:cs="Arial Narrow"/>
                <w:bCs/>
                <w:color w:val="000000"/>
                <w:szCs w:val="21"/>
              </w:rPr>
            </w:pPr>
            <w:r>
              <w:rPr>
                <w:rFonts w:ascii="Arial Narrow" w:hAnsi="Arial Narrow"/>
                <w:color w:val="000000"/>
                <w:sz w:val="20"/>
                <w:szCs w:val="20"/>
              </w:rPr>
              <w:t>104.29%</w:t>
            </w:r>
          </w:p>
        </w:tc>
      </w:tr>
      <w:tr w14:paraId="05B74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121" w:type="dxa"/>
            <w:shd w:val="clear" w:color="auto" w:fill="auto"/>
            <w:noWrap/>
            <w:vAlign w:val="center"/>
          </w:tcPr>
          <w:p w14:paraId="454A06C9">
            <w:pPr>
              <w:jc w:val="center"/>
              <w:rPr>
                <w:rFonts w:ascii="仿宋" w:hAnsi="仿宋" w:eastAsia="仿宋" w:cs="Arial Narrow"/>
                <w:b/>
                <w:color w:val="000000"/>
                <w:szCs w:val="21"/>
              </w:rPr>
            </w:pPr>
            <w:r>
              <w:rPr>
                <w:rFonts w:ascii="仿宋" w:hAnsi="仿宋" w:eastAsia="仿宋" w:cs="Arial Narrow"/>
                <w:b/>
                <w:color w:val="000000"/>
                <w:szCs w:val="21"/>
              </w:rPr>
              <w:t>合计</w:t>
            </w:r>
          </w:p>
        </w:tc>
        <w:tc>
          <w:tcPr>
            <w:tcW w:w="1841" w:type="dxa"/>
            <w:shd w:val="clear" w:color="auto" w:fill="auto"/>
            <w:noWrap/>
            <w:vAlign w:val="center"/>
          </w:tcPr>
          <w:p w14:paraId="260EE985">
            <w:pPr>
              <w:jc w:val="center"/>
              <w:rPr>
                <w:rFonts w:ascii="仿宋" w:hAnsi="仿宋" w:eastAsia="仿宋" w:cs="Arial Narrow"/>
                <w:b/>
                <w:color w:val="000000"/>
                <w:szCs w:val="21"/>
              </w:rPr>
            </w:pPr>
            <w:r>
              <w:rPr>
                <w:rFonts w:ascii="Arial Narrow" w:hAnsi="Arial Narrow"/>
                <w:b/>
                <w:bCs/>
                <w:color w:val="000000"/>
                <w:sz w:val="20"/>
                <w:szCs w:val="20"/>
              </w:rPr>
              <w:t>100</w:t>
            </w:r>
          </w:p>
        </w:tc>
        <w:tc>
          <w:tcPr>
            <w:tcW w:w="2210" w:type="dxa"/>
            <w:shd w:val="clear" w:color="auto" w:fill="auto"/>
            <w:noWrap/>
            <w:vAlign w:val="center"/>
          </w:tcPr>
          <w:p w14:paraId="353253AA">
            <w:pPr>
              <w:jc w:val="center"/>
              <w:rPr>
                <w:rFonts w:ascii="仿宋" w:hAnsi="仿宋" w:eastAsia="仿宋" w:cs="Arial Narrow"/>
                <w:b/>
                <w:color w:val="000000"/>
                <w:szCs w:val="21"/>
              </w:rPr>
            </w:pPr>
            <w:r>
              <w:rPr>
                <w:rFonts w:ascii="Arial Narrow" w:hAnsi="Arial Narrow"/>
                <w:b/>
                <w:bCs/>
                <w:color w:val="000000"/>
                <w:sz w:val="20"/>
                <w:szCs w:val="20"/>
              </w:rPr>
              <w:t xml:space="preserve">88.70 </w:t>
            </w:r>
          </w:p>
        </w:tc>
        <w:tc>
          <w:tcPr>
            <w:tcW w:w="2568" w:type="dxa"/>
            <w:shd w:val="clear" w:color="auto" w:fill="auto"/>
            <w:noWrap/>
            <w:vAlign w:val="center"/>
          </w:tcPr>
          <w:p w14:paraId="3EB9E4F9">
            <w:pPr>
              <w:jc w:val="center"/>
              <w:rPr>
                <w:rFonts w:ascii="仿宋" w:hAnsi="仿宋" w:eastAsia="仿宋" w:cs="Arial Narrow"/>
                <w:b/>
                <w:bCs/>
                <w:color w:val="000000"/>
                <w:szCs w:val="21"/>
              </w:rPr>
            </w:pPr>
            <w:r>
              <w:rPr>
                <w:rFonts w:ascii="Arial Narrow" w:hAnsi="Arial Narrow"/>
                <w:b/>
                <w:bCs/>
                <w:color w:val="000000"/>
                <w:sz w:val="20"/>
                <w:szCs w:val="20"/>
              </w:rPr>
              <w:t>88.70%</w:t>
            </w:r>
          </w:p>
        </w:tc>
      </w:tr>
      <w:bookmarkEnd w:id="88"/>
    </w:tbl>
    <w:p w14:paraId="06FD53B2">
      <w:pPr>
        <w:spacing w:line="579" w:lineRule="exact"/>
        <w:ind w:firstLine="600" w:firstLineChars="200"/>
        <w:rPr>
          <w:rFonts w:ascii="仿宋_GB2312" w:hAnsi="仿宋" w:eastAsia="仿宋_GB2312" w:cs="Times New Roman"/>
          <w:kern w:val="30"/>
          <w:sz w:val="30"/>
          <w:szCs w:val="30"/>
        </w:rPr>
      </w:pPr>
      <w:bookmarkStart w:id="89" w:name="_Toc5953"/>
      <w:bookmarkStart w:id="90" w:name="_Toc46659230"/>
      <w:r>
        <w:rPr>
          <w:rFonts w:hint="eastAsia" w:ascii="仿宋_GB2312" w:hAnsi="仿宋" w:eastAsia="仿宋_GB2312" w:cs="Times New Roman"/>
          <w:kern w:val="30"/>
          <w:sz w:val="30"/>
          <w:szCs w:val="30"/>
        </w:rPr>
        <w:t>富民一中以昆一中委托管理为契机，以“增加富民县优质教育资源总量、打造名校”为目标，不断优化育人环境，持续规范教学管理，突出办学特色，做优教师队伍培养，强化德育工作，教学质量稳步提高，2023年富民一中中考考生498人，成绩优秀率43.2%，高考考生586人，一本上线33人，一本率为5.62%，较2022年提升1.77个百分点，本科率达到64.23%，较2022年提升了20.87个百分点，被评为富民县教育教学质量优秀学校，2023年10月通过一级三等普通高中办学水平综合评审，被认定为2023年云南省一级三等普通高中（2023年云南省共认定3所一级三等高中）。</w:t>
      </w:r>
    </w:p>
    <w:p w14:paraId="5F4131D7">
      <w:pPr>
        <w:spacing w:line="590" w:lineRule="exact"/>
        <w:ind w:firstLine="624" w:firstLineChars="200"/>
        <w:outlineLvl w:val="1"/>
        <w:rPr>
          <w:rFonts w:ascii="楷体_GB2312" w:hAnsi="Times New Roman" w:eastAsia="楷体_GB2312" w:cs="Times New Roman"/>
          <w:spacing w:val="6"/>
          <w:kern w:val="0"/>
          <w:sz w:val="30"/>
          <w:szCs w:val="30"/>
        </w:rPr>
      </w:pPr>
      <w:bookmarkStart w:id="91" w:name="_Toc173402206"/>
      <w:bookmarkStart w:id="92" w:name="_Toc173402314"/>
      <w:bookmarkStart w:id="93" w:name="_Toc180163177"/>
      <w:r>
        <w:rPr>
          <w:rFonts w:hint="eastAsia" w:ascii="楷体_GB2312" w:hAnsi="Times New Roman" w:eastAsia="楷体_GB2312" w:cs="Times New Roman"/>
          <w:spacing w:val="6"/>
          <w:kern w:val="0"/>
          <w:sz w:val="30"/>
          <w:szCs w:val="30"/>
        </w:rPr>
        <w:t>（二）</w:t>
      </w:r>
      <w:r>
        <w:rPr>
          <w:rFonts w:ascii="楷体_GB2312" w:hAnsi="Times New Roman" w:eastAsia="楷体_GB2312" w:cs="Times New Roman"/>
          <w:spacing w:val="6"/>
          <w:kern w:val="0"/>
          <w:sz w:val="30"/>
          <w:szCs w:val="30"/>
        </w:rPr>
        <w:t>绩效目标实现情况</w:t>
      </w:r>
      <w:bookmarkEnd w:id="89"/>
      <w:bookmarkEnd w:id="91"/>
      <w:bookmarkEnd w:id="92"/>
      <w:bookmarkEnd w:id="93"/>
    </w:p>
    <w:p w14:paraId="5ACDF89D">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根据评价情况，</w:t>
      </w: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2023年整体绩效指标中产出指标和效益指标共1</w:t>
      </w:r>
      <w:r>
        <w:rPr>
          <w:rFonts w:hint="eastAsia" w:ascii="仿宋_GB2312" w:hAnsi="仿宋" w:eastAsia="仿宋_GB2312" w:cs="Times New Roman"/>
          <w:kern w:val="30"/>
          <w:sz w:val="30"/>
          <w:szCs w:val="30"/>
        </w:rPr>
        <w:t>6</w:t>
      </w:r>
      <w:r>
        <w:rPr>
          <w:rFonts w:ascii="仿宋_GB2312" w:hAnsi="仿宋" w:eastAsia="仿宋_GB2312" w:cs="Times New Roman"/>
          <w:kern w:val="30"/>
          <w:sz w:val="30"/>
          <w:szCs w:val="30"/>
        </w:rPr>
        <w:t>项，完成1</w:t>
      </w:r>
      <w:r>
        <w:rPr>
          <w:rFonts w:hint="eastAsia" w:ascii="仿宋_GB2312" w:hAnsi="仿宋" w:eastAsia="仿宋_GB2312" w:cs="Times New Roman"/>
          <w:kern w:val="30"/>
          <w:sz w:val="30"/>
          <w:szCs w:val="30"/>
        </w:rPr>
        <w:t>5</w:t>
      </w:r>
      <w:r>
        <w:rPr>
          <w:rFonts w:ascii="仿宋_GB2312" w:hAnsi="仿宋" w:eastAsia="仿宋_GB2312" w:cs="Times New Roman"/>
          <w:kern w:val="30"/>
          <w:sz w:val="30"/>
          <w:szCs w:val="30"/>
        </w:rPr>
        <w:t>项，</w:t>
      </w:r>
      <w:r>
        <w:rPr>
          <w:rFonts w:hint="eastAsia" w:ascii="仿宋_GB2312" w:hAnsi="仿宋" w:eastAsia="仿宋_GB2312" w:cs="Times New Roman"/>
          <w:kern w:val="30"/>
          <w:sz w:val="30"/>
          <w:szCs w:val="30"/>
        </w:rPr>
        <w:t>部分完成1</w:t>
      </w:r>
      <w:r>
        <w:rPr>
          <w:rFonts w:ascii="仿宋_GB2312" w:hAnsi="仿宋" w:eastAsia="仿宋_GB2312" w:cs="Times New Roman"/>
          <w:kern w:val="30"/>
          <w:sz w:val="30"/>
          <w:szCs w:val="30"/>
        </w:rPr>
        <w:t>项，具体情况如下表：</w:t>
      </w:r>
    </w:p>
    <w:p w14:paraId="6B26BDD5">
      <w:pPr>
        <w:spacing w:line="600" w:lineRule="exact"/>
        <w:ind w:firstLine="480" w:firstLineChars="200"/>
        <w:jc w:val="center"/>
        <w:rPr>
          <w:rFonts w:ascii="仿宋_GB2312" w:hAnsi="黑体" w:eastAsia="仿宋_GB2312" w:cs="Arial Narrow"/>
          <w:b/>
          <w:bCs/>
          <w:color w:val="000000"/>
          <w:sz w:val="28"/>
          <w:szCs w:val="28"/>
        </w:rPr>
      </w:pPr>
      <w:r>
        <w:rPr>
          <w:rFonts w:hint="eastAsia" w:ascii="仿宋_GB2312" w:hAnsi="黑体" w:eastAsia="仿宋_GB2312" w:cs="Arial Narrow"/>
          <w:b/>
          <w:bCs/>
          <w:color w:val="000000"/>
          <w:sz w:val="24"/>
          <w:szCs w:val="24"/>
        </w:rPr>
        <w:t>2023年昆明市第一中学富民学校（富民一中）绩效指标完成情况表</w:t>
      </w:r>
    </w:p>
    <w:tbl>
      <w:tblPr>
        <w:tblStyle w:val="88"/>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674"/>
        <w:gridCol w:w="1366"/>
        <w:gridCol w:w="992"/>
        <w:gridCol w:w="4536"/>
        <w:gridCol w:w="739"/>
      </w:tblGrid>
      <w:tr w14:paraId="2F65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blHeader/>
          <w:jc w:val="center"/>
        </w:trPr>
        <w:tc>
          <w:tcPr>
            <w:tcW w:w="649" w:type="dxa"/>
            <w:shd w:val="clear" w:color="000000" w:fill="FFFFFF"/>
            <w:vAlign w:val="center"/>
          </w:tcPr>
          <w:p w14:paraId="3321612D">
            <w:pPr>
              <w:widowControl/>
              <w:spacing w:line="240" w:lineRule="atLeast"/>
              <w:rPr>
                <w:rFonts w:ascii="仿宋" w:hAnsi="仿宋" w:eastAsia="仿宋" w:cs="Arial Narrow"/>
                <w:b/>
                <w:bCs/>
                <w:color w:val="000000"/>
                <w:kern w:val="0"/>
                <w:sz w:val="18"/>
                <w:szCs w:val="18"/>
              </w:rPr>
            </w:pPr>
            <w:r>
              <w:rPr>
                <w:rFonts w:ascii="仿宋" w:hAnsi="仿宋" w:eastAsia="仿宋" w:cs="Arial Narrow"/>
                <w:b/>
                <w:bCs/>
                <w:color w:val="000000"/>
                <w:kern w:val="0"/>
                <w:sz w:val="18"/>
                <w:szCs w:val="18"/>
              </w:rPr>
              <w:t>一级指标</w:t>
            </w:r>
          </w:p>
        </w:tc>
        <w:tc>
          <w:tcPr>
            <w:tcW w:w="674" w:type="dxa"/>
            <w:shd w:val="clear" w:color="000000" w:fill="FFFFFF"/>
            <w:vAlign w:val="center"/>
          </w:tcPr>
          <w:p w14:paraId="3A690AF6">
            <w:pPr>
              <w:widowControl/>
              <w:spacing w:line="240" w:lineRule="atLeast"/>
              <w:jc w:val="center"/>
              <w:rPr>
                <w:rFonts w:ascii="仿宋" w:hAnsi="仿宋" w:eastAsia="仿宋" w:cs="Arial Narrow"/>
                <w:b/>
                <w:bCs/>
                <w:color w:val="000000"/>
                <w:kern w:val="0"/>
                <w:sz w:val="18"/>
                <w:szCs w:val="18"/>
              </w:rPr>
            </w:pPr>
            <w:r>
              <w:rPr>
                <w:rFonts w:ascii="仿宋" w:hAnsi="仿宋" w:eastAsia="仿宋" w:cs="Arial Narrow"/>
                <w:b/>
                <w:bCs/>
                <w:color w:val="000000"/>
                <w:kern w:val="0"/>
                <w:sz w:val="18"/>
                <w:szCs w:val="18"/>
              </w:rPr>
              <w:t>二级指标</w:t>
            </w:r>
          </w:p>
        </w:tc>
        <w:tc>
          <w:tcPr>
            <w:tcW w:w="1366" w:type="dxa"/>
            <w:shd w:val="clear" w:color="000000" w:fill="FFFFFF"/>
            <w:vAlign w:val="center"/>
          </w:tcPr>
          <w:p w14:paraId="2438EE24">
            <w:pPr>
              <w:widowControl/>
              <w:spacing w:line="240" w:lineRule="atLeast"/>
              <w:jc w:val="center"/>
              <w:rPr>
                <w:rFonts w:ascii="仿宋" w:hAnsi="仿宋" w:eastAsia="仿宋" w:cs="Arial Narrow"/>
                <w:b/>
                <w:bCs/>
                <w:color w:val="000000"/>
                <w:kern w:val="0"/>
                <w:sz w:val="18"/>
                <w:szCs w:val="18"/>
              </w:rPr>
            </w:pPr>
            <w:r>
              <w:rPr>
                <w:rFonts w:ascii="仿宋" w:hAnsi="仿宋" w:eastAsia="仿宋" w:cs="Arial Narrow"/>
                <w:b/>
                <w:bCs/>
                <w:color w:val="000000"/>
                <w:kern w:val="0"/>
                <w:sz w:val="18"/>
                <w:szCs w:val="18"/>
              </w:rPr>
              <w:t>三级指标</w:t>
            </w:r>
          </w:p>
        </w:tc>
        <w:tc>
          <w:tcPr>
            <w:tcW w:w="992" w:type="dxa"/>
            <w:shd w:val="clear" w:color="000000" w:fill="FFFFFF"/>
            <w:vAlign w:val="center"/>
          </w:tcPr>
          <w:p w14:paraId="39E4ECAB">
            <w:pPr>
              <w:widowControl/>
              <w:spacing w:line="240" w:lineRule="atLeast"/>
              <w:jc w:val="center"/>
              <w:rPr>
                <w:rFonts w:ascii="仿宋" w:hAnsi="仿宋" w:eastAsia="仿宋" w:cs="Arial Narrow"/>
                <w:color w:val="000000"/>
                <w:kern w:val="0"/>
                <w:sz w:val="18"/>
                <w:szCs w:val="18"/>
              </w:rPr>
            </w:pPr>
            <w:r>
              <w:rPr>
                <w:rFonts w:ascii="仿宋" w:hAnsi="仿宋" w:eastAsia="仿宋" w:cs="Arial Narrow"/>
                <w:b/>
                <w:bCs/>
                <w:color w:val="000000"/>
                <w:kern w:val="0"/>
                <w:sz w:val="18"/>
                <w:szCs w:val="18"/>
              </w:rPr>
              <w:t>指标值</w:t>
            </w:r>
          </w:p>
        </w:tc>
        <w:tc>
          <w:tcPr>
            <w:tcW w:w="4536" w:type="dxa"/>
            <w:shd w:val="clear" w:color="000000" w:fill="FFFFFF"/>
            <w:vAlign w:val="center"/>
          </w:tcPr>
          <w:p w14:paraId="7721A717">
            <w:pPr>
              <w:widowControl/>
              <w:spacing w:line="240" w:lineRule="atLeast"/>
              <w:jc w:val="center"/>
              <w:rPr>
                <w:rFonts w:ascii="仿宋" w:hAnsi="仿宋" w:eastAsia="仿宋" w:cs="Arial Narrow"/>
                <w:color w:val="000000"/>
                <w:kern w:val="0"/>
                <w:sz w:val="18"/>
                <w:szCs w:val="18"/>
              </w:rPr>
            </w:pPr>
            <w:r>
              <w:rPr>
                <w:rFonts w:hint="eastAsia" w:ascii="仿宋" w:hAnsi="仿宋" w:eastAsia="仿宋" w:cs="Arial Narrow"/>
                <w:b/>
                <w:bCs/>
                <w:color w:val="000000"/>
                <w:kern w:val="0"/>
                <w:sz w:val="18"/>
                <w:szCs w:val="18"/>
              </w:rPr>
              <w:t>实际</w:t>
            </w:r>
            <w:r>
              <w:rPr>
                <w:rFonts w:ascii="仿宋" w:hAnsi="仿宋" w:eastAsia="仿宋" w:cs="Arial Narrow"/>
                <w:b/>
                <w:bCs/>
                <w:color w:val="000000"/>
                <w:kern w:val="0"/>
                <w:sz w:val="18"/>
                <w:szCs w:val="18"/>
              </w:rPr>
              <w:t>完成情况</w:t>
            </w:r>
          </w:p>
        </w:tc>
        <w:tc>
          <w:tcPr>
            <w:tcW w:w="739" w:type="dxa"/>
            <w:shd w:val="clear" w:color="000000" w:fill="FFFFFF"/>
            <w:vAlign w:val="center"/>
          </w:tcPr>
          <w:p w14:paraId="3A7CF8A6">
            <w:pPr>
              <w:widowControl/>
              <w:spacing w:line="240" w:lineRule="atLeast"/>
              <w:jc w:val="center"/>
              <w:rPr>
                <w:rFonts w:ascii="仿宋" w:hAnsi="仿宋" w:eastAsia="仿宋" w:cs="Arial Narrow"/>
                <w:color w:val="000000"/>
                <w:kern w:val="0"/>
                <w:sz w:val="18"/>
                <w:szCs w:val="18"/>
              </w:rPr>
            </w:pPr>
            <w:r>
              <w:rPr>
                <w:rFonts w:hint="eastAsia" w:ascii="仿宋" w:hAnsi="仿宋" w:eastAsia="仿宋" w:cs="Arial Narrow"/>
                <w:b/>
                <w:bCs/>
                <w:color w:val="000000"/>
                <w:kern w:val="0"/>
                <w:sz w:val="18"/>
                <w:szCs w:val="18"/>
              </w:rPr>
              <w:t>是否</w:t>
            </w:r>
            <w:r>
              <w:rPr>
                <w:rFonts w:ascii="仿宋" w:hAnsi="仿宋" w:eastAsia="仿宋" w:cs="Arial Narrow"/>
                <w:b/>
                <w:bCs/>
                <w:color w:val="000000"/>
                <w:kern w:val="0"/>
                <w:sz w:val="18"/>
                <w:szCs w:val="18"/>
              </w:rPr>
              <w:t>完成</w:t>
            </w:r>
          </w:p>
        </w:tc>
      </w:tr>
      <w:tr w14:paraId="72780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649" w:type="dxa"/>
            <w:vMerge w:val="restart"/>
            <w:vAlign w:val="center"/>
          </w:tcPr>
          <w:p w14:paraId="597B94DE">
            <w:pPr>
              <w:widowControl/>
              <w:spacing w:line="240" w:lineRule="atLeast"/>
              <w:jc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产出指标</w:t>
            </w:r>
          </w:p>
        </w:tc>
        <w:tc>
          <w:tcPr>
            <w:tcW w:w="674" w:type="dxa"/>
            <w:vMerge w:val="restart"/>
            <w:vAlign w:val="center"/>
          </w:tcPr>
          <w:p w14:paraId="62CEBEB3">
            <w:pPr>
              <w:widowControl/>
              <w:spacing w:line="240" w:lineRule="atLeast"/>
              <w:jc w:val="left"/>
              <w:rPr>
                <w:rFonts w:ascii="仿宋" w:hAnsi="仿宋" w:eastAsia="仿宋" w:cs="Arial Narrow"/>
                <w:color w:val="000000"/>
                <w:kern w:val="0"/>
                <w:sz w:val="18"/>
                <w:szCs w:val="18"/>
              </w:rPr>
            </w:pPr>
            <w:r>
              <w:rPr>
                <w:rFonts w:ascii="仿宋" w:hAnsi="仿宋" w:eastAsia="仿宋" w:cs="Arial Narrow"/>
                <w:color w:val="000000"/>
                <w:kern w:val="0"/>
                <w:sz w:val="18"/>
                <w:szCs w:val="18"/>
              </w:rPr>
              <w:t>职责履行</w:t>
            </w:r>
          </w:p>
        </w:tc>
        <w:tc>
          <w:tcPr>
            <w:tcW w:w="1366" w:type="dxa"/>
            <w:shd w:val="clear" w:color="000000" w:fill="FFFFFF"/>
            <w:vAlign w:val="center"/>
          </w:tcPr>
          <w:p w14:paraId="4C3FD96E">
            <w:pPr>
              <w:widowControl/>
              <w:jc w:val="left"/>
              <w:textAlignment w:val="center"/>
              <w:rPr>
                <w:rFonts w:ascii="仿宋" w:hAnsi="仿宋" w:eastAsia="仿宋" w:cs="Arial Narrow"/>
                <w:sz w:val="18"/>
                <w:szCs w:val="18"/>
              </w:rPr>
            </w:pPr>
            <w:r>
              <w:rPr>
                <w:rFonts w:hint="eastAsia" w:ascii="仿宋" w:hAnsi="仿宋" w:eastAsia="仿宋"/>
                <w:color w:val="000000"/>
                <w:sz w:val="18"/>
                <w:szCs w:val="18"/>
              </w:rPr>
              <w:t>举办德育论坛</w:t>
            </w:r>
          </w:p>
        </w:tc>
        <w:tc>
          <w:tcPr>
            <w:tcW w:w="992" w:type="dxa"/>
            <w:shd w:val="clear" w:color="000000" w:fill="FFFFFF"/>
            <w:vAlign w:val="center"/>
          </w:tcPr>
          <w:p w14:paraId="4FF21C88">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≥3场</w:t>
            </w:r>
          </w:p>
        </w:tc>
        <w:tc>
          <w:tcPr>
            <w:tcW w:w="4536" w:type="dxa"/>
            <w:shd w:val="clear" w:color="000000" w:fill="FFFFFF"/>
            <w:vAlign w:val="center"/>
          </w:tcPr>
          <w:p w14:paraId="187426BF">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开展德育管理，2023年度举行德育论坛3场，给学生上抗挫折能力课、全员讲德育故事、思想疏导和引领，形成育人内容体系化。</w:t>
            </w:r>
          </w:p>
          <w:p w14:paraId="50680E68">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举办多场德育活动，包括“成人仪式”“中高考誓师大会和送考活动”“红五月艺术活动”“书法绘画手工比赛”“金色十月合唱、朗诵比赛”“富中好声音”冬季田径运动会、“校长杯”足球、“黉学杯”篮球比赛等</w:t>
            </w:r>
          </w:p>
        </w:tc>
        <w:tc>
          <w:tcPr>
            <w:tcW w:w="739" w:type="dxa"/>
            <w:shd w:val="clear" w:color="000000" w:fill="FFFFFF"/>
            <w:vAlign w:val="center"/>
          </w:tcPr>
          <w:p w14:paraId="28DE7094">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7F7B3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49" w:type="dxa"/>
            <w:vMerge w:val="continue"/>
            <w:vAlign w:val="center"/>
          </w:tcPr>
          <w:p w14:paraId="05B968FC">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77318E7C">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4C0DD435">
            <w:pPr>
              <w:widowControl/>
              <w:jc w:val="left"/>
              <w:textAlignment w:val="center"/>
              <w:rPr>
                <w:rFonts w:ascii="仿宋" w:hAnsi="仿宋" w:eastAsia="仿宋" w:cs="Arial Narrow"/>
                <w:sz w:val="18"/>
                <w:szCs w:val="18"/>
              </w:rPr>
            </w:pPr>
            <w:r>
              <w:rPr>
                <w:rFonts w:hint="eastAsia" w:ascii="仿宋" w:hAnsi="仿宋" w:eastAsia="仿宋"/>
                <w:color w:val="000000"/>
                <w:sz w:val="18"/>
                <w:szCs w:val="18"/>
              </w:rPr>
              <w:t>在校学生数量</w:t>
            </w:r>
          </w:p>
        </w:tc>
        <w:tc>
          <w:tcPr>
            <w:tcW w:w="992" w:type="dxa"/>
            <w:shd w:val="clear" w:color="000000" w:fill="FFFFFF"/>
            <w:vAlign w:val="center"/>
          </w:tcPr>
          <w:p w14:paraId="0D979278">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≥2700人</w:t>
            </w:r>
          </w:p>
        </w:tc>
        <w:tc>
          <w:tcPr>
            <w:tcW w:w="4536" w:type="dxa"/>
            <w:shd w:val="clear" w:color="000000" w:fill="FFFFFF"/>
            <w:vAlign w:val="center"/>
          </w:tcPr>
          <w:p w14:paraId="02183966">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在集团化办学政策范围内，富民一中2023年实现了200人二批次招生，生源质量有了较大改善。截至2023年秋季学期，学校共有在校学生2763人，其中：初中生844人、高中生1919人。</w:t>
            </w:r>
          </w:p>
        </w:tc>
        <w:tc>
          <w:tcPr>
            <w:tcW w:w="739" w:type="dxa"/>
            <w:shd w:val="clear" w:color="000000" w:fill="FFFFFF"/>
            <w:vAlign w:val="center"/>
          </w:tcPr>
          <w:p w14:paraId="36282457">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1F8D9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649" w:type="dxa"/>
            <w:vMerge w:val="continue"/>
            <w:vAlign w:val="center"/>
          </w:tcPr>
          <w:p w14:paraId="1C75F950">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68CBBB5B">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32144A22">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三新课程教研次数</w:t>
            </w:r>
          </w:p>
        </w:tc>
        <w:tc>
          <w:tcPr>
            <w:tcW w:w="992" w:type="dxa"/>
            <w:shd w:val="clear" w:color="000000" w:fill="FFFFFF"/>
            <w:vAlign w:val="center"/>
          </w:tcPr>
          <w:p w14:paraId="593A63E8">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≥20次</w:t>
            </w:r>
          </w:p>
        </w:tc>
        <w:tc>
          <w:tcPr>
            <w:tcW w:w="4536" w:type="dxa"/>
            <w:shd w:val="clear" w:color="000000" w:fill="FFFFFF"/>
            <w:vAlign w:val="center"/>
          </w:tcPr>
          <w:p w14:paraId="58C125AD">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依托国家级首批新课程新教材改革示范学校昆一中本部，推进富民一中三新课程改革，组织参加昆一中三新课程教研20次、366人，积极探究三新教学模式改革，推广探究式、互动式、合作式教学模式，优化教学环节，优化课堂教学内容。</w:t>
            </w:r>
          </w:p>
        </w:tc>
        <w:tc>
          <w:tcPr>
            <w:tcW w:w="739" w:type="dxa"/>
            <w:shd w:val="clear" w:color="000000" w:fill="FFFFFF"/>
            <w:vAlign w:val="center"/>
          </w:tcPr>
          <w:p w14:paraId="054DA53B">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77579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649" w:type="dxa"/>
            <w:vMerge w:val="continue"/>
            <w:vAlign w:val="center"/>
          </w:tcPr>
          <w:p w14:paraId="25DAED27">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6EB8185A">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0743D370">
            <w:pPr>
              <w:widowControl/>
              <w:jc w:val="left"/>
              <w:textAlignment w:val="center"/>
              <w:rPr>
                <w:rFonts w:ascii="仿宋" w:hAnsi="仿宋" w:eastAsia="仿宋" w:cs="Arial Narrow"/>
                <w:sz w:val="18"/>
                <w:szCs w:val="18"/>
              </w:rPr>
            </w:pPr>
            <w:r>
              <w:rPr>
                <w:rFonts w:hint="eastAsia" w:ascii="仿宋" w:hAnsi="仿宋" w:eastAsia="仿宋"/>
                <w:color w:val="000000"/>
                <w:sz w:val="18"/>
                <w:szCs w:val="18"/>
              </w:rPr>
              <w:t>新增开设校本选修课程数</w:t>
            </w:r>
          </w:p>
        </w:tc>
        <w:tc>
          <w:tcPr>
            <w:tcW w:w="992" w:type="dxa"/>
            <w:shd w:val="clear" w:color="000000" w:fill="FFFFFF"/>
            <w:vAlign w:val="center"/>
          </w:tcPr>
          <w:p w14:paraId="0C21BBE1">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≥10门</w:t>
            </w:r>
          </w:p>
        </w:tc>
        <w:tc>
          <w:tcPr>
            <w:tcW w:w="4536" w:type="dxa"/>
            <w:shd w:val="clear" w:color="000000" w:fill="FFFFFF"/>
            <w:vAlign w:val="center"/>
          </w:tcPr>
          <w:p w14:paraId="46659FDF">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2023年秋季学期，新增开设校本课程16门，供高一年级选修</w:t>
            </w:r>
          </w:p>
        </w:tc>
        <w:tc>
          <w:tcPr>
            <w:tcW w:w="739" w:type="dxa"/>
            <w:shd w:val="clear" w:color="000000" w:fill="FFFFFF"/>
            <w:vAlign w:val="center"/>
          </w:tcPr>
          <w:p w14:paraId="6637AED1">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3897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9" w:type="dxa"/>
            <w:vMerge w:val="continue"/>
            <w:vAlign w:val="center"/>
          </w:tcPr>
          <w:p w14:paraId="007D91D4">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1E54A570">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24364FB4">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中考分数优秀率</w:t>
            </w:r>
          </w:p>
        </w:tc>
        <w:tc>
          <w:tcPr>
            <w:tcW w:w="992" w:type="dxa"/>
            <w:shd w:val="clear" w:color="000000" w:fill="FFFFFF"/>
            <w:vAlign w:val="center"/>
          </w:tcPr>
          <w:p w14:paraId="5F68A8A3">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≥40%</w:t>
            </w:r>
          </w:p>
        </w:tc>
        <w:tc>
          <w:tcPr>
            <w:tcW w:w="4536" w:type="dxa"/>
            <w:shd w:val="clear" w:color="000000" w:fill="FFFFFF"/>
            <w:vAlign w:val="center"/>
          </w:tcPr>
          <w:p w14:paraId="12CE8843">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2023年富民一中中考人数500人，最高分679分，优秀率43.2%，及格率86.6%。</w:t>
            </w:r>
          </w:p>
        </w:tc>
        <w:tc>
          <w:tcPr>
            <w:tcW w:w="739" w:type="dxa"/>
            <w:shd w:val="clear" w:color="000000" w:fill="FFFFFF"/>
            <w:vAlign w:val="center"/>
          </w:tcPr>
          <w:p w14:paraId="6E9B8E8F">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5476F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9" w:type="dxa"/>
            <w:vMerge w:val="continue"/>
            <w:vAlign w:val="center"/>
          </w:tcPr>
          <w:p w14:paraId="1E03FC32">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35229A46">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254062BA">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高考一本率</w:t>
            </w:r>
          </w:p>
        </w:tc>
        <w:tc>
          <w:tcPr>
            <w:tcW w:w="992" w:type="dxa"/>
            <w:shd w:val="clear" w:color="000000" w:fill="FFFFFF"/>
            <w:vAlign w:val="center"/>
          </w:tcPr>
          <w:p w14:paraId="63DE4267">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≥5%</w:t>
            </w:r>
          </w:p>
        </w:tc>
        <w:tc>
          <w:tcPr>
            <w:tcW w:w="4536" w:type="dxa"/>
            <w:shd w:val="clear" w:color="000000" w:fill="FFFFFF"/>
            <w:vAlign w:val="center"/>
          </w:tcPr>
          <w:p w14:paraId="45C34393">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2023年富民一中高考一本率5.62%，较2022年提升1.77个百分点，本科率达到64.23%，较2022年提升了20.87个百分点，被评为富民县教育教学质量优秀学校</w:t>
            </w:r>
          </w:p>
        </w:tc>
        <w:tc>
          <w:tcPr>
            <w:tcW w:w="739" w:type="dxa"/>
            <w:shd w:val="clear" w:color="000000" w:fill="FFFFFF"/>
            <w:vAlign w:val="center"/>
          </w:tcPr>
          <w:p w14:paraId="4A4C2EDE">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完成</w:t>
            </w:r>
          </w:p>
        </w:tc>
      </w:tr>
      <w:tr w14:paraId="2484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9" w:type="dxa"/>
            <w:vMerge w:val="continue"/>
            <w:vAlign w:val="center"/>
          </w:tcPr>
          <w:p w14:paraId="3624A063">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577E908A">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184D5AA4">
            <w:pPr>
              <w:widowControl/>
              <w:jc w:val="left"/>
              <w:textAlignment w:val="center"/>
              <w:rPr>
                <w:rFonts w:ascii="仿宋" w:hAnsi="仿宋" w:eastAsia="仿宋" w:cs="Arial Narrow"/>
                <w:color w:val="000000"/>
                <w:kern w:val="0"/>
                <w:sz w:val="18"/>
                <w:szCs w:val="18"/>
                <w:highlight w:val="yellow"/>
              </w:rPr>
            </w:pPr>
            <w:r>
              <w:rPr>
                <w:rFonts w:hint="eastAsia" w:ascii="仿宋" w:hAnsi="仿宋" w:eastAsia="仿宋"/>
                <w:color w:val="000000"/>
                <w:sz w:val="18"/>
                <w:szCs w:val="18"/>
              </w:rPr>
              <w:t>困难学生补助认定、发放准确率</w:t>
            </w:r>
          </w:p>
        </w:tc>
        <w:tc>
          <w:tcPr>
            <w:tcW w:w="992" w:type="dxa"/>
            <w:shd w:val="clear" w:color="000000" w:fill="FFFFFF"/>
            <w:vAlign w:val="center"/>
          </w:tcPr>
          <w:p w14:paraId="2CD5F464">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100%</w:t>
            </w:r>
          </w:p>
        </w:tc>
        <w:tc>
          <w:tcPr>
            <w:tcW w:w="4536" w:type="dxa"/>
            <w:shd w:val="clear" w:color="000000" w:fill="FFFFFF"/>
            <w:vAlign w:val="center"/>
          </w:tcPr>
          <w:p w14:paraId="248A18E9">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初中生助学补助，2023年春季学期，享受困难补助学生数365人；2023年秋季学期，享受困难补助学生数266人。</w:t>
            </w:r>
          </w:p>
          <w:p w14:paraId="13CE78AF">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高中生助学补助，2023年春季学期，享受高中助学金人数277人（一等52人、二等225人），家庭困难学生补助73人，建档立卡户学生补助14人；2023年秋季学期，享受高中助学金人数323人（一等72人、二等251人），家庭困难学生补助73人，建档立卡户学生补助20人。</w:t>
            </w:r>
          </w:p>
          <w:p w14:paraId="2A397ED5">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上述补助均按流程进行认定、公示、发放。</w:t>
            </w:r>
          </w:p>
        </w:tc>
        <w:tc>
          <w:tcPr>
            <w:tcW w:w="739" w:type="dxa"/>
            <w:shd w:val="clear" w:color="000000" w:fill="FFFFFF"/>
            <w:vAlign w:val="center"/>
          </w:tcPr>
          <w:p w14:paraId="66821255">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3B04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649" w:type="dxa"/>
            <w:vMerge w:val="continue"/>
            <w:vAlign w:val="center"/>
          </w:tcPr>
          <w:p w14:paraId="3206E383">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6EE01E96">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5EBA1AE9">
            <w:pPr>
              <w:widowControl/>
              <w:jc w:val="left"/>
              <w:textAlignment w:val="center"/>
              <w:rPr>
                <w:rFonts w:ascii="仿宋" w:hAnsi="仿宋" w:eastAsia="仿宋" w:cs="Arial Narrow"/>
                <w:color w:val="000000"/>
                <w:kern w:val="0"/>
                <w:sz w:val="18"/>
                <w:szCs w:val="18"/>
                <w:highlight w:val="yellow"/>
              </w:rPr>
            </w:pPr>
            <w:r>
              <w:rPr>
                <w:rFonts w:hint="eastAsia" w:ascii="仿宋" w:hAnsi="仿宋" w:eastAsia="仿宋"/>
                <w:color w:val="000000"/>
                <w:sz w:val="18"/>
                <w:szCs w:val="18"/>
              </w:rPr>
              <w:t>义务教育营养餐计划执行合规率</w:t>
            </w:r>
          </w:p>
        </w:tc>
        <w:tc>
          <w:tcPr>
            <w:tcW w:w="992" w:type="dxa"/>
            <w:shd w:val="clear" w:color="000000" w:fill="FFFFFF"/>
            <w:vAlign w:val="center"/>
          </w:tcPr>
          <w:p w14:paraId="3DE6B45B">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100%</w:t>
            </w:r>
          </w:p>
        </w:tc>
        <w:tc>
          <w:tcPr>
            <w:tcW w:w="4536" w:type="dxa"/>
            <w:shd w:val="clear" w:color="000000" w:fill="FFFFFF"/>
            <w:vAlign w:val="center"/>
          </w:tcPr>
          <w:p w14:paraId="1D2061DC">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根据农村义务教育学生营养改善计划政策要求，富民一中共有557名初中生享受该项政策，营养餐计划以直接发放就餐券（5元/人天）、学校购买餐食并免费给补助对象供应等形式实施，餐食供应由富民县教体局统一进行学校食堂大宗物资（米面油、蔬菜、肉类）采购，由中标供应商（云南星桥食品有限公司）统一供应。</w:t>
            </w:r>
          </w:p>
          <w:p w14:paraId="6EBEA356">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富民一中设有3个食堂，各食堂建立健全预防卫生保障机制，确保师生安全，完善了“购买—洗涤—浸泡—熟煮—保存”等流程，做到餐餐留样，谨防食物中毒，食堂工作人员持证上岗，并按规定进行定期健康检查。</w:t>
            </w:r>
          </w:p>
        </w:tc>
        <w:tc>
          <w:tcPr>
            <w:tcW w:w="739" w:type="dxa"/>
            <w:shd w:val="clear" w:color="000000" w:fill="FFFFFF"/>
            <w:vAlign w:val="center"/>
          </w:tcPr>
          <w:p w14:paraId="42EC1DA9">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6653E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649" w:type="dxa"/>
            <w:vMerge w:val="restart"/>
            <w:vAlign w:val="center"/>
          </w:tcPr>
          <w:p w14:paraId="600A04C7">
            <w:pPr>
              <w:widowControl/>
              <w:spacing w:line="240" w:lineRule="atLeast"/>
              <w:jc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效益指标</w:t>
            </w:r>
          </w:p>
        </w:tc>
        <w:tc>
          <w:tcPr>
            <w:tcW w:w="674" w:type="dxa"/>
            <w:vMerge w:val="restart"/>
            <w:shd w:val="clear" w:color="000000" w:fill="FFFFFF"/>
            <w:vAlign w:val="center"/>
          </w:tcPr>
          <w:p w14:paraId="7F1BC1B9">
            <w:pPr>
              <w:widowControl/>
              <w:spacing w:line="240" w:lineRule="atLeast"/>
              <w:jc w:val="left"/>
              <w:rPr>
                <w:rFonts w:ascii="仿宋" w:hAnsi="仿宋" w:eastAsia="仿宋" w:cs="Arial Narrow"/>
                <w:sz w:val="18"/>
                <w:szCs w:val="18"/>
              </w:rPr>
            </w:pPr>
            <w:r>
              <w:rPr>
                <w:rFonts w:ascii="仿宋" w:hAnsi="仿宋" w:eastAsia="仿宋" w:cs="Arial Narrow"/>
                <w:sz w:val="18"/>
                <w:szCs w:val="18"/>
              </w:rPr>
              <w:t>社会效益</w:t>
            </w:r>
          </w:p>
        </w:tc>
        <w:tc>
          <w:tcPr>
            <w:tcW w:w="1366" w:type="dxa"/>
            <w:shd w:val="clear" w:color="000000" w:fill="FFFFFF"/>
            <w:vAlign w:val="center"/>
          </w:tcPr>
          <w:p w14:paraId="6C1F8A3C">
            <w:pPr>
              <w:widowControl/>
              <w:jc w:val="left"/>
              <w:textAlignment w:val="center"/>
              <w:rPr>
                <w:rFonts w:ascii="仿宋" w:hAnsi="仿宋" w:eastAsia="仿宋" w:cs="Arial Narrow"/>
                <w:sz w:val="18"/>
                <w:szCs w:val="18"/>
              </w:rPr>
            </w:pPr>
            <w:r>
              <w:rPr>
                <w:rFonts w:hint="eastAsia" w:ascii="仿宋" w:hAnsi="仿宋" w:eastAsia="仿宋"/>
                <w:color w:val="000000"/>
                <w:sz w:val="18"/>
                <w:szCs w:val="18"/>
              </w:rPr>
              <w:t>一级三等高中办学水平评估通过率</w:t>
            </w:r>
          </w:p>
        </w:tc>
        <w:tc>
          <w:tcPr>
            <w:tcW w:w="992" w:type="dxa"/>
            <w:shd w:val="clear" w:color="000000" w:fill="FFFFFF"/>
            <w:vAlign w:val="center"/>
          </w:tcPr>
          <w:p w14:paraId="0DFB4312">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100%</w:t>
            </w:r>
          </w:p>
        </w:tc>
        <w:tc>
          <w:tcPr>
            <w:tcW w:w="4536" w:type="dxa"/>
            <w:shd w:val="clear" w:color="000000" w:fill="FFFFFF"/>
            <w:vAlign w:val="center"/>
          </w:tcPr>
          <w:p w14:paraId="60F7CE20">
            <w:pPr>
              <w:jc w:val="left"/>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2023年10月26日，昆明市教体局总督学带领评估专家组对富民县第一中学（昆一中富民学校）申报云南省一级三等普通高中进行市级综合评价，评价得分908分，基本达到云南省一级三等普通高中办学水平。</w:t>
            </w:r>
          </w:p>
          <w:p w14:paraId="05684039">
            <w:pPr>
              <w:jc w:val="left"/>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2023年11月14日，昆明市教育体育局发布《关于拟认定云南省一级三等学校（幼儿园）、昆明市现代教育示范学校的公示》，富民一中等3所高中拟认定云南省一级三等普通高中。</w:t>
            </w:r>
          </w:p>
        </w:tc>
        <w:tc>
          <w:tcPr>
            <w:tcW w:w="739" w:type="dxa"/>
            <w:shd w:val="clear" w:color="000000" w:fill="FFFFFF"/>
            <w:vAlign w:val="center"/>
          </w:tcPr>
          <w:p w14:paraId="0E2B9B8A">
            <w:pPr>
              <w:jc w:val="left"/>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1942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649" w:type="dxa"/>
            <w:vMerge w:val="continue"/>
            <w:vAlign w:val="center"/>
          </w:tcPr>
          <w:p w14:paraId="650E4D4B">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3A3F9535">
            <w:pPr>
              <w:widowControl/>
              <w:spacing w:line="240" w:lineRule="atLeast"/>
              <w:jc w:val="left"/>
              <w:rPr>
                <w:rFonts w:ascii="仿宋" w:hAnsi="仿宋" w:eastAsia="仿宋" w:cs="Arial Narrow"/>
                <w:sz w:val="18"/>
                <w:szCs w:val="18"/>
              </w:rPr>
            </w:pPr>
          </w:p>
        </w:tc>
        <w:tc>
          <w:tcPr>
            <w:tcW w:w="1366" w:type="dxa"/>
            <w:shd w:val="clear" w:color="000000" w:fill="FFFFFF"/>
            <w:vAlign w:val="center"/>
          </w:tcPr>
          <w:p w14:paraId="16318F51">
            <w:pPr>
              <w:widowControl/>
              <w:jc w:val="left"/>
              <w:textAlignment w:val="center"/>
              <w:rPr>
                <w:rFonts w:ascii="仿宋" w:hAnsi="仿宋" w:eastAsia="仿宋" w:cs="Arial Narrow"/>
                <w:sz w:val="18"/>
                <w:szCs w:val="18"/>
              </w:rPr>
            </w:pPr>
            <w:r>
              <w:rPr>
                <w:rFonts w:hint="eastAsia" w:ascii="仿宋" w:hAnsi="仿宋" w:eastAsia="仿宋"/>
                <w:color w:val="000000"/>
                <w:sz w:val="18"/>
                <w:szCs w:val="18"/>
              </w:rPr>
              <w:t>名师示范活动</w:t>
            </w:r>
          </w:p>
        </w:tc>
        <w:tc>
          <w:tcPr>
            <w:tcW w:w="992" w:type="dxa"/>
            <w:shd w:val="clear" w:color="000000" w:fill="FFFFFF"/>
            <w:vAlign w:val="center"/>
          </w:tcPr>
          <w:p w14:paraId="2937A3CA">
            <w:pPr>
              <w:widowControl/>
              <w:jc w:val="left"/>
              <w:textAlignment w:val="center"/>
              <w:rPr>
                <w:rFonts w:ascii="仿宋" w:hAnsi="仿宋" w:eastAsia="仿宋" w:cs="Arial Narrow"/>
                <w:color w:val="000000"/>
                <w:kern w:val="0"/>
                <w:sz w:val="18"/>
                <w:szCs w:val="18"/>
                <w:highlight w:val="yellow"/>
              </w:rPr>
            </w:pPr>
            <w:r>
              <w:rPr>
                <w:rFonts w:hint="eastAsia" w:ascii="仿宋" w:hAnsi="仿宋" w:eastAsia="仿宋"/>
                <w:color w:val="000000"/>
                <w:sz w:val="18"/>
                <w:szCs w:val="18"/>
              </w:rPr>
              <w:t>名师来校示范课次数≥5次</w:t>
            </w:r>
          </w:p>
        </w:tc>
        <w:tc>
          <w:tcPr>
            <w:tcW w:w="4536" w:type="dxa"/>
            <w:shd w:val="clear" w:color="000000" w:fill="FFFFFF"/>
            <w:vAlign w:val="center"/>
          </w:tcPr>
          <w:p w14:paraId="4435B9B0">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2023年，富民一中邀请了昆一中孙彪名师工作室、孙青名师工作室、张敏名师工作室、昆三中罗捷名师工作室到校开展名师示范课活动4次，组织昆一中九大学科名师教师到富民为师生开展高考复习备考指导工作，惠及了富民一中全校师生。</w:t>
            </w:r>
          </w:p>
        </w:tc>
        <w:tc>
          <w:tcPr>
            <w:tcW w:w="739" w:type="dxa"/>
            <w:shd w:val="clear" w:color="000000" w:fill="FFFFFF"/>
            <w:vAlign w:val="center"/>
          </w:tcPr>
          <w:p w14:paraId="14F28208">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189FE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9" w:type="dxa"/>
            <w:vMerge w:val="continue"/>
            <w:vAlign w:val="center"/>
          </w:tcPr>
          <w:p w14:paraId="1325F621">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7AC03BE1">
            <w:pPr>
              <w:widowControl/>
              <w:spacing w:line="240" w:lineRule="atLeast"/>
              <w:jc w:val="left"/>
              <w:rPr>
                <w:rFonts w:ascii="仿宋" w:hAnsi="仿宋" w:eastAsia="仿宋" w:cs="Arial Narrow"/>
                <w:sz w:val="18"/>
                <w:szCs w:val="18"/>
              </w:rPr>
            </w:pPr>
          </w:p>
        </w:tc>
        <w:tc>
          <w:tcPr>
            <w:tcW w:w="1366" w:type="dxa"/>
            <w:shd w:val="clear" w:color="000000" w:fill="FFFFFF"/>
            <w:vAlign w:val="center"/>
          </w:tcPr>
          <w:p w14:paraId="0D2AE4E0">
            <w:pPr>
              <w:widowControl/>
              <w:jc w:val="left"/>
              <w:textAlignment w:val="center"/>
              <w:rPr>
                <w:rFonts w:ascii="仿宋" w:hAnsi="仿宋" w:eastAsia="仿宋" w:cs="Arial Narrow"/>
                <w:sz w:val="18"/>
                <w:szCs w:val="18"/>
              </w:rPr>
            </w:pPr>
            <w:r>
              <w:rPr>
                <w:rFonts w:hint="eastAsia" w:ascii="仿宋" w:hAnsi="仿宋" w:eastAsia="仿宋"/>
                <w:sz w:val="18"/>
                <w:szCs w:val="18"/>
              </w:rPr>
              <w:t>平安校园建设，安全事件发生次数</w:t>
            </w:r>
          </w:p>
        </w:tc>
        <w:tc>
          <w:tcPr>
            <w:tcW w:w="992" w:type="dxa"/>
            <w:shd w:val="clear" w:color="000000" w:fill="FFFFFF"/>
            <w:vAlign w:val="center"/>
          </w:tcPr>
          <w:p w14:paraId="1226A871">
            <w:pPr>
              <w:widowControl/>
              <w:jc w:val="left"/>
              <w:textAlignment w:val="center"/>
              <w:rPr>
                <w:rFonts w:ascii="仿宋" w:hAnsi="仿宋" w:eastAsia="仿宋" w:cs="Arial Narrow"/>
                <w:kern w:val="0"/>
                <w:sz w:val="18"/>
                <w:szCs w:val="18"/>
              </w:rPr>
            </w:pPr>
            <w:r>
              <w:rPr>
                <w:rFonts w:hint="eastAsia" w:ascii="仿宋" w:hAnsi="仿宋" w:eastAsia="仿宋"/>
                <w:sz w:val="18"/>
                <w:szCs w:val="18"/>
              </w:rPr>
              <w:t>0次</w:t>
            </w:r>
          </w:p>
        </w:tc>
        <w:tc>
          <w:tcPr>
            <w:tcW w:w="4536" w:type="dxa"/>
            <w:shd w:val="clear" w:color="000000" w:fill="FFFFFF"/>
            <w:vAlign w:val="center"/>
          </w:tcPr>
          <w:p w14:paraId="5338CCB4">
            <w:pPr>
              <w:jc w:val="left"/>
              <w:rPr>
                <w:rFonts w:ascii="仿宋" w:hAnsi="仿宋" w:eastAsia="仿宋" w:cs="Arial Narrow"/>
                <w:kern w:val="0"/>
                <w:sz w:val="18"/>
                <w:szCs w:val="18"/>
              </w:rPr>
            </w:pPr>
            <w:r>
              <w:rPr>
                <w:rFonts w:hint="eastAsia" w:ascii="仿宋" w:hAnsi="仿宋" w:eastAsia="仿宋" w:cs="Arial Narrow"/>
                <w:kern w:val="0"/>
                <w:sz w:val="18"/>
                <w:szCs w:val="18"/>
              </w:rPr>
              <w:t>学校定期举行安全知识讲座，安全应急演练，充分利用校会、国旗下讲话、宣传橱窗、LED电子屏、主题班会、1530安全教育等各种形式和宣传阵地开展安全宣传教育，强化安全检查。强化校舍、教育教学设施、食品卫生、管制刀具、危险物品等的安全检查和周边环境的综合治理，2023年富民一中校园</w:t>
            </w:r>
            <w:r>
              <w:rPr>
                <w:rFonts w:hint="eastAsia" w:ascii="仿宋" w:hAnsi="仿宋" w:eastAsia="仿宋"/>
                <w:sz w:val="18"/>
                <w:szCs w:val="18"/>
              </w:rPr>
              <w:t>安全事件发生次数为0次。</w:t>
            </w:r>
          </w:p>
        </w:tc>
        <w:tc>
          <w:tcPr>
            <w:tcW w:w="739" w:type="dxa"/>
            <w:shd w:val="clear" w:color="000000" w:fill="FFFFFF"/>
            <w:vAlign w:val="center"/>
          </w:tcPr>
          <w:p w14:paraId="5CA91D81">
            <w:pPr>
              <w:jc w:val="left"/>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3CC6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9" w:type="dxa"/>
            <w:vMerge w:val="continue"/>
            <w:vAlign w:val="center"/>
          </w:tcPr>
          <w:p w14:paraId="26C26DDD">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78E013EB">
            <w:pPr>
              <w:widowControl/>
              <w:spacing w:line="240" w:lineRule="atLeast"/>
              <w:jc w:val="left"/>
              <w:rPr>
                <w:rFonts w:ascii="仿宋" w:hAnsi="仿宋" w:eastAsia="仿宋" w:cs="Arial Narrow"/>
                <w:sz w:val="18"/>
                <w:szCs w:val="18"/>
              </w:rPr>
            </w:pPr>
          </w:p>
        </w:tc>
        <w:tc>
          <w:tcPr>
            <w:tcW w:w="1366" w:type="dxa"/>
            <w:shd w:val="clear" w:color="000000" w:fill="FFFFFF"/>
            <w:vAlign w:val="center"/>
          </w:tcPr>
          <w:p w14:paraId="5571452D">
            <w:pPr>
              <w:widowControl/>
              <w:jc w:val="left"/>
              <w:textAlignment w:val="center"/>
              <w:rPr>
                <w:rFonts w:ascii="仿宋" w:hAnsi="仿宋" w:eastAsia="仿宋" w:cs="Arial Narrow"/>
                <w:sz w:val="18"/>
                <w:szCs w:val="18"/>
              </w:rPr>
            </w:pPr>
            <w:r>
              <w:rPr>
                <w:rFonts w:hint="eastAsia" w:ascii="仿宋" w:hAnsi="仿宋" w:eastAsia="仿宋"/>
                <w:sz w:val="18"/>
                <w:szCs w:val="18"/>
              </w:rPr>
              <w:t>文体项目取得的成绩</w:t>
            </w:r>
          </w:p>
        </w:tc>
        <w:tc>
          <w:tcPr>
            <w:tcW w:w="992" w:type="dxa"/>
            <w:shd w:val="clear" w:color="000000" w:fill="FFFFFF"/>
            <w:vAlign w:val="center"/>
          </w:tcPr>
          <w:p w14:paraId="03C21D3F">
            <w:pPr>
              <w:widowControl/>
              <w:jc w:val="left"/>
              <w:textAlignment w:val="center"/>
              <w:rPr>
                <w:rFonts w:ascii="仿宋" w:hAnsi="仿宋" w:eastAsia="仿宋" w:cs="Arial Narrow"/>
                <w:kern w:val="0"/>
                <w:sz w:val="18"/>
                <w:szCs w:val="18"/>
                <w:highlight w:val="yellow"/>
              </w:rPr>
            </w:pPr>
            <w:r>
              <w:rPr>
                <w:rFonts w:hint="eastAsia" w:ascii="仿宋" w:hAnsi="仿宋" w:eastAsia="仿宋"/>
                <w:sz w:val="18"/>
                <w:szCs w:val="18"/>
              </w:rPr>
              <w:t>≥5项</w:t>
            </w:r>
          </w:p>
        </w:tc>
        <w:tc>
          <w:tcPr>
            <w:tcW w:w="4536" w:type="dxa"/>
            <w:shd w:val="clear" w:color="000000" w:fill="FFFFFF"/>
            <w:vAlign w:val="center"/>
          </w:tcPr>
          <w:p w14:paraId="0C2AE00F">
            <w:pPr>
              <w:jc w:val="left"/>
              <w:rPr>
                <w:rFonts w:ascii="仿宋" w:hAnsi="仿宋" w:eastAsia="仿宋" w:cs="Arial Narrow"/>
                <w:kern w:val="0"/>
                <w:sz w:val="18"/>
                <w:szCs w:val="18"/>
              </w:rPr>
            </w:pPr>
            <w:r>
              <w:rPr>
                <w:rFonts w:hint="eastAsia" w:ascii="仿宋" w:hAnsi="仿宋" w:eastAsia="仿宋" w:cs="Arial Narrow"/>
                <w:kern w:val="0"/>
                <w:sz w:val="18"/>
                <w:szCs w:val="18"/>
              </w:rPr>
              <w:t>2023年，富民一中全面引入昆一中艺术部艺术培训管理体系，由昆一中艺术部派出优秀教师到富民任教，联合培养高一美术生26人，委托经开校区培养高二音乐舞蹈播音美术9人，同时艺术部捐赠的艺术中心也投入使用。</w:t>
            </w:r>
          </w:p>
          <w:p w14:paraId="4B3FCD35">
            <w:pPr>
              <w:jc w:val="left"/>
              <w:rPr>
                <w:rFonts w:ascii="仿宋" w:hAnsi="仿宋" w:eastAsia="仿宋" w:cs="Arial Narrow"/>
                <w:kern w:val="0"/>
                <w:sz w:val="18"/>
                <w:szCs w:val="18"/>
              </w:rPr>
            </w:pPr>
            <w:r>
              <w:rPr>
                <w:rFonts w:hint="eastAsia" w:ascii="仿宋" w:hAnsi="仿宋" w:eastAsia="仿宋" w:cs="Arial Narrow"/>
                <w:kern w:val="0"/>
                <w:sz w:val="18"/>
                <w:szCs w:val="18"/>
              </w:rPr>
              <w:t>富民一中在2023年3月组织的富民县中小学生田径运动会荣获初中组和高中组一等奖；2023年首次组队参加云南省第四届中小学生田径竞标赛，荣获一金二银二铜的成绩；2023年10月昆明市十二届民族运动会中，荣获2金（富民县2枚）7银2铜和体育道德风尚奖。</w:t>
            </w:r>
          </w:p>
        </w:tc>
        <w:tc>
          <w:tcPr>
            <w:tcW w:w="739" w:type="dxa"/>
            <w:shd w:val="clear" w:color="000000" w:fill="FFFFFF"/>
            <w:vAlign w:val="center"/>
          </w:tcPr>
          <w:p w14:paraId="13FD467D">
            <w:pPr>
              <w:jc w:val="left"/>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783AB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9" w:type="dxa"/>
            <w:vMerge w:val="continue"/>
            <w:vAlign w:val="center"/>
          </w:tcPr>
          <w:p w14:paraId="17B314F8">
            <w:pPr>
              <w:widowControl/>
              <w:spacing w:line="240" w:lineRule="atLeast"/>
              <w:jc w:val="center"/>
              <w:rPr>
                <w:rFonts w:ascii="仿宋" w:hAnsi="仿宋" w:eastAsia="仿宋" w:cs="Arial Narrow"/>
                <w:color w:val="000000"/>
                <w:kern w:val="0"/>
                <w:sz w:val="18"/>
                <w:szCs w:val="18"/>
              </w:rPr>
            </w:pPr>
          </w:p>
        </w:tc>
        <w:tc>
          <w:tcPr>
            <w:tcW w:w="674" w:type="dxa"/>
            <w:vMerge w:val="restart"/>
            <w:vAlign w:val="center"/>
          </w:tcPr>
          <w:p w14:paraId="28A19FF9">
            <w:pPr>
              <w:spacing w:line="240" w:lineRule="atLeast"/>
              <w:jc w:val="left"/>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可持续影响</w:t>
            </w:r>
          </w:p>
        </w:tc>
        <w:tc>
          <w:tcPr>
            <w:tcW w:w="1366" w:type="dxa"/>
            <w:shd w:val="clear" w:color="000000" w:fill="FFFFFF"/>
            <w:vAlign w:val="center"/>
          </w:tcPr>
          <w:p w14:paraId="5523942D">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教师队伍建设</w:t>
            </w:r>
          </w:p>
        </w:tc>
        <w:tc>
          <w:tcPr>
            <w:tcW w:w="992" w:type="dxa"/>
            <w:shd w:val="clear" w:color="000000" w:fill="FFFFFF"/>
            <w:vAlign w:val="center"/>
          </w:tcPr>
          <w:p w14:paraId="4B10B492">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培养名师及学科带头人</w:t>
            </w:r>
          </w:p>
        </w:tc>
        <w:tc>
          <w:tcPr>
            <w:tcW w:w="4536" w:type="dxa"/>
            <w:shd w:val="clear" w:color="000000" w:fill="FFFFFF"/>
            <w:vAlign w:val="center"/>
          </w:tcPr>
          <w:p w14:paraId="406BF66A">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为进一步提高学校教师队伍素质，2023年富民一中实施“名师工程”，为优秀教师成长搭建平台，培养昆明教学名师1人、昆明市教坛新秀3人、昆明市骨干教师2人、富民县学科带头人7人、富民县骨干教师9人。二是实施“青蓝工程”，为青年教师成长搭建平台，15名新教师和15名骨干教师组成师徒结对，11月2日完成了2023年青蓝工程新教师期中考核工作，选派两名青年教师到昆一中本部进行一学期跟岗学习。</w:t>
            </w:r>
          </w:p>
        </w:tc>
        <w:tc>
          <w:tcPr>
            <w:tcW w:w="739" w:type="dxa"/>
            <w:shd w:val="clear" w:color="000000" w:fill="FFFFFF"/>
            <w:vAlign w:val="center"/>
          </w:tcPr>
          <w:p w14:paraId="62BB5415">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tr w14:paraId="2964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9" w:type="dxa"/>
            <w:vMerge w:val="continue"/>
            <w:vAlign w:val="center"/>
          </w:tcPr>
          <w:p w14:paraId="384B07DB">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206D4AC0">
            <w:pPr>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0004663A">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学校特色品牌建设情况</w:t>
            </w:r>
          </w:p>
        </w:tc>
        <w:tc>
          <w:tcPr>
            <w:tcW w:w="992" w:type="dxa"/>
            <w:shd w:val="clear" w:color="000000" w:fill="FFFFFF"/>
            <w:vAlign w:val="center"/>
          </w:tcPr>
          <w:p w14:paraId="41C2307A">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建设学校特色品牌</w:t>
            </w:r>
          </w:p>
        </w:tc>
        <w:tc>
          <w:tcPr>
            <w:tcW w:w="4536" w:type="dxa"/>
            <w:shd w:val="clear" w:color="000000" w:fill="FFFFFF"/>
            <w:vAlign w:val="center"/>
          </w:tcPr>
          <w:p w14:paraId="06440023">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一是学校文化围绕校园内的“文庙”为中心，布局“四个”长廊建设；二是为传承富民一中历史文化，设立九峰书院学部，实行小班制办学，树立用优秀的人培养优秀的人的理念。</w:t>
            </w:r>
          </w:p>
          <w:p w14:paraId="41438648">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但学校特色品牌建设存在一些问题，一是名师数量还较少，名师效应彰显不足；二是学校品牌打造还处于初级阶段，需不断培育；三是一本上线率不高，教学成绩还有较大的提升空间；四是教学设备设施需要进一步优化、完善。</w:t>
            </w:r>
          </w:p>
        </w:tc>
        <w:tc>
          <w:tcPr>
            <w:tcW w:w="739" w:type="dxa"/>
            <w:shd w:val="clear" w:color="000000" w:fill="FFFFFF"/>
            <w:vAlign w:val="center"/>
          </w:tcPr>
          <w:p w14:paraId="1171428E">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部分</w:t>
            </w:r>
            <w:r>
              <w:rPr>
                <w:rFonts w:ascii="仿宋" w:hAnsi="仿宋" w:eastAsia="仿宋" w:cs="Arial Narrow"/>
                <w:color w:val="000000"/>
                <w:kern w:val="0"/>
                <w:sz w:val="18"/>
                <w:szCs w:val="18"/>
              </w:rPr>
              <w:t>完成</w:t>
            </w:r>
          </w:p>
        </w:tc>
      </w:tr>
      <w:tr w14:paraId="0396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649" w:type="dxa"/>
            <w:vMerge w:val="continue"/>
            <w:vAlign w:val="center"/>
          </w:tcPr>
          <w:p w14:paraId="7A4AE5FC">
            <w:pPr>
              <w:widowControl/>
              <w:spacing w:line="240" w:lineRule="atLeast"/>
              <w:jc w:val="center"/>
              <w:rPr>
                <w:rFonts w:ascii="仿宋" w:hAnsi="仿宋" w:eastAsia="仿宋" w:cs="Arial Narrow"/>
                <w:color w:val="000000"/>
                <w:kern w:val="0"/>
                <w:sz w:val="18"/>
                <w:szCs w:val="18"/>
              </w:rPr>
            </w:pPr>
          </w:p>
        </w:tc>
        <w:tc>
          <w:tcPr>
            <w:tcW w:w="674" w:type="dxa"/>
            <w:vMerge w:val="continue"/>
            <w:vAlign w:val="center"/>
          </w:tcPr>
          <w:p w14:paraId="7F0DCC5F">
            <w:pPr>
              <w:widowControl/>
              <w:spacing w:line="240" w:lineRule="atLeast"/>
              <w:jc w:val="left"/>
              <w:rPr>
                <w:rFonts w:ascii="仿宋" w:hAnsi="仿宋" w:eastAsia="仿宋" w:cs="Arial Narrow"/>
                <w:color w:val="000000"/>
                <w:kern w:val="0"/>
                <w:sz w:val="18"/>
                <w:szCs w:val="18"/>
              </w:rPr>
            </w:pPr>
          </w:p>
        </w:tc>
        <w:tc>
          <w:tcPr>
            <w:tcW w:w="1366" w:type="dxa"/>
            <w:shd w:val="clear" w:color="000000" w:fill="FFFFFF"/>
            <w:vAlign w:val="center"/>
          </w:tcPr>
          <w:p w14:paraId="3C3FA2D9">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教学设备设施保障程度</w:t>
            </w:r>
          </w:p>
        </w:tc>
        <w:tc>
          <w:tcPr>
            <w:tcW w:w="992" w:type="dxa"/>
            <w:shd w:val="clear" w:color="000000" w:fill="FFFFFF"/>
            <w:vAlign w:val="center"/>
          </w:tcPr>
          <w:p w14:paraId="1CEA4312">
            <w:pPr>
              <w:widowControl/>
              <w:jc w:val="left"/>
              <w:textAlignment w:val="center"/>
              <w:rPr>
                <w:rFonts w:ascii="仿宋" w:hAnsi="仿宋" w:eastAsia="仿宋" w:cs="Arial Narrow"/>
                <w:color w:val="000000"/>
                <w:kern w:val="0"/>
                <w:sz w:val="18"/>
                <w:szCs w:val="18"/>
              </w:rPr>
            </w:pPr>
            <w:r>
              <w:rPr>
                <w:rFonts w:hint="eastAsia" w:ascii="仿宋" w:hAnsi="仿宋" w:eastAsia="仿宋"/>
                <w:color w:val="000000"/>
                <w:sz w:val="18"/>
                <w:szCs w:val="18"/>
              </w:rPr>
              <w:t>充分用好现有经费，优先保障学生生活和改善教育教学</w:t>
            </w:r>
          </w:p>
        </w:tc>
        <w:tc>
          <w:tcPr>
            <w:tcW w:w="4536" w:type="dxa"/>
            <w:shd w:val="clear" w:color="000000" w:fill="FFFFFF"/>
            <w:vAlign w:val="center"/>
          </w:tcPr>
          <w:p w14:paraId="2A7F8065">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按“优先保障学生生活，优先保障教育教学”的原则，2023年学校完成了宿舍24小时热水系统改造，保障了学生24小时热水使用。其次，采购8套智慧黑板、新建一个录播教室、改造提升校园广播系统。</w:t>
            </w:r>
          </w:p>
        </w:tc>
        <w:tc>
          <w:tcPr>
            <w:tcW w:w="739" w:type="dxa"/>
            <w:shd w:val="clear" w:color="000000" w:fill="FFFFFF"/>
            <w:vAlign w:val="center"/>
          </w:tcPr>
          <w:p w14:paraId="1B7DB5E9">
            <w:pPr>
              <w:widowControl/>
              <w:jc w:val="left"/>
              <w:textAlignment w:val="center"/>
              <w:rPr>
                <w:rFonts w:ascii="仿宋" w:hAnsi="仿宋" w:eastAsia="仿宋" w:cs="Arial Narrow"/>
                <w:color w:val="000000"/>
                <w:kern w:val="0"/>
                <w:sz w:val="18"/>
                <w:szCs w:val="18"/>
              </w:rPr>
            </w:pPr>
            <w:r>
              <w:rPr>
                <w:rFonts w:hint="eastAsia" w:ascii="仿宋" w:hAnsi="仿宋" w:eastAsia="仿宋" w:cs="Arial Narrow"/>
                <w:color w:val="000000"/>
                <w:kern w:val="0"/>
                <w:sz w:val="18"/>
                <w:szCs w:val="18"/>
              </w:rPr>
              <w:t>完成</w:t>
            </w:r>
          </w:p>
        </w:tc>
      </w:tr>
      <w:tr w14:paraId="52EA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49" w:type="dxa"/>
            <w:vMerge w:val="continue"/>
            <w:vAlign w:val="center"/>
          </w:tcPr>
          <w:p w14:paraId="73974AA4">
            <w:pPr>
              <w:widowControl/>
              <w:spacing w:line="240" w:lineRule="atLeast"/>
              <w:jc w:val="center"/>
              <w:rPr>
                <w:rFonts w:ascii="仿宋" w:hAnsi="仿宋" w:eastAsia="仿宋" w:cs="Arial Narrow"/>
                <w:color w:val="000000"/>
                <w:kern w:val="0"/>
                <w:sz w:val="18"/>
                <w:szCs w:val="18"/>
              </w:rPr>
            </w:pPr>
          </w:p>
        </w:tc>
        <w:tc>
          <w:tcPr>
            <w:tcW w:w="674" w:type="dxa"/>
            <w:shd w:val="clear" w:color="000000" w:fill="FFFFFF"/>
            <w:vAlign w:val="center"/>
          </w:tcPr>
          <w:p w14:paraId="21F2610C">
            <w:pPr>
              <w:widowControl/>
              <w:spacing w:line="240" w:lineRule="atLeast"/>
              <w:jc w:val="left"/>
              <w:rPr>
                <w:rFonts w:ascii="仿宋" w:hAnsi="仿宋" w:eastAsia="仿宋" w:cs="Arial Narrow"/>
                <w:color w:val="000000"/>
                <w:kern w:val="0"/>
                <w:sz w:val="18"/>
                <w:szCs w:val="18"/>
              </w:rPr>
            </w:pPr>
            <w:r>
              <w:rPr>
                <w:rFonts w:ascii="仿宋" w:hAnsi="仿宋" w:eastAsia="仿宋" w:cs="Arial Narrow"/>
                <w:color w:val="000000"/>
                <w:kern w:val="0"/>
                <w:sz w:val="18"/>
                <w:szCs w:val="18"/>
              </w:rPr>
              <w:t>满意度指标</w:t>
            </w:r>
          </w:p>
        </w:tc>
        <w:tc>
          <w:tcPr>
            <w:tcW w:w="1366" w:type="dxa"/>
            <w:shd w:val="clear" w:color="000000" w:fill="FFFFFF"/>
            <w:vAlign w:val="center"/>
          </w:tcPr>
          <w:p w14:paraId="4B824C3C">
            <w:pPr>
              <w:widowControl/>
              <w:jc w:val="left"/>
              <w:rPr>
                <w:rFonts w:ascii="仿宋" w:hAnsi="仿宋" w:eastAsia="仿宋" w:cs="宋体"/>
                <w:color w:val="000000"/>
                <w:kern w:val="0"/>
                <w:sz w:val="18"/>
                <w:szCs w:val="18"/>
              </w:rPr>
            </w:pPr>
            <w:r>
              <w:rPr>
                <w:rFonts w:hint="eastAsia" w:ascii="仿宋" w:hAnsi="仿宋" w:eastAsia="仿宋"/>
                <w:color w:val="000000"/>
                <w:sz w:val="18"/>
                <w:szCs w:val="18"/>
              </w:rPr>
              <w:t>教职工及学生满意度</w:t>
            </w:r>
          </w:p>
        </w:tc>
        <w:tc>
          <w:tcPr>
            <w:tcW w:w="992" w:type="dxa"/>
            <w:shd w:val="clear" w:color="000000" w:fill="FFFFFF"/>
            <w:vAlign w:val="center"/>
          </w:tcPr>
          <w:p w14:paraId="3060D79A">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≥90</w:t>
            </w:r>
          </w:p>
        </w:tc>
        <w:tc>
          <w:tcPr>
            <w:tcW w:w="4536" w:type="dxa"/>
            <w:shd w:val="clear" w:color="000000" w:fill="FFFFFF"/>
            <w:vAlign w:val="center"/>
          </w:tcPr>
          <w:p w14:paraId="3743D687">
            <w:pPr>
              <w:widowControl/>
              <w:jc w:val="left"/>
              <w:textAlignment w:val="center"/>
              <w:rPr>
                <w:rFonts w:ascii="仿宋" w:hAnsi="仿宋" w:eastAsia="仿宋" w:cs="Arial Narrow"/>
                <w:sz w:val="18"/>
                <w:szCs w:val="18"/>
              </w:rPr>
            </w:pPr>
            <w:r>
              <w:rPr>
                <w:rFonts w:hint="eastAsia" w:ascii="仿宋" w:hAnsi="仿宋" w:eastAsia="仿宋" w:cs="Arial Narrow"/>
                <w:sz w:val="18"/>
                <w:szCs w:val="18"/>
              </w:rPr>
              <w:t>共回收满意度问卷97份，满意度综合得分97.79%。</w:t>
            </w:r>
          </w:p>
        </w:tc>
        <w:tc>
          <w:tcPr>
            <w:tcW w:w="739" w:type="dxa"/>
            <w:shd w:val="clear" w:color="000000" w:fill="FFFFFF"/>
            <w:vAlign w:val="center"/>
          </w:tcPr>
          <w:p w14:paraId="45D829E3">
            <w:pPr>
              <w:widowControl/>
              <w:jc w:val="left"/>
              <w:textAlignment w:val="center"/>
              <w:rPr>
                <w:rFonts w:ascii="仿宋" w:hAnsi="仿宋" w:eastAsia="仿宋" w:cs="Arial Narrow"/>
                <w:color w:val="000000"/>
                <w:kern w:val="0"/>
                <w:sz w:val="18"/>
                <w:szCs w:val="18"/>
              </w:rPr>
            </w:pPr>
            <w:r>
              <w:rPr>
                <w:rFonts w:ascii="仿宋" w:hAnsi="仿宋" w:eastAsia="仿宋" w:cs="Arial Narrow"/>
                <w:color w:val="000000"/>
                <w:kern w:val="0"/>
                <w:sz w:val="18"/>
                <w:szCs w:val="18"/>
              </w:rPr>
              <w:t>完成</w:t>
            </w:r>
          </w:p>
        </w:tc>
      </w:tr>
      <w:bookmarkEnd w:id="90"/>
    </w:tbl>
    <w:p w14:paraId="34ED797C">
      <w:pPr>
        <w:spacing w:line="590" w:lineRule="exact"/>
        <w:ind w:firstLine="624" w:firstLineChars="200"/>
        <w:outlineLvl w:val="0"/>
        <w:rPr>
          <w:rFonts w:ascii="黑体" w:hAnsi="黑体" w:eastAsia="黑体" w:cs="宋体"/>
          <w:spacing w:val="6"/>
          <w:kern w:val="0"/>
          <w:sz w:val="30"/>
          <w:szCs w:val="30"/>
        </w:rPr>
      </w:pPr>
      <w:bookmarkStart w:id="94" w:name="_Toc21355"/>
      <w:bookmarkStart w:id="95" w:name="_Toc173402207"/>
      <w:bookmarkStart w:id="96" w:name="_Toc173402315"/>
      <w:bookmarkStart w:id="97" w:name="_Toc180163178"/>
      <w:bookmarkStart w:id="98" w:name="_Toc46659237"/>
      <w:r>
        <w:rPr>
          <w:rFonts w:ascii="黑体" w:hAnsi="黑体" w:eastAsia="黑体" w:cs="宋体"/>
          <w:spacing w:val="6"/>
          <w:kern w:val="0"/>
          <w:sz w:val="30"/>
          <w:szCs w:val="30"/>
        </w:rPr>
        <w:t>四、绩效评价指标分析</w:t>
      </w:r>
      <w:bookmarkEnd w:id="94"/>
      <w:bookmarkEnd w:id="95"/>
      <w:bookmarkEnd w:id="96"/>
      <w:bookmarkEnd w:id="97"/>
    </w:p>
    <w:p w14:paraId="6A1674C8">
      <w:pPr>
        <w:spacing w:line="590" w:lineRule="exact"/>
        <w:ind w:firstLine="624" w:firstLineChars="200"/>
        <w:outlineLvl w:val="1"/>
        <w:rPr>
          <w:rFonts w:ascii="楷体_GB2312" w:hAnsi="Times New Roman" w:eastAsia="楷体_GB2312" w:cs="Times New Roman"/>
          <w:spacing w:val="6"/>
          <w:kern w:val="0"/>
          <w:sz w:val="30"/>
          <w:szCs w:val="30"/>
        </w:rPr>
      </w:pPr>
      <w:bookmarkStart w:id="99" w:name="_Toc7645"/>
      <w:bookmarkStart w:id="100" w:name="_Toc173402208"/>
      <w:bookmarkStart w:id="101" w:name="_Toc173402316"/>
      <w:bookmarkStart w:id="102" w:name="_Toc180163179"/>
      <w:r>
        <w:rPr>
          <w:rFonts w:ascii="楷体_GB2312" w:hAnsi="Times New Roman" w:eastAsia="楷体_GB2312" w:cs="Times New Roman"/>
          <w:spacing w:val="6"/>
          <w:kern w:val="0"/>
          <w:sz w:val="30"/>
          <w:szCs w:val="30"/>
        </w:rPr>
        <w:t>（一）投入情况分析</w:t>
      </w:r>
      <w:bookmarkEnd w:id="99"/>
      <w:bookmarkEnd w:id="100"/>
      <w:bookmarkEnd w:id="101"/>
      <w:bookmarkEnd w:id="102"/>
    </w:p>
    <w:p w14:paraId="7E70D8E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根据</w:t>
      </w:r>
      <w:r>
        <w:rPr>
          <w:rFonts w:hint="eastAsia" w:ascii="仿宋_GB2312" w:hAnsi="仿宋" w:eastAsia="仿宋_GB2312" w:cs="Times New Roman"/>
          <w:kern w:val="30"/>
          <w:sz w:val="30"/>
          <w:szCs w:val="30"/>
        </w:rPr>
        <w:t>《昆一中富民中学委托管理协议》《富民县第一中学近期、中长期工作思路》《富民一中机构划分及工作职责》《富民一中2023-2024学年高一年级学校选修课程实施方案》等文件的相关要求，结合自身实际，</w:t>
      </w:r>
      <w:r>
        <w:rPr>
          <w:rFonts w:ascii="仿宋_GB2312" w:hAnsi="仿宋" w:eastAsia="仿宋_GB2312" w:cs="Times New Roman"/>
          <w:kern w:val="30"/>
          <w:sz w:val="30"/>
          <w:szCs w:val="30"/>
        </w:rPr>
        <w:t>设置了2023年度</w:t>
      </w:r>
      <w:r>
        <w:rPr>
          <w:rFonts w:hint="eastAsia" w:ascii="仿宋_GB2312" w:hAnsi="仿宋" w:eastAsia="仿宋_GB2312" w:cs="Times New Roman"/>
          <w:kern w:val="30"/>
          <w:sz w:val="30"/>
          <w:szCs w:val="30"/>
        </w:rPr>
        <w:t>预算项目绩效目标和部门整体</w:t>
      </w:r>
      <w:r>
        <w:rPr>
          <w:rFonts w:ascii="仿宋_GB2312" w:hAnsi="仿宋" w:eastAsia="仿宋_GB2312" w:cs="Times New Roman"/>
          <w:kern w:val="30"/>
          <w:sz w:val="30"/>
          <w:szCs w:val="30"/>
        </w:rPr>
        <w:t>绩效目标，</w:t>
      </w:r>
      <w:r>
        <w:rPr>
          <w:rFonts w:hint="eastAsia" w:ascii="仿宋_GB2312" w:hAnsi="仿宋" w:eastAsia="仿宋_GB2312" w:cs="Times New Roman"/>
          <w:kern w:val="30"/>
          <w:sz w:val="30"/>
          <w:szCs w:val="30"/>
        </w:rPr>
        <w:t>但整体</w:t>
      </w:r>
      <w:r>
        <w:rPr>
          <w:rFonts w:ascii="仿宋_GB2312" w:hAnsi="仿宋" w:eastAsia="仿宋_GB2312" w:cs="Times New Roman"/>
          <w:kern w:val="30"/>
          <w:sz w:val="30"/>
          <w:szCs w:val="30"/>
        </w:rPr>
        <w:t>绩效</w:t>
      </w:r>
      <w:r>
        <w:rPr>
          <w:rFonts w:hint="eastAsia" w:ascii="仿宋_GB2312" w:hAnsi="仿宋" w:eastAsia="仿宋_GB2312" w:cs="Times New Roman"/>
          <w:kern w:val="30"/>
          <w:sz w:val="30"/>
          <w:szCs w:val="30"/>
        </w:rPr>
        <w:t>目标仅设立了校园数量指标，指标单一，缺少办学、教改、德育、教学实施、校园文化、教师队伍、平安校园建设等核心履职指标。指标设定不完整、细化程度不够，缺少质量指标、效益指标、可持续影响等指标。</w:t>
      </w:r>
    </w:p>
    <w:p w14:paraId="30142B0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从富民一中年初预算编报及资金安排来看，年初项目经费仅安排了委托管理资金，未包含中央、省级、市级转移支付资金（主要为城乡义务教育补助公用经费、困难学生补助资金、营养改善资金等）。总体来看，2</w:t>
      </w:r>
      <w:r>
        <w:rPr>
          <w:rFonts w:ascii="仿宋_GB2312" w:hAnsi="仿宋" w:eastAsia="仿宋_GB2312" w:cs="Times New Roman"/>
          <w:kern w:val="30"/>
          <w:sz w:val="30"/>
          <w:szCs w:val="30"/>
        </w:rPr>
        <w:t>023</w:t>
      </w:r>
      <w:r>
        <w:rPr>
          <w:rFonts w:hint="eastAsia" w:ascii="仿宋_GB2312" w:hAnsi="仿宋" w:eastAsia="仿宋_GB2312" w:cs="Times New Roman"/>
          <w:kern w:val="30"/>
          <w:sz w:val="30"/>
          <w:szCs w:val="30"/>
        </w:rPr>
        <w:t>年资金安排能够保障富民一中履行主要职责及完成年度重点任务。</w:t>
      </w:r>
    </w:p>
    <w:p w14:paraId="1846773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在职人员控制方面，富民一中事业编制数239人。截至2023年12月31日实有在职在编人员200人，在职人员控制率83.68%。</w:t>
      </w:r>
    </w:p>
    <w:p w14:paraId="50304760">
      <w:pPr>
        <w:spacing w:line="579" w:lineRule="exact"/>
        <w:ind w:firstLine="600" w:firstLineChars="200"/>
        <w:rPr>
          <w:rFonts w:ascii="仿宋_GB2312" w:hAnsi="仿宋" w:eastAsia="仿宋_GB2312" w:cs="Times New Roman"/>
          <w:kern w:val="30"/>
          <w:sz w:val="30"/>
          <w:szCs w:val="30"/>
        </w:rPr>
        <w:sectPr>
          <w:footerReference r:id="rId5" w:type="default"/>
          <w:footerReference r:id="rId6" w:type="even"/>
          <w:pgSz w:w="11906" w:h="16838"/>
          <w:pgMar w:top="1587" w:right="1474" w:bottom="1587" w:left="1531" w:header="851" w:footer="992" w:gutter="0"/>
          <w:pgNumType w:fmt="numberInDash" w:start="1"/>
          <w:cols w:space="0" w:num="1"/>
          <w:docGrid w:type="linesAndChars" w:linePitch="308" w:charSpace="0"/>
        </w:sectPr>
      </w:pPr>
    </w:p>
    <w:p w14:paraId="199C9934">
      <w:pPr>
        <w:spacing w:line="579" w:lineRule="exact"/>
        <w:jc w:val="center"/>
        <w:rPr>
          <w:rFonts w:ascii="仿宋_GB2312" w:hAnsi="仿宋" w:eastAsia="仿宋_GB2312" w:cs="Times New Roman"/>
          <w:b/>
          <w:bCs/>
          <w:kern w:val="30"/>
          <w:sz w:val="30"/>
          <w:szCs w:val="30"/>
        </w:rPr>
      </w:pPr>
      <w:r>
        <w:rPr>
          <w:rFonts w:hint="eastAsia" w:ascii="仿宋_GB2312" w:hAnsi="仿宋" w:eastAsia="仿宋_GB2312" w:cs="Times New Roman"/>
          <w:b/>
          <w:bCs/>
          <w:kern w:val="30"/>
          <w:sz w:val="30"/>
          <w:szCs w:val="30"/>
        </w:rPr>
        <w:t>富民一中2023年预算安排及收支、结转结余明细表</w:t>
      </w:r>
    </w:p>
    <w:p w14:paraId="66E6726C">
      <w:pPr>
        <w:jc w:val="right"/>
        <w:rPr>
          <w:rFonts w:ascii="仿宋_GB2312" w:hAnsi="仿宋" w:eastAsia="仿宋_GB2312" w:cs="Times New Roman"/>
          <w:kern w:val="30"/>
          <w:szCs w:val="21"/>
        </w:rPr>
      </w:pPr>
      <w:r>
        <w:rPr>
          <w:rFonts w:hint="eastAsia" w:ascii="仿宋_GB2312" w:hAnsi="仿宋" w:eastAsia="仿宋_GB2312" w:cs="Times New Roman"/>
          <w:kern w:val="30"/>
          <w:szCs w:val="21"/>
        </w:rPr>
        <w:t>单位：元</w:t>
      </w:r>
    </w:p>
    <w:tbl>
      <w:tblPr>
        <w:tblStyle w:val="88"/>
        <w:tblW w:w="14677" w:type="dxa"/>
        <w:jc w:val="center"/>
        <w:tblLayout w:type="autofit"/>
        <w:tblCellMar>
          <w:top w:w="0" w:type="dxa"/>
          <w:left w:w="108" w:type="dxa"/>
          <w:bottom w:w="0" w:type="dxa"/>
          <w:right w:w="108" w:type="dxa"/>
        </w:tblCellMar>
      </w:tblPr>
      <w:tblGrid>
        <w:gridCol w:w="630"/>
        <w:gridCol w:w="2200"/>
        <w:gridCol w:w="1003"/>
        <w:gridCol w:w="1003"/>
        <w:gridCol w:w="992"/>
        <w:gridCol w:w="935"/>
        <w:gridCol w:w="1050"/>
        <w:gridCol w:w="1003"/>
        <w:gridCol w:w="1003"/>
        <w:gridCol w:w="935"/>
        <w:gridCol w:w="1032"/>
        <w:gridCol w:w="1134"/>
        <w:gridCol w:w="935"/>
        <w:gridCol w:w="832"/>
      </w:tblGrid>
      <w:tr w14:paraId="36F55B71">
        <w:tblPrEx>
          <w:tblCellMar>
            <w:top w:w="0" w:type="dxa"/>
            <w:left w:w="108" w:type="dxa"/>
            <w:bottom w:w="0" w:type="dxa"/>
            <w:right w:w="108" w:type="dxa"/>
          </w:tblCellMar>
        </w:tblPrEx>
        <w:trPr>
          <w:trHeight w:val="250" w:hRule="atLeast"/>
          <w:tblHeader/>
          <w:jc w:val="center"/>
        </w:trPr>
        <w:tc>
          <w:tcPr>
            <w:tcW w:w="6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CC07FA">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类别</w:t>
            </w:r>
          </w:p>
        </w:tc>
        <w:tc>
          <w:tcPr>
            <w:tcW w:w="220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D4BB034">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项目名称</w:t>
            </w:r>
          </w:p>
        </w:tc>
        <w:tc>
          <w:tcPr>
            <w:tcW w:w="3923" w:type="dxa"/>
            <w:gridSpan w:val="4"/>
            <w:tcBorders>
              <w:top w:val="single" w:color="auto" w:sz="4" w:space="0"/>
              <w:left w:val="nil"/>
              <w:bottom w:val="single" w:color="auto" w:sz="4" w:space="0"/>
              <w:right w:val="single" w:color="auto" w:sz="4" w:space="0"/>
            </w:tcBorders>
            <w:shd w:val="clear" w:color="000000" w:fill="FFFFFF"/>
            <w:vAlign w:val="center"/>
          </w:tcPr>
          <w:p w14:paraId="72E87E2A">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年初预算</w:t>
            </w:r>
          </w:p>
        </w:tc>
        <w:tc>
          <w:tcPr>
            <w:tcW w:w="1050" w:type="dxa"/>
            <w:vMerge w:val="restart"/>
            <w:tcBorders>
              <w:top w:val="single" w:color="auto" w:sz="4" w:space="0"/>
              <w:left w:val="nil"/>
              <w:right w:val="single" w:color="auto" w:sz="4" w:space="0"/>
            </w:tcBorders>
            <w:shd w:val="clear" w:color="000000" w:fill="FFFFFF"/>
            <w:vAlign w:val="center"/>
          </w:tcPr>
          <w:p w14:paraId="5BED4A09">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年初结转和结余</w:t>
            </w:r>
          </w:p>
        </w:tc>
        <w:tc>
          <w:tcPr>
            <w:tcW w:w="2941" w:type="dxa"/>
            <w:gridSpan w:val="3"/>
            <w:tcBorders>
              <w:top w:val="single" w:color="auto" w:sz="4" w:space="0"/>
              <w:left w:val="nil"/>
              <w:bottom w:val="single" w:color="auto" w:sz="4" w:space="0"/>
              <w:right w:val="single" w:color="auto" w:sz="4" w:space="0"/>
            </w:tcBorders>
            <w:shd w:val="clear" w:color="000000" w:fill="FFFFFF"/>
            <w:vAlign w:val="center"/>
          </w:tcPr>
          <w:p w14:paraId="1C0D0DE0">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本年收入</w:t>
            </w:r>
          </w:p>
        </w:tc>
        <w:tc>
          <w:tcPr>
            <w:tcW w:w="3101" w:type="dxa"/>
            <w:gridSpan w:val="3"/>
            <w:tcBorders>
              <w:top w:val="single" w:color="auto" w:sz="4" w:space="0"/>
              <w:left w:val="nil"/>
              <w:bottom w:val="single" w:color="auto" w:sz="4" w:space="0"/>
              <w:right w:val="single" w:color="auto" w:sz="4" w:space="0"/>
            </w:tcBorders>
            <w:shd w:val="clear" w:color="000000" w:fill="FFFFFF"/>
            <w:vAlign w:val="center"/>
          </w:tcPr>
          <w:p w14:paraId="777D7B4D">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本年支出</w:t>
            </w:r>
          </w:p>
        </w:tc>
        <w:tc>
          <w:tcPr>
            <w:tcW w:w="832" w:type="dxa"/>
            <w:vMerge w:val="restart"/>
            <w:tcBorders>
              <w:top w:val="single" w:color="auto" w:sz="4" w:space="0"/>
              <w:left w:val="nil"/>
              <w:right w:val="single" w:color="auto" w:sz="4" w:space="0"/>
            </w:tcBorders>
            <w:shd w:val="clear" w:color="000000" w:fill="FFFFFF"/>
            <w:vAlign w:val="center"/>
          </w:tcPr>
          <w:p w14:paraId="0F53968A">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年末结转和结余</w:t>
            </w:r>
          </w:p>
        </w:tc>
      </w:tr>
      <w:tr w14:paraId="23FAE96B">
        <w:tblPrEx>
          <w:tblCellMar>
            <w:top w:w="0" w:type="dxa"/>
            <w:left w:w="108" w:type="dxa"/>
            <w:bottom w:w="0" w:type="dxa"/>
            <w:right w:w="108" w:type="dxa"/>
          </w:tblCellMar>
        </w:tblPrEx>
        <w:trPr>
          <w:trHeight w:val="531" w:hRule="atLeast"/>
          <w:tblHeader/>
          <w:jc w:val="center"/>
        </w:trPr>
        <w:tc>
          <w:tcPr>
            <w:tcW w:w="630" w:type="dxa"/>
            <w:vMerge w:val="continue"/>
            <w:tcBorders>
              <w:top w:val="single" w:color="auto" w:sz="4" w:space="0"/>
              <w:left w:val="single" w:color="auto" w:sz="4" w:space="0"/>
              <w:bottom w:val="single" w:color="auto" w:sz="4" w:space="0"/>
              <w:right w:val="single" w:color="auto" w:sz="4" w:space="0"/>
            </w:tcBorders>
            <w:vAlign w:val="center"/>
          </w:tcPr>
          <w:p w14:paraId="6B5582D0">
            <w:pPr>
              <w:widowControl/>
              <w:jc w:val="left"/>
              <w:rPr>
                <w:rFonts w:ascii="仿宋" w:hAnsi="仿宋" w:eastAsia="仿宋" w:cs="宋体"/>
                <w:b/>
                <w:bCs/>
                <w:color w:val="000000"/>
                <w:kern w:val="0"/>
                <w:sz w:val="15"/>
                <w:szCs w:val="15"/>
              </w:rPr>
            </w:pPr>
          </w:p>
        </w:tc>
        <w:tc>
          <w:tcPr>
            <w:tcW w:w="2200" w:type="dxa"/>
            <w:vMerge w:val="continue"/>
            <w:tcBorders>
              <w:top w:val="single" w:color="auto" w:sz="4" w:space="0"/>
              <w:left w:val="single" w:color="auto" w:sz="4" w:space="0"/>
              <w:bottom w:val="single" w:color="auto" w:sz="4" w:space="0"/>
              <w:right w:val="single" w:color="auto" w:sz="4" w:space="0"/>
            </w:tcBorders>
            <w:vAlign w:val="center"/>
          </w:tcPr>
          <w:p w14:paraId="6EF3B1DD">
            <w:pPr>
              <w:widowControl/>
              <w:jc w:val="left"/>
              <w:rPr>
                <w:rFonts w:ascii="仿宋" w:hAnsi="仿宋" w:eastAsia="仿宋" w:cs="宋体"/>
                <w:b/>
                <w:bCs/>
                <w:color w:val="000000"/>
                <w:kern w:val="0"/>
                <w:sz w:val="15"/>
                <w:szCs w:val="15"/>
              </w:rPr>
            </w:pPr>
          </w:p>
        </w:tc>
        <w:tc>
          <w:tcPr>
            <w:tcW w:w="993" w:type="dxa"/>
            <w:tcBorders>
              <w:top w:val="nil"/>
              <w:left w:val="nil"/>
              <w:bottom w:val="single" w:color="auto" w:sz="4" w:space="0"/>
              <w:right w:val="single" w:color="auto" w:sz="4" w:space="0"/>
            </w:tcBorders>
            <w:shd w:val="clear" w:color="000000" w:fill="FFFFFF"/>
            <w:vAlign w:val="center"/>
          </w:tcPr>
          <w:p w14:paraId="6CF909A9">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合计</w:t>
            </w:r>
          </w:p>
        </w:tc>
        <w:tc>
          <w:tcPr>
            <w:tcW w:w="1003" w:type="dxa"/>
            <w:tcBorders>
              <w:top w:val="nil"/>
              <w:left w:val="nil"/>
              <w:bottom w:val="single" w:color="auto" w:sz="4" w:space="0"/>
              <w:right w:val="single" w:color="auto" w:sz="4" w:space="0"/>
            </w:tcBorders>
            <w:shd w:val="clear" w:color="000000" w:fill="FFFFFF"/>
            <w:vAlign w:val="center"/>
          </w:tcPr>
          <w:p w14:paraId="14B02485">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本年拨款（一般公共预算）</w:t>
            </w:r>
          </w:p>
        </w:tc>
        <w:tc>
          <w:tcPr>
            <w:tcW w:w="992" w:type="dxa"/>
            <w:tcBorders>
              <w:top w:val="nil"/>
              <w:left w:val="nil"/>
              <w:bottom w:val="single" w:color="auto" w:sz="4" w:space="0"/>
              <w:right w:val="single" w:color="auto" w:sz="4" w:space="0"/>
            </w:tcBorders>
            <w:shd w:val="clear" w:color="000000" w:fill="FFFFFF"/>
            <w:vAlign w:val="center"/>
          </w:tcPr>
          <w:p w14:paraId="43F85AA6">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财政结转（一般公共预算）</w:t>
            </w:r>
          </w:p>
        </w:tc>
        <w:tc>
          <w:tcPr>
            <w:tcW w:w="935" w:type="dxa"/>
            <w:tcBorders>
              <w:top w:val="nil"/>
              <w:left w:val="nil"/>
              <w:bottom w:val="single" w:color="auto" w:sz="4" w:space="0"/>
              <w:right w:val="single" w:color="auto" w:sz="4" w:space="0"/>
            </w:tcBorders>
            <w:shd w:val="clear" w:color="000000" w:fill="FFFFFF"/>
            <w:vAlign w:val="center"/>
          </w:tcPr>
          <w:p w14:paraId="1DA108B2">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财政专户管理资金</w:t>
            </w:r>
          </w:p>
        </w:tc>
        <w:tc>
          <w:tcPr>
            <w:tcW w:w="1050" w:type="dxa"/>
            <w:vMerge w:val="continue"/>
            <w:tcBorders>
              <w:left w:val="nil"/>
              <w:bottom w:val="single" w:color="auto" w:sz="4" w:space="0"/>
              <w:right w:val="single" w:color="auto" w:sz="4" w:space="0"/>
            </w:tcBorders>
            <w:shd w:val="clear" w:color="000000" w:fill="FFFFFF"/>
            <w:vAlign w:val="center"/>
          </w:tcPr>
          <w:p w14:paraId="5BDEA641">
            <w:pPr>
              <w:widowControl/>
              <w:jc w:val="center"/>
              <w:rPr>
                <w:rFonts w:ascii="仿宋" w:hAnsi="仿宋" w:eastAsia="仿宋" w:cs="宋体"/>
                <w:b/>
                <w:bCs/>
                <w:color w:val="000000"/>
                <w:kern w:val="0"/>
                <w:sz w:val="15"/>
                <w:szCs w:val="15"/>
              </w:rPr>
            </w:pPr>
          </w:p>
        </w:tc>
        <w:tc>
          <w:tcPr>
            <w:tcW w:w="1003" w:type="dxa"/>
            <w:tcBorders>
              <w:top w:val="nil"/>
              <w:left w:val="nil"/>
              <w:bottom w:val="single" w:color="auto" w:sz="4" w:space="0"/>
              <w:right w:val="single" w:color="auto" w:sz="4" w:space="0"/>
            </w:tcBorders>
            <w:shd w:val="clear" w:color="000000" w:fill="FFFFFF"/>
            <w:vAlign w:val="center"/>
          </w:tcPr>
          <w:p w14:paraId="1D020098">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收入合计</w:t>
            </w:r>
          </w:p>
        </w:tc>
        <w:tc>
          <w:tcPr>
            <w:tcW w:w="1003" w:type="dxa"/>
            <w:tcBorders>
              <w:top w:val="nil"/>
              <w:left w:val="nil"/>
              <w:bottom w:val="single" w:color="auto" w:sz="4" w:space="0"/>
              <w:right w:val="single" w:color="auto" w:sz="4" w:space="0"/>
            </w:tcBorders>
            <w:shd w:val="clear" w:color="000000" w:fill="FFFFFF"/>
            <w:vAlign w:val="center"/>
          </w:tcPr>
          <w:p w14:paraId="36E72C3A">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财政拨款收入</w:t>
            </w:r>
          </w:p>
        </w:tc>
        <w:tc>
          <w:tcPr>
            <w:tcW w:w="935" w:type="dxa"/>
            <w:tcBorders>
              <w:top w:val="nil"/>
              <w:left w:val="nil"/>
              <w:bottom w:val="single" w:color="auto" w:sz="4" w:space="0"/>
              <w:right w:val="single" w:color="auto" w:sz="4" w:space="0"/>
            </w:tcBorders>
            <w:shd w:val="clear" w:color="000000" w:fill="FFFFFF"/>
            <w:vAlign w:val="center"/>
          </w:tcPr>
          <w:p w14:paraId="7263BC71">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其他收入</w:t>
            </w:r>
          </w:p>
        </w:tc>
        <w:tc>
          <w:tcPr>
            <w:tcW w:w="1032" w:type="dxa"/>
            <w:tcBorders>
              <w:top w:val="nil"/>
              <w:left w:val="nil"/>
              <w:bottom w:val="single" w:color="auto" w:sz="4" w:space="0"/>
              <w:right w:val="single" w:color="auto" w:sz="4" w:space="0"/>
            </w:tcBorders>
            <w:shd w:val="clear" w:color="000000" w:fill="FFFFFF"/>
            <w:vAlign w:val="center"/>
          </w:tcPr>
          <w:p w14:paraId="30CB0CCF">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支出合计</w:t>
            </w:r>
          </w:p>
        </w:tc>
        <w:tc>
          <w:tcPr>
            <w:tcW w:w="1134" w:type="dxa"/>
            <w:tcBorders>
              <w:top w:val="nil"/>
              <w:left w:val="nil"/>
              <w:bottom w:val="single" w:color="auto" w:sz="4" w:space="0"/>
              <w:right w:val="single" w:color="auto" w:sz="4" w:space="0"/>
            </w:tcBorders>
            <w:shd w:val="clear" w:color="000000" w:fill="FFFFFF"/>
            <w:vAlign w:val="center"/>
          </w:tcPr>
          <w:p w14:paraId="12F94FE8">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财政拨款支出</w:t>
            </w:r>
          </w:p>
        </w:tc>
        <w:tc>
          <w:tcPr>
            <w:tcW w:w="935" w:type="dxa"/>
            <w:tcBorders>
              <w:top w:val="nil"/>
              <w:left w:val="nil"/>
              <w:bottom w:val="single" w:color="auto" w:sz="4" w:space="0"/>
              <w:right w:val="single" w:color="auto" w:sz="4" w:space="0"/>
            </w:tcBorders>
            <w:shd w:val="clear" w:color="000000" w:fill="FFFFFF"/>
            <w:vAlign w:val="center"/>
          </w:tcPr>
          <w:p w14:paraId="43EF41DB">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其他资金支出</w:t>
            </w:r>
          </w:p>
        </w:tc>
        <w:tc>
          <w:tcPr>
            <w:tcW w:w="832" w:type="dxa"/>
            <w:vMerge w:val="continue"/>
            <w:tcBorders>
              <w:left w:val="nil"/>
              <w:bottom w:val="single" w:color="auto" w:sz="4" w:space="0"/>
              <w:right w:val="single" w:color="auto" w:sz="4" w:space="0"/>
            </w:tcBorders>
            <w:shd w:val="clear" w:color="000000" w:fill="FFFFFF"/>
            <w:vAlign w:val="center"/>
          </w:tcPr>
          <w:p w14:paraId="4AAAF1CA">
            <w:pPr>
              <w:widowControl/>
              <w:jc w:val="center"/>
              <w:rPr>
                <w:rFonts w:ascii="仿宋" w:hAnsi="仿宋" w:eastAsia="仿宋" w:cs="宋体"/>
                <w:b/>
                <w:bCs/>
                <w:color w:val="000000"/>
                <w:kern w:val="0"/>
                <w:sz w:val="15"/>
                <w:szCs w:val="15"/>
              </w:rPr>
            </w:pPr>
          </w:p>
        </w:tc>
      </w:tr>
      <w:tr w14:paraId="21F49E7D">
        <w:tblPrEx>
          <w:tblCellMar>
            <w:top w:w="0" w:type="dxa"/>
            <w:left w:w="108" w:type="dxa"/>
            <w:bottom w:w="0" w:type="dxa"/>
            <w:right w:w="108" w:type="dxa"/>
          </w:tblCellMar>
        </w:tblPrEx>
        <w:trPr>
          <w:trHeight w:val="408" w:hRule="atLeast"/>
          <w:jc w:val="center"/>
        </w:trPr>
        <w:tc>
          <w:tcPr>
            <w:tcW w:w="630" w:type="dxa"/>
            <w:vMerge w:val="restart"/>
            <w:tcBorders>
              <w:top w:val="nil"/>
              <w:left w:val="single" w:color="auto" w:sz="4" w:space="0"/>
              <w:bottom w:val="single" w:color="auto" w:sz="4" w:space="0"/>
              <w:right w:val="single" w:color="auto" w:sz="4" w:space="0"/>
            </w:tcBorders>
            <w:shd w:val="clear" w:color="auto" w:fill="auto"/>
            <w:noWrap/>
            <w:vAlign w:val="center"/>
          </w:tcPr>
          <w:p w14:paraId="4B979C8B">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基本支出</w:t>
            </w:r>
          </w:p>
        </w:tc>
        <w:tc>
          <w:tcPr>
            <w:tcW w:w="2200" w:type="dxa"/>
            <w:tcBorders>
              <w:top w:val="nil"/>
              <w:left w:val="nil"/>
              <w:bottom w:val="single" w:color="auto" w:sz="4" w:space="0"/>
              <w:right w:val="single" w:color="auto" w:sz="4" w:space="0"/>
            </w:tcBorders>
            <w:shd w:val="clear" w:color="000000" w:fill="FFFFFF"/>
            <w:noWrap/>
            <w:vAlign w:val="center"/>
          </w:tcPr>
          <w:p w14:paraId="7ABBC583">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人员经费</w:t>
            </w:r>
          </w:p>
        </w:tc>
        <w:tc>
          <w:tcPr>
            <w:tcW w:w="993" w:type="dxa"/>
            <w:tcBorders>
              <w:top w:val="nil"/>
              <w:left w:val="nil"/>
              <w:bottom w:val="single" w:color="auto" w:sz="4" w:space="0"/>
              <w:right w:val="single" w:color="auto" w:sz="4" w:space="0"/>
            </w:tcBorders>
            <w:shd w:val="clear" w:color="000000" w:fill="FFFFFF"/>
            <w:noWrap/>
            <w:vAlign w:val="center"/>
          </w:tcPr>
          <w:p w14:paraId="320CE5B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45,130,569.49</w:t>
            </w:r>
          </w:p>
        </w:tc>
        <w:tc>
          <w:tcPr>
            <w:tcW w:w="1003" w:type="dxa"/>
            <w:tcBorders>
              <w:top w:val="nil"/>
              <w:left w:val="nil"/>
              <w:bottom w:val="single" w:color="auto" w:sz="4" w:space="0"/>
              <w:right w:val="single" w:color="auto" w:sz="4" w:space="0"/>
            </w:tcBorders>
            <w:shd w:val="clear" w:color="000000" w:fill="FFFFFF"/>
            <w:noWrap/>
            <w:vAlign w:val="center"/>
          </w:tcPr>
          <w:p w14:paraId="00F2B44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45,130,569.49</w:t>
            </w:r>
          </w:p>
        </w:tc>
        <w:tc>
          <w:tcPr>
            <w:tcW w:w="992" w:type="dxa"/>
            <w:tcBorders>
              <w:top w:val="nil"/>
              <w:left w:val="nil"/>
              <w:bottom w:val="single" w:color="auto" w:sz="4" w:space="0"/>
              <w:right w:val="single" w:color="auto" w:sz="4" w:space="0"/>
            </w:tcBorders>
            <w:shd w:val="clear" w:color="000000" w:fill="FFFFFF"/>
            <w:vAlign w:val="center"/>
          </w:tcPr>
          <w:p w14:paraId="2519D662">
            <w:pPr>
              <w:widowControl/>
              <w:jc w:val="right"/>
              <w:rPr>
                <w:rFonts w:ascii="Times New Roman" w:hAnsi="Times New Roman" w:eastAsia="等线" w:cs="Times New Roman"/>
                <w:color w:val="000000"/>
                <w:kern w:val="0"/>
                <w:sz w:val="20"/>
                <w:szCs w:val="20"/>
              </w:rPr>
            </w:pPr>
          </w:p>
        </w:tc>
        <w:tc>
          <w:tcPr>
            <w:tcW w:w="935" w:type="dxa"/>
            <w:tcBorders>
              <w:top w:val="nil"/>
              <w:left w:val="nil"/>
              <w:bottom w:val="single" w:color="auto" w:sz="4" w:space="0"/>
              <w:right w:val="single" w:color="auto" w:sz="4" w:space="0"/>
            </w:tcBorders>
            <w:shd w:val="clear" w:color="000000" w:fill="FFFFFF"/>
            <w:noWrap/>
            <w:vAlign w:val="center"/>
          </w:tcPr>
          <w:p w14:paraId="211814C6">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09D29F1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37,674.12</w:t>
            </w:r>
          </w:p>
        </w:tc>
        <w:tc>
          <w:tcPr>
            <w:tcW w:w="1003" w:type="dxa"/>
            <w:tcBorders>
              <w:top w:val="nil"/>
              <w:left w:val="nil"/>
              <w:bottom w:val="single" w:color="auto" w:sz="4" w:space="0"/>
              <w:right w:val="single" w:color="auto" w:sz="4" w:space="0"/>
            </w:tcBorders>
            <w:shd w:val="clear" w:color="000000" w:fill="FFFFFF"/>
            <w:noWrap/>
            <w:vAlign w:val="center"/>
          </w:tcPr>
          <w:p w14:paraId="49DB121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42,976,692.37</w:t>
            </w:r>
          </w:p>
        </w:tc>
        <w:tc>
          <w:tcPr>
            <w:tcW w:w="1003" w:type="dxa"/>
            <w:tcBorders>
              <w:top w:val="nil"/>
              <w:left w:val="nil"/>
              <w:bottom w:val="single" w:color="auto" w:sz="4" w:space="0"/>
              <w:right w:val="single" w:color="auto" w:sz="4" w:space="0"/>
            </w:tcBorders>
            <w:shd w:val="clear" w:color="000000" w:fill="FFFFFF"/>
            <w:noWrap/>
            <w:vAlign w:val="center"/>
          </w:tcPr>
          <w:p w14:paraId="36AEC4A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42,976,692.37</w:t>
            </w:r>
          </w:p>
        </w:tc>
        <w:tc>
          <w:tcPr>
            <w:tcW w:w="935" w:type="dxa"/>
            <w:tcBorders>
              <w:top w:val="nil"/>
              <w:left w:val="nil"/>
              <w:bottom w:val="single" w:color="auto" w:sz="4" w:space="0"/>
              <w:right w:val="single" w:color="auto" w:sz="4" w:space="0"/>
            </w:tcBorders>
            <w:shd w:val="clear" w:color="000000" w:fill="FFFFFF"/>
            <w:vAlign w:val="center"/>
          </w:tcPr>
          <w:p w14:paraId="315FDCDE">
            <w:pPr>
              <w:widowControl/>
              <w:jc w:val="right"/>
              <w:rPr>
                <w:rFonts w:ascii="Times New Roman" w:hAnsi="Times New Roman" w:eastAsia="等线" w:cs="Times New Roman"/>
                <w:color w:val="000000"/>
                <w:kern w:val="0"/>
                <w:sz w:val="20"/>
                <w:szCs w:val="20"/>
              </w:rPr>
            </w:pPr>
          </w:p>
        </w:tc>
        <w:tc>
          <w:tcPr>
            <w:tcW w:w="1032" w:type="dxa"/>
            <w:tcBorders>
              <w:top w:val="nil"/>
              <w:left w:val="nil"/>
              <w:bottom w:val="single" w:color="auto" w:sz="4" w:space="0"/>
              <w:right w:val="single" w:color="auto" w:sz="4" w:space="0"/>
            </w:tcBorders>
            <w:shd w:val="clear" w:color="000000" w:fill="FFFFFF"/>
            <w:noWrap/>
            <w:vAlign w:val="center"/>
          </w:tcPr>
          <w:p w14:paraId="3316BE4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43,001,516.48</w:t>
            </w:r>
          </w:p>
        </w:tc>
        <w:tc>
          <w:tcPr>
            <w:tcW w:w="1134" w:type="dxa"/>
            <w:tcBorders>
              <w:top w:val="nil"/>
              <w:left w:val="nil"/>
              <w:bottom w:val="single" w:color="auto" w:sz="4" w:space="0"/>
              <w:right w:val="single" w:color="auto" w:sz="4" w:space="0"/>
            </w:tcBorders>
            <w:shd w:val="clear" w:color="000000" w:fill="FFFFFF"/>
            <w:noWrap/>
            <w:vAlign w:val="center"/>
          </w:tcPr>
          <w:p w14:paraId="3156549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43,001,516.48</w:t>
            </w:r>
          </w:p>
        </w:tc>
        <w:tc>
          <w:tcPr>
            <w:tcW w:w="935" w:type="dxa"/>
            <w:tcBorders>
              <w:top w:val="nil"/>
              <w:left w:val="nil"/>
              <w:bottom w:val="single" w:color="auto" w:sz="4" w:space="0"/>
              <w:right w:val="single" w:color="auto" w:sz="4" w:space="0"/>
            </w:tcBorders>
            <w:shd w:val="clear" w:color="000000" w:fill="FFFFFF"/>
            <w:vAlign w:val="center"/>
          </w:tcPr>
          <w:p w14:paraId="545F55BD">
            <w:pPr>
              <w:widowControl/>
              <w:jc w:val="right"/>
              <w:rPr>
                <w:rFonts w:ascii="Times New Roman" w:hAnsi="Times New Roman" w:eastAsia="等线" w:cs="Times New Roman"/>
                <w:color w:val="000000"/>
                <w:kern w:val="0"/>
                <w:sz w:val="20"/>
                <w:szCs w:val="20"/>
              </w:rPr>
            </w:pPr>
          </w:p>
        </w:tc>
        <w:tc>
          <w:tcPr>
            <w:tcW w:w="832" w:type="dxa"/>
            <w:tcBorders>
              <w:top w:val="nil"/>
              <w:left w:val="nil"/>
              <w:bottom w:val="single" w:color="auto" w:sz="4" w:space="0"/>
              <w:right w:val="single" w:color="auto" w:sz="4" w:space="0"/>
            </w:tcBorders>
            <w:shd w:val="clear" w:color="000000" w:fill="FFFFFF"/>
            <w:noWrap/>
            <w:vAlign w:val="center"/>
          </w:tcPr>
          <w:p w14:paraId="504D4A3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12,850.01</w:t>
            </w:r>
          </w:p>
        </w:tc>
      </w:tr>
      <w:tr w14:paraId="47FB539A">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ADF155A">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noWrap/>
            <w:vAlign w:val="center"/>
          </w:tcPr>
          <w:p w14:paraId="010CCAC3">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公用经费</w:t>
            </w:r>
          </w:p>
        </w:tc>
        <w:tc>
          <w:tcPr>
            <w:tcW w:w="993" w:type="dxa"/>
            <w:tcBorders>
              <w:top w:val="nil"/>
              <w:left w:val="nil"/>
              <w:bottom w:val="single" w:color="auto" w:sz="4" w:space="0"/>
              <w:right w:val="single" w:color="auto" w:sz="4" w:space="0"/>
            </w:tcBorders>
            <w:shd w:val="clear" w:color="000000" w:fill="FFFFFF"/>
            <w:noWrap/>
            <w:vAlign w:val="center"/>
          </w:tcPr>
          <w:p w14:paraId="199B6FE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3,030,949.60</w:t>
            </w:r>
          </w:p>
        </w:tc>
        <w:tc>
          <w:tcPr>
            <w:tcW w:w="1003" w:type="dxa"/>
            <w:tcBorders>
              <w:top w:val="nil"/>
              <w:left w:val="nil"/>
              <w:bottom w:val="single" w:color="auto" w:sz="4" w:space="0"/>
              <w:right w:val="single" w:color="auto" w:sz="4" w:space="0"/>
            </w:tcBorders>
            <w:shd w:val="clear" w:color="000000" w:fill="FFFFFF"/>
            <w:noWrap/>
            <w:vAlign w:val="center"/>
          </w:tcPr>
          <w:p w14:paraId="1495542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3,030,949.60</w:t>
            </w:r>
          </w:p>
        </w:tc>
        <w:tc>
          <w:tcPr>
            <w:tcW w:w="992" w:type="dxa"/>
            <w:tcBorders>
              <w:top w:val="nil"/>
              <w:left w:val="nil"/>
              <w:bottom w:val="single" w:color="auto" w:sz="4" w:space="0"/>
              <w:right w:val="single" w:color="auto" w:sz="4" w:space="0"/>
            </w:tcBorders>
            <w:shd w:val="clear" w:color="000000" w:fill="FFFFFF"/>
            <w:vAlign w:val="center"/>
          </w:tcPr>
          <w:p w14:paraId="527E8264">
            <w:pPr>
              <w:widowControl/>
              <w:jc w:val="right"/>
              <w:rPr>
                <w:rFonts w:ascii="Times New Roman" w:hAnsi="Times New Roman" w:eastAsia="等线" w:cs="Times New Roman"/>
                <w:color w:val="000000"/>
                <w:kern w:val="0"/>
                <w:sz w:val="20"/>
                <w:szCs w:val="20"/>
              </w:rPr>
            </w:pPr>
          </w:p>
        </w:tc>
        <w:tc>
          <w:tcPr>
            <w:tcW w:w="935" w:type="dxa"/>
            <w:tcBorders>
              <w:top w:val="nil"/>
              <w:left w:val="nil"/>
              <w:bottom w:val="single" w:color="auto" w:sz="4" w:space="0"/>
              <w:right w:val="single" w:color="auto" w:sz="4" w:space="0"/>
            </w:tcBorders>
            <w:shd w:val="clear" w:color="000000" w:fill="FFFFFF"/>
            <w:noWrap/>
            <w:vAlign w:val="center"/>
          </w:tcPr>
          <w:p w14:paraId="5F4C4246">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696DC02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930.78</w:t>
            </w:r>
          </w:p>
        </w:tc>
        <w:tc>
          <w:tcPr>
            <w:tcW w:w="1003" w:type="dxa"/>
            <w:tcBorders>
              <w:top w:val="nil"/>
              <w:left w:val="nil"/>
              <w:bottom w:val="single" w:color="auto" w:sz="4" w:space="0"/>
              <w:right w:val="single" w:color="auto" w:sz="4" w:space="0"/>
            </w:tcBorders>
            <w:shd w:val="clear" w:color="000000" w:fill="FFFFFF"/>
            <w:noWrap/>
            <w:vAlign w:val="center"/>
          </w:tcPr>
          <w:p w14:paraId="62A8A06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3,518,724.15</w:t>
            </w:r>
          </w:p>
        </w:tc>
        <w:tc>
          <w:tcPr>
            <w:tcW w:w="1003" w:type="dxa"/>
            <w:tcBorders>
              <w:top w:val="nil"/>
              <w:left w:val="nil"/>
              <w:bottom w:val="single" w:color="auto" w:sz="4" w:space="0"/>
              <w:right w:val="single" w:color="auto" w:sz="4" w:space="0"/>
            </w:tcBorders>
            <w:shd w:val="clear" w:color="000000" w:fill="FFFFFF"/>
            <w:noWrap/>
            <w:vAlign w:val="center"/>
          </w:tcPr>
          <w:p w14:paraId="7DF4D4E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3,517,204.60</w:t>
            </w:r>
          </w:p>
        </w:tc>
        <w:tc>
          <w:tcPr>
            <w:tcW w:w="935" w:type="dxa"/>
            <w:tcBorders>
              <w:top w:val="nil"/>
              <w:left w:val="nil"/>
              <w:bottom w:val="single" w:color="auto" w:sz="4" w:space="0"/>
              <w:right w:val="single" w:color="auto" w:sz="4" w:space="0"/>
            </w:tcBorders>
            <w:shd w:val="clear" w:color="000000" w:fill="FFFFFF"/>
            <w:vAlign w:val="center"/>
          </w:tcPr>
          <w:p w14:paraId="2CA03D34">
            <w:pPr>
              <w:widowControl/>
              <w:jc w:val="right"/>
              <w:rPr>
                <w:rFonts w:ascii="Times New Roman" w:hAnsi="Times New Roman" w:eastAsia="等线" w:cs="Times New Roman"/>
                <w:color w:val="000000"/>
                <w:kern w:val="0"/>
                <w:sz w:val="20"/>
                <w:szCs w:val="20"/>
              </w:rPr>
            </w:pPr>
          </w:p>
        </w:tc>
        <w:tc>
          <w:tcPr>
            <w:tcW w:w="1032" w:type="dxa"/>
            <w:tcBorders>
              <w:top w:val="nil"/>
              <w:left w:val="nil"/>
              <w:bottom w:val="single" w:color="auto" w:sz="4" w:space="0"/>
              <w:right w:val="single" w:color="auto" w:sz="4" w:space="0"/>
            </w:tcBorders>
            <w:shd w:val="clear" w:color="000000" w:fill="FFFFFF"/>
            <w:noWrap/>
            <w:vAlign w:val="center"/>
          </w:tcPr>
          <w:p w14:paraId="71A7E0A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3,518,135.38</w:t>
            </w:r>
          </w:p>
        </w:tc>
        <w:tc>
          <w:tcPr>
            <w:tcW w:w="1134" w:type="dxa"/>
            <w:tcBorders>
              <w:top w:val="nil"/>
              <w:left w:val="nil"/>
              <w:bottom w:val="single" w:color="auto" w:sz="4" w:space="0"/>
              <w:right w:val="single" w:color="auto" w:sz="4" w:space="0"/>
            </w:tcBorders>
            <w:shd w:val="clear" w:color="000000" w:fill="FFFFFF"/>
            <w:noWrap/>
            <w:vAlign w:val="center"/>
          </w:tcPr>
          <w:p w14:paraId="62E5316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3,517,204.60</w:t>
            </w:r>
          </w:p>
        </w:tc>
        <w:tc>
          <w:tcPr>
            <w:tcW w:w="935" w:type="dxa"/>
            <w:tcBorders>
              <w:top w:val="nil"/>
              <w:left w:val="nil"/>
              <w:bottom w:val="single" w:color="auto" w:sz="4" w:space="0"/>
              <w:right w:val="single" w:color="auto" w:sz="4" w:space="0"/>
            </w:tcBorders>
            <w:shd w:val="clear" w:color="000000" w:fill="FFFFFF"/>
            <w:vAlign w:val="center"/>
          </w:tcPr>
          <w:p w14:paraId="62537368">
            <w:pPr>
              <w:widowControl/>
              <w:jc w:val="right"/>
              <w:rPr>
                <w:rFonts w:ascii="Times New Roman" w:hAnsi="Times New Roman" w:eastAsia="等线" w:cs="Times New Roman"/>
                <w:color w:val="000000"/>
                <w:kern w:val="0"/>
                <w:sz w:val="20"/>
                <w:szCs w:val="20"/>
              </w:rPr>
            </w:pPr>
          </w:p>
        </w:tc>
        <w:tc>
          <w:tcPr>
            <w:tcW w:w="832" w:type="dxa"/>
            <w:tcBorders>
              <w:top w:val="nil"/>
              <w:left w:val="nil"/>
              <w:bottom w:val="single" w:color="auto" w:sz="4" w:space="0"/>
              <w:right w:val="single" w:color="auto" w:sz="4" w:space="0"/>
            </w:tcBorders>
            <w:shd w:val="clear" w:color="000000" w:fill="FFFFFF"/>
            <w:noWrap/>
            <w:vAlign w:val="center"/>
          </w:tcPr>
          <w:p w14:paraId="3313ACB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1,519.55</w:t>
            </w:r>
          </w:p>
        </w:tc>
      </w:tr>
      <w:tr w14:paraId="2F645BAD">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6A239B41">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67183048">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基本支出合计</w:t>
            </w:r>
          </w:p>
        </w:tc>
        <w:tc>
          <w:tcPr>
            <w:tcW w:w="993" w:type="dxa"/>
            <w:tcBorders>
              <w:top w:val="nil"/>
              <w:left w:val="nil"/>
              <w:bottom w:val="single" w:color="auto" w:sz="4" w:space="0"/>
              <w:right w:val="single" w:color="auto" w:sz="4" w:space="0"/>
            </w:tcBorders>
            <w:shd w:val="clear" w:color="000000" w:fill="FFFFFF"/>
            <w:noWrap/>
            <w:vAlign w:val="center"/>
          </w:tcPr>
          <w:p w14:paraId="6ACAAF7C">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48,161,519.09</w:t>
            </w:r>
          </w:p>
        </w:tc>
        <w:tc>
          <w:tcPr>
            <w:tcW w:w="1003" w:type="dxa"/>
            <w:tcBorders>
              <w:top w:val="nil"/>
              <w:left w:val="nil"/>
              <w:bottom w:val="single" w:color="auto" w:sz="4" w:space="0"/>
              <w:right w:val="single" w:color="auto" w:sz="4" w:space="0"/>
            </w:tcBorders>
            <w:shd w:val="clear" w:color="000000" w:fill="FFFFFF"/>
            <w:noWrap/>
            <w:vAlign w:val="center"/>
          </w:tcPr>
          <w:p w14:paraId="07DB509B">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48,161,519.09</w:t>
            </w:r>
          </w:p>
        </w:tc>
        <w:tc>
          <w:tcPr>
            <w:tcW w:w="992" w:type="dxa"/>
            <w:tcBorders>
              <w:top w:val="nil"/>
              <w:left w:val="nil"/>
              <w:bottom w:val="single" w:color="auto" w:sz="4" w:space="0"/>
              <w:right w:val="single" w:color="auto" w:sz="4" w:space="0"/>
            </w:tcBorders>
            <w:shd w:val="clear" w:color="000000" w:fill="FFFFFF"/>
            <w:noWrap/>
            <w:vAlign w:val="center"/>
          </w:tcPr>
          <w:p w14:paraId="20FAE2F6">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0.00</w:t>
            </w:r>
          </w:p>
        </w:tc>
        <w:tc>
          <w:tcPr>
            <w:tcW w:w="935" w:type="dxa"/>
            <w:tcBorders>
              <w:top w:val="nil"/>
              <w:left w:val="nil"/>
              <w:bottom w:val="single" w:color="auto" w:sz="4" w:space="0"/>
              <w:right w:val="single" w:color="auto" w:sz="4" w:space="0"/>
            </w:tcBorders>
            <w:shd w:val="clear" w:color="000000" w:fill="FFFFFF"/>
            <w:noWrap/>
            <w:vAlign w:val="center"/>
          </w:tcPr>
          <w:p w14:paraId="7BC3EE21">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0.00</w:t>
            </w:r>
          </w:p>
        </w:tc>
        <w:tc>
          <w:tcPr>
            <w:tcW w:w="1050" w:type="dxa"/>
            <w:tcBorders>
              <w:top w:val="nil"/>
              <w:left w:val="nil"/>
              <w:bottom w:val="single" w:color="auto" w:sz="4" w:space="0"/>
              <w:right w:val="single" w:color="auto" w:sz="4" w:space="0"/>
            </w:tcBorders>
            <w:shd w:val="clear" w:color="000000" w:fill="FFFFFF"/>
            <w:noWrap/>
            <w:vAlign w:val="center"/>
          </w:tcPr>
          <w:p w14:paraId="2D37399D">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38,604.90</w:t>
            </w:r>
          </w:p>
        </w:tc>
        <w:tc>
          <w:tcPr>
            <w:tcW w:w="1003" w:type="dxa"/>
            <w:tcBorders>
              <w:top w:val="nil"/>
              <w:left w:val="nil"/>
              <w:bottom w:val="single" w:color="auto" w:sz="4" w:space="0"/>
              <w:right w:val="single" w:color="auto" w:sz="4" w:space="0"/>
            </w:tcBorders>
            <w:shd w:val="clear" w:color="000000" w:fill="FFFFFF"/>
            <w:noWrap/>
            <w:vAlign w:val="center"/>
          </w:tcPr>
          <w:p w14:paraId="4C2042B6">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46,495,416.52</w:t>
            </w:r>
          </w:p>
        </w:tc>
        <w:tc>
          <w:tcPr>
            <w:tcW w:w="1003" w:type="dxa"/>
            <w:tcBorders>
              <w:top w:val="nil"/>
              <w:left w:val="nil"/>
              <w:bottom w:val="single" w:color="auto" w:sz="4" w:space="0"/>
              <w:right w:val="single" w:color="auto" w:sz="4" w:space="0"/>
            </w:tcBorders>
            <w:shd w:val="clear" w:color="000000" w:fill="FFFFFF"/>
            <w:noWrap/>
            <w:vAlign w:val="center"/>
          </w:tcPr>
          <w:p w14:paraId="20F9667E">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46,493,896.97</w:t>
            </w:r>
          </w:p>
        </w:tc>
        <w:tc>
          <w:tcPr>
            <w:tcW w:w="935" w:type="dxa"/>
            <w:tcBorders>
              <w:top w:val="nil"/>
              <w:left w:val="nil"/>
              <w:bottom w:val="single" w:color="auto" w:sz="4" w:space="0"/>
              <w:right w:val="single" w:color="auto" w:sz="4" w:space="0"/>
            </w:tcBorders>
            <w:shd w:val="clear" w:color="000000" w:fill="FFFFFF"/>
            <w:noWrap/>
            <w:vAlign w:val="center"/>
          </w:tcPr>
          <w:p w14:paraId="30F4D1D3">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0.00</w:t>
            </w:r>
          </w:p>
        </w:tc>
        <w:tc>
          <w:tcPr>
            <w:tcW w:w="1032" w:type="dxa"/>
            <w:tcBorders>
              <w:top w:val="nil"/>
              <w:left w:val="nil"/>
              <w:bottom w:val="single" w:color="auto" w:sz="4" w:space="0"/>
              <w:right w:val="single" w:color="auto" w:sz="4" w:space="0"/>
            </w:tcBorders>
            <w:shd w:val="clear" w:color="000000" w:fill="FFFFFF"/>
            <w:noWrap/>
            <w:vAlign w:val="center"/>
          </w:tcPr>
          <w:p w14:paraId="6E2F5AB9">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46,519,651.86</w:t>
            </w:r>
          </w:p>
        </w:tc>
        <w:tc>
          <w:tcPr>
            <w:tcW w:w="1134" w:type="dxa"/>
            <w:tcBorders>
              <w:top w:val="nil"/>
              <w:left w:val="nil"/>
              <w:bottom w:val="single" w:color="auto" w:sz="4" w:space="0"/>
              <w:right w:val="single" w:color="auto" w:sz="4" w:space="0"/>
            </w:tcBorders>
            <w:shd w:val="clear" w:color="000000" w:fill="FFFFFF"/>
            <w:noWrap/>
            <w:vAlign w:val="center"/>
          </w:tcPr>
          <w:p w14:paraId="6FBD48F2">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46,518,721.08</w:t>
            </w:r>
          </w:p>
        </w:tc>
        <w:tc>
          <w:tcPr>
            <w:tcW w:w="935" w:type="dxa"/>
            <w:tcBorders>
              <w:top w:val="nil"/>
              <w:left w:val="nil"/>
              <w:bottom w:val="single" w:color="auto" w:sz="4" w:space="0"/>
              <w:right w:val="single" w:color="auto" w:sz="4" w:space="0"/>
            </w:tcBorders>
            <w:shd w:val="clear" w:color="000000" w:fill="FFFFFF"/>
            <w:noWrap/>
            <w:vAlign w:val="center"/>
          </w:tcPr>
          <w:p w14:paraId="56C3EAA7">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0.00</w:t>
            </w:r>
          </w:p>
        </w:tc>
        <w:tc>
          <w:tcPr>
            <w:tcW w:w="832" w:type="dxa"/>
            <w:tcBorders>
              <w:top w:val="nil"/>
              <w:left w:val="nil"/>
              <w:bottom w:val="single" w:color="auto" w:sz="4" w:space="0"/>
              <w:right w:val="single" w:color="auto" w:sz="4" w:space="0"/>
            </w:tcBorders>
            <w:shd w:val="clear" w:color="000000" w:fill="FFFFFF"/>
            <w:noWrap/>
            <w:vAlign w:val="center"/>
          </w:tcPr>
          <w:p w14:paraId="1929472F">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14,369.56</w:t>
            </w:r>
          </w:p>
        </w:tc>
      </w:tr>
      <w:tr w14:paraId="36B6D533">
        <w:tblPrEx>
          <w:tblCellMar>
            <w:top w:w="0" w:type="dxa"/>
            <w:left w:w="108" w:type="dxa"/>
            <w:bottom w:w="0" w:type="dxa"/>
            <w:right w:w="108" w:type="dxa"/>
          </w:tblCellMar>
        </w:tblPrEx>
        <w:trPr>
          <w:trHeight w:val="408" w:hRule="atLeast"/>
          <w:jc w:val="center"/>
        </w:trPr>
        <w:tc>
          <w:tcPr>
            <w:tcW w:w="630" w:type="dxa"/>
            <w:vMerge w:val="restart"/>
            <w:tcBorders>
              <w:top w:val="nil"/>
              <w:left w:val="single" w:color="auto" w:sz="4" w:space="0"/>
              <w:bottom w:val="single" w:color="auto" w:sz="4" w:space="0"/>
              <w:right w:val="single" w:color="auto" w:sz="4" w:space="0"/>
            </w:tcBorders>
            <w:shd w:val="clear" w:color="auto" w:fill="auto"/>
            <w:noWrap/>
            <w:vAlign w:val="center"/>
          </w:tcPr>
          <w:p w14:paraId="64EA7BAD">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项目支出</w:t>
            </w:r>
          </w:p>
        </w:tc>
        <w:tc>
          <w:tcPr>
            <w:tcW w:w="2200" w:type="dxa"/>
            <w:tcBorders>
              <w:top w:val="nil"/>
              <w:left w:val="nil"/>
              <w:bottom w:val="single" w:color="auto" w:sz="4" w:space="0"/>
              <w:right w:val="single" w:color="auto" w:sz="4" w:space="0"/>
            </w:tcBorders>
            <w:shd w:val="clear" w:color="000000" w:fill="FFFFFF"/>
            <w:vAlign w:val="center"/>
          </w:tcPr>
          <w:p w14:paraId="279393E3">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昆财教〔2023〕7号2023年城乡义务教育补助经费（公用经费）中央直达资金</w:t>
            </w:r>
          </w:p>
        </w:tc>
        <w:tc>
          <w:tcPr>
            <w:tcW w:w="993" w:type="dxa"/>
            <w:tcBorders>
              <w:top w:val="nil"/>
              <w:left w:val="nil"/>
              <w:bottom w:val="single" w:color="auto" w:sz="4" w:space="0"/>
              <w:right w:val="single" w:color="auto" w:sz="4" w:space="0"/>
            </w:tcBorders>
            <w:shd w:val="clear" w:color="000000" w:fill="FFFFFF"/>
            <w:noWrap/>
            <w:vAlign w:val="center"/>
          </w:tcPr>
          <w:p w14:paraId="7A900BC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BD5C1A4">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0F6241DE">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4FF370DE">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3EB0A17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409D508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1003" w:type="dxa"/>
            <w:tcBorders>
              <w:top w:val="nil"/>
              <w:left w:val="nil"/>
              <w:bottom w:val="single" w:color="auto" w:sz="4" w:space="0"/>
              <w:right w:val="single" w:color="auto" w:sz="4" w:space="0"/>
            </w:tcBorders>
            <w:shd w:val="clear" w:color="000000" w:fill="FFFFFF"/>
            <w:noWrap/>
            <w:vAlign w:val="center"/>
          </w:tcPr>
          <w:p w14:paraId="05DB21F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935" w:type="dxa"/>
            <w:tcBorders>
              <w:top w:val="nil"/>
              <w:left w:val="nil"/>
              <w:bottom w:val="single" w:color="auto" w:sz="4" w:space="0"/>
              <w:right w:val="single" w:color="auto" w:sz="4" w:space="0"/>
            </w:tcBorders>
            <w:shd w:val="clear" w:color="000000" w:fill="FFFFFF"/>
            <w:noWrap/>
            <w:vAlign w:val="center"/>
          </w:tcPr>
          <w:p w14:paraId="72E209B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48F8DB7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1134" w:type="dxa"/>
            <w:tcBorders>
              <w:top w:val="nil"/>
              <w:left w:val="nil"/>
              <w:bottom w:val="single" w:color="auto" w:sz="4" w:space="0"/>
              <w:right w:val="single" w:color="auto" w:sz="4" w:space="0"/>
            </w:tcBorders>
            <w:shd w:val="clear" w:color="000000" w:fill="FFFFFF"/>
            <w:noWrap/>
            <w:vAlign w:val="center"/>
          </w:tcPr>
          <w:p w14:paraId="6F23CF7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935" w:type="dxa"/>
            <w:tcBorders>
              <w:top w:val="nil"/>
              <w:left w:val="nil"/>
              <w:bottom w:val="single" w:color="auto" w:sz="4" w:space="0"/>
              <w:right w:val="single" w:color="auto" w:sz="4" w:space="0"/>
            </w:tcBorders>
            <w:shd w:val="clear" w:color="000000" w:fill="FFFFFF"/>
            <w:noWrap/>
            <w:vAlign w:val="center"/>
          </w:tcPr>
          <w:p w14:paraId="50C307E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7D8A555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6FCD25F6">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2CF8CBC9">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71B34251">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昆财教〔2023〕7号2023年义务教育家庭经济困难学生生活补助中央资金</w:t>
            </w:r>
          </w:p>
        </w:tc>
        <w:tc>
          <w:tcPr>
            <w:tcW w:w="993" w:type="dxa"/>
            <w:tcBorders>
              <w:top w:val="nil"/>
              <w:left w:val="nil"/>
              <w:bottom w:val="single" w:color="auto" w:sz="4" w:space="0"/>
              <w:right w:val="single" w:color="auto" w:sz="4" w:space="0"/>
            </w:tcBorders>
            <w:shd w:val="clear" w:color="000000" w:fill="FFFFFF"/>
            <w:noWrap/>
            <w:vAlign w:val="center"/>
          </w:tcPr>
          <w:p w14:paraId="78F256F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16DCF9C0">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75C77D15">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0D06A76">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7D450C0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600D2E1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1003" w:type="dxa"/>
            <w:tcBorders>
              <w:top w:val="nil"/>
              <w:left w:val="nil"/>
              <w:bottom w:val="single" w:color="auto" w:sz="4" w:space="0"/>
              <w:right w:val="single" w:color="auto" w:sz="4" w:space="0"/>
            </w:tcBorders>
            <w:shd w:val="clear" w:color="000000" w:fill="FFFFFF"/>
            <w:noWrap/>
            <w:vAlign w:val="center"/>
          </w:tcPr>
          <w:p w14:paraId="6921190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935" w:type="dxa"/>
            <w:tcBorders>
              <w:top w:val="nil"/>
              <w:left w:val="nil"/>
              <w:bottom w:val="single" w:color="auto" w:sz="4" w:space="0"/>
              <w:right w:val="single" w:color="auto" w:sz="4" w:space="0"/>
            </w:tcBorders>
            <w:shd w:val="clear" w:color="000000" w:fill="FFFFFF"/>
            <w:noWrap/>
            <w:vAlign w:val="center"/>
          </w:tcPr>
          <w:p w14:paraId="02A698B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1F403F4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1134" w:type="dxa"/>
            <w:tcBorders>
              <w:top w:val="nil"/>
              <w:left w:val="nil"/>
              <w:bottom w:val="single" w:color="auto" w:sz="4" w:space="0"/>
              <w:right w:val="single" w:color="auto" w:sz="4" w:space="0"/>
            </w:tcBorders>
            <w:shd w:val="clear" w:color="000000" w:fill="FFFFFF"/>
            <w:noWrap/>
            <w:vAlign w:val="center"/>
          </w:tcPr>
          <w:p w14:paraId="0873502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935" w:type="dxa"/>
            <w:tcBorders>
              <w:top w:val="nil"/>
              <w:left w:val="nil"/>
              <w:bottom w:val="single" w:color="auto" w:sz="4" w:space="0"/>
              <w:right w:val="single" w:color="auto" w:sz="4" w:space="0"/>
            </w:tcBorders>
            <w:shd w:val="clear" w:color="000000" w:fill="FFFFFF"/>
            <w:noWrap/>
            <w:vAlign w:val="center"/>
          </w:tcPr>
          <w:p w14:paraId="49BFEF0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2732B0E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0BC6C70A">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7AAE2889">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572EBF67">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昆财教〔2022〕104号2022年普通高中脱贫家庭经济困难学生生活补助省级补助资金</w:t>
            </w:r>
          </w:p>
        </w:tc>
        <w:tc>
          <w:tcPr>
            <w:tcW w:w="993" w:type="dxa"/>
            <w:tcBorders>
              <w:top w:val="nil"/>
              <w:left w:val="nil"/>
              <w:bottom w:val="single" w:color="auto" w:sz="4" w:space="0"/>
              <w:right w:val="single" w:color="auto" w:sz="4" w:space="0"/>
            </w:tcBorders>
            <w:shd w:val="clear" w:color="000000" w:fill="FFFFFF"/>
            <w:noWrap/>
            <w:vAlign w:val="center"/>
          </w:tcPr>
          <w:p w14:paraId="75F2707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1003" w:type="dxa"/>
            <w:tcBorders>
              <w:top w:val="nil"/>
              <w:left w:val="nil"/>
              <w:bottom w:val="single" w:color="auto" w:sz="4" w:space="0"/>
              <w:right w:val="single" w:color="auto" w:sz="4" w:space="0"/>
            </w:tcBorders>
            <w:shd w:val="clear" w:color="000000" w:fill="FFFFFF"/>
            <w:noWrap/>
            <w:vAlign w:val="center"/>
          </w:tcPr>
          <w:p w14:paraId="0D57E97D">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76C9615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935" w:type="dxa"/>
            <w:tcBorders>
              <w:top w:val="nil"/>
              <w:left w:val="nil"/>
              <w:bottom w:val="single" w:color="auto" w:sz="4" w:space="0"/>
              <w:right w:val="single" w:color="auto" w:sz="4" w:space="0"/>
            </w:tcBorders>
            <w:shd w:val="clear" w:color="000000" w:fill="FFFFFF"/>
            <w:noWrap/>
            <w:vAlign w:val="center"/>
          </w:tcPr>
          <w:p w14:paraId="78991B1B">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4D6E838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062173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1003" w:type="dxa"/>
            <w:tcBorders>
              <w:top w:val="nil"/>
              <w:left w:val="nil"/>
              <w:bottom w:val="single" w:color="auto" w:sz="4" w:space="0"/>
              <w:right w:val="single" w:color="auto" w:sz="4" w:space="0"/>
            </w:tcBorders>
            <w:shd w:val="clear" w:color="000000" w:fill="FFFFFF"/>
            <w:noWrap/>
            <w:vAlign w:val="center"/>
          </w:tcPr>
          <w:p w14:paraId="5A2D1D9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935" w:type="dxa"/>
            <w:tcBorders>
              <w:top w:val="nil"/>
              <w:left w:val="nil"/>
              <w:bottom w:val="single" w:color="auto" w:sz="4" w:space="0"/>
              <w:right w:val="single" w:color="auto" w:sz="4" w:space="0"/>
            </w:tcBorders>
            <w:shd w:val="clear" w:color="000000" w:fill="FFFFFF"/>
            <w:noWrap/>
            <w:vAlign w:val="center"/>
          </w:tcPr>
          <w:p w14:paraId="4F9CCEE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5F1819C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1134" w:type="dxa"/>
            <w:tcBorders>
              <w:top w:val="nil"/>
              <w:left w:val="nil"/>
              <w:bottom w:val="single" w:color="auto" w:sz="4" w:space="0"/>
              <w:right w:val="single" w:color="auto" w:sz="4" w:space="0"/>
            </w:tcBorders>
            <w:shd w:val="clear" w:color="000000" w:fill="FFFFFF"/>
            <w:noWrap/>
            <w:vAlign w:val="center"/>
          </w:tcPr>
          <w:p w14:paraId="4B0C0C6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935" w:type="dxa"/>
            <w:tcBorders>
              <w:top w:val="nil"/>
              <w:left w:val="nil"/>
              <w:bottom w:val="single" w:color="auto" w:sz="4" w:space="0"/>
              <w:right w:val="single" w:color="auto" w:sz="4" w:space="0"/>
            </w:tcBorders>
            <w:shd w:val="clear" w:color="000000" w:fill="FFFFFF"/>
            <w:noWrap/>
            <w:vAlign w:val="center"/>
          </w:tcPr>
          <w:p w14:paraId="3A63F00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5049A88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628CBC08">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4C4B3C36">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11534EC7">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昆财教〔2023〕62号义务教育家庭经济困难学生生活补助资金</w:t>
            </w:r>
          </w:p>
        </w:tc>
        <w:tc>
          <w:tcPr>
            <w:tcW w:w="993" w:type="dxa"/>
            <w:tcBorders>
              <w:top w:val="nil"/>
              <w:left w:val="nil"/>
              <w:bottom w:val="single" w:color="auto" w:sz="4" w:space="0"/>
              <w:right w:val="single" w:color="auto" w:sz="4" w:space="0"/>
            </w:tcBorders>
            <w:shd w:val="clear" w:color="000000" w:fill="FFFFFF"/>
            <w:noWrap/>
            <w:vAlign w:val="center"/>
          </w:tcPr>
          <w:p w14:paraId="546A967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06497D19">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173B97F0">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A622747">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0DDC66B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5C5240A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1003" w:type="dxa"/>
            <w:tcBorders>
              <w:top w:val="nil"/>
              <w:left w:val="nil"/>
              <w:bottom w:val="single" w:color="auto" w:sz="4" w:space="0"/>
              <w:right w:val="single" w:color="auto" w:sz="4" w:space="0"/>
            </w:tcBorders>
            <w:shd w:val="clear" w:color="000000" w:fill="FFFFFF"/>
            <w:noWrap/>
            <w:vAlign w:val="center"/>
          </w:tcPr>
          <w:p w14:paraId="571420E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935" w:type="dxa"/>
            <w:tcBorders>
              <w:top w:val="nil"/>
              <w:left w:val="nil"/>
              <w:bottom w:val="single" w:color="auto" w:sz="4" w:space="0"/>
              <w:right w:val="single" w:color="auto" w:sz="4" w:space="0"/>
            </w:tcBorders>
            <w:shd w:val="clear" w:color="000000" w:fill="FFFFFF"/>
            <w:noWrap/>
            <w:vAlign w:val="center"/>
          </w:tcPr>
          <w:p w14:paraId="5E544D7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509EDA1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1134" w:type="dxa"/>
            <w:tcBorders>
              <w:top w:val="nil"/>
              <w:left w:val="nil"/>
              <w:bottom w:val="single" w:color="auto" w:sz="4" w:space="0"/>
              <w:right w:val="single" w:color="auto" w:sz="4" w:space="0"/>
            </w:tcBorders>
            <w:shd w:val="clear" w:color="000000" w:fill="FFFFFF"/>
            <w:noWrap/>
            <w:vAlign w:val="center"/>
          </w:tcPr>
          <w:p w14:paraId="47EE542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935" w:type="dxa"/>
            <w:tcBorders>
              <w:top w:val="nil"/>
              <w:left w:val="nil"/>
              <w:bottom w:val="single" w:color="auto" w:sz="4" w:space="0"/>
              <w:right w:val="single" w:color="auto" w:sz="4" w:space="0"/>
            </w:tcBorders>
            <w:shd w:val="clear" w:color="000000" w:fill="FFFFFF"/>
            <w:noWrap/>
            <w:vAlign w:val="center"/>
          </w:tcPr>
          <w:p w14:paraId="3C38809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2E9996E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1792F3E3">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93E1332">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10B4C38C">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富财预〔2023〕1号2022年第二批义务家庭经济困难学生生活补助市级资金</w:t>
            </w:r>
          </w:p>
        </w:tc>
        <w:tc>
          <w:tcPr>
            <w:tcW w:w="993" w:type="dxa"/>
            <w:tcBorders>
              <w:top w:val="nil"/>
              <w:left w:val="nil"/>
              <w:bottom w:val="single" w:color="auto" w:sz="4" w:space="0"/>
              <w:right w:val="single" w:color="auto" w:sz="4" w:space="0"/>
            </w:tcBorders>
            <w:shd w:val="clear" w:color="000000" w:fill="FFFFFF"/>
            <w:noWrap/>
            <w:vAlign w:val="center"/>
          </w:tcPr>
          <w:p w14:paraId="7B9D6BC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55FD9A26">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5C5A2261">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B2A4D34">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378689B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672F26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1003" w:type="dxa"/>
            <w:tcBorders>
              <w:top w:val="nil"/>
              <w:left w:val="nil"/>
              <w:bottom w:val="single" w:color="auto" w:sz="4" w:space="0"/>
              <w:right w:val="single" w:color="auto" w:sz="4" w:space="0"/>
            </w:tcBorders>
            <w:shd w:val="clear" w:color="000000" w:fill="FFFFFF"/>
            <w:noWrap/>
            <w:vAlign w:val="center"/>
          </w:tcPr>
          <w:p w14:paraId="16AB6F6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935" w:type="dxa"/>
            <w:tcBorders>
              <w:top w:val="nil"/>
              <w:left w:val="nil"/>
              <w:bottom w:val="single" w:color="auto" w:sz="4" w:space="0"/>
              <w:right w:val="single" w:color="auto" w:sz="4" w:space="0"/>
            </w:tcBorders>
            <w:shd w:val="clear" w:color="000000" w:fill="FFFFFF"/>
            <w:noWrap/>
            <w:vAlign w:val="center"/>
          </w:tcPr>
          <w:p w14:paraId="798DBF0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59871A6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1134" w:type="dxa"/>
            <w:tcBorders>
              <w:top w:val="nil"/>
              <w:left w:val="nil"/>
              <w:bottom w:val="single" w:color="auto" w:sz="4" w:space="0"/>
              <w:right w:val="single" w:color="auto" w:sz="4" w:space="0"/>
            </w:tcBorders>
            <w:shd w:val="clear" w:color="000000" w:fill="FFFFFF"/>
            <w:noWrap/>
            <w:vAlign w:val="center"/>
          </w:tcPr>
          <w:p w14:paraId="24AE957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935" w:type="dxa"/>
            <w:tcBorders>
              <w:top w:val="nil"/>
              <w:left w:val="nil"/>
              <w:bottom w:val="single" w:color="auto" w:sz="4" w:space="0"/>
              <w:right w:val="single" w:color="auto" w:sz="4" w:space="0"/>
            </w:tcBorders>
            <w:shd w:val="clear" w:color="000000" w:fill="FFFFFF"/>
            <w:noWrap/>
            <w:vAlign w:val="center"/>
          </w:tcPr>
          <w:p w14:paraId="223FDC1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1F34301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713704EB">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A3109AD">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32DB6E88">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昆财教〔2023〕62号2023年城乡义务教育营养改善补助资金</w:t>
            </w:r>
          </w:p>
        </w:tc>
        <w:tc>
          <w:tcPr>
            <w:tcW w:w="993" w:type="dxa"/>
            <w:tcBorders>
              <w:top w:val="nil"/>
              <w:left w:val="nil"/>
              <w:bottom w:val="single" w:color="auto" w:sz="4" w:space="0"/>
              <w:right w:val="single" w:color="auto" w:sz="4" w:space="0"/>
            </w:tcBorders>
            <w:shd w:val="clear" w:color="000000" w:fill="FFFFFF"/>
            <w:noWrap/>
            <w:vAlign w:val="center"/>
          </w:tcPr>
          <w:p w14:paraId="6FC9DFF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01EA4F93">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555C206B">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5CF975E">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736CF52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42E48E0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1003" w:type="dxa"/>
            <w:tcBorders>
              <w:top w:val="nil"/>
              <w:left w:val="nil"/>
              <w:bottom w:val="single" w:color="auto" w:sz="4" w:space="0"/>
              <w:right w:val="single" w:color="auto" w:sz="4" w:space="0"/>
            </w:tcBorders>
            <w:shd w:val="clear" w:color="000000" w:fill="FFFFFF"/>
            <w:noWrap/>
            <w:vAlign w:val="center"/>
          </w:tcPr>
          <w:p w14:paraId="32096D5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935" w:type="dxa"/>
            <w:tcBorders>
              <w:top w:val="nil"/>
              <w:left w:val="nil"/>
              <w:bottom w:val="single" w:color="auto" w:sz="4" w:space="0"/>
              <w:right w:val="single" w:color="auto" w:sz="4" w:space="0"/>
            </w:tcBorders>
            <w:shd w:val="clear" w:color="000000" w:fill="FFFFFF"/>
            <w:noWrap/>
            <w:vAlign w:val="center"/>
          </w:tcPr>
          <w:p w14:paraId="155C415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325F44B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1134" w:type="dxa"/>
            <w:tcBorders>
              <w:top w:val="nil"/>
              <w:left w:val="nil"/>
              <w:bottom w:val="single" w:color="auto" w:sz="4" w:space="0"/>
              <w:right w:val="single" w:color="auto" w:sz="4" w:space="0"/>
            </w:tcBorders>
            <w:shd w:val="clear" w:color="000000" w:fill="FFFFFF"/>
            <w:noWrap/>
            <w:vAlign w:val="center"/>
          </w:tcPr>
          <w:p w14:paraId="0C1DE8E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935" w:type="dxa"/>
            <w:tcBorders>
              <w:top w:val="nil"/>
              <w:left w:val="nil"/>
              <w:bottom w:val="single" w:color="auto" w:sz="4" w:space="0"/>
              <w:right w:val="single" w:color="auto" w:sz="4" w:space="0"/>
            </w:tcBorders>
            <w:shd w:val="clear" w:color="000000" w:fill="FFFFFF"/>
            <w:noWrap/>
            <w:vAlign w:val="center"/>
          </w:tcPr>
          <w:p w14:paraId="30BD702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2F79CD9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50210952">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D36C2C1">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3558CE38">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富财教〔2023〕12号云南省建行成长计划专项资金</w:t>
            </w:r>
          </w:p>
        </w:tc>
        <w:tc>
          <w:tcPr>
            <w:tcW w:w="993" w:type="dxa"/>
            <w:tcBorders>
              <w:top w:val="nil"/>
              <w:left w:val="nil"/>
              <w:bottom w:val="single" w:color="auto" w:sz="4" w:space="0"/>
              <w:right w:val="single" w:color="auto" w:sz="4" w:space="0"/>
            </w:tcBorders>
            <w:shd w:val="clear" w:color="000000" w:fill="FFFFFF"/>
            <w:noWrap/>
            <w:vAlign w:val="center"/>
          </w:tcPr>
          <w:p w14:paraId="64B36C9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9D87E8B">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7DD545A4">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06F24E1">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3FDB094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2E68C15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1003" w:type="dxa"/>
            <w:tcBorders>
              <w:top w:val="nil"/>
              <w:left w:val="nil"/>
              <w:bottom w:val="single" w:color="auto" w:sz="4" w:space="0"/>
              <w:right w:val="single" w:color="auto" w:sz="4" w:space="0"/>
            </w:tcBorders>
            <w:shd w:val="clear" w:color="000000" w:fill="FFFFFF"/>
            <w:noWrap/>
            <w:vAlign w:val="center"/>
          </w:tcPr>
          <w:p w14:paraId="006BFD5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29C3743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1032" w:type="dxa"/>
            <w:tcBorders>
              <w:top w:val="nil"/>
              <w:left w:val="nil"/>
              <w:bottom w:val="single" w:color="auto" w:sz="4" w:space="0"/>
              <w:right w:val="single" w:color="auto" w:sz="4" w:space="0"/>
            </w:tcBorders>
            <w:shd w:val="clear" w:color="000000" w:fill="FFFFFF"/>
            <w:noWrap/>
            <w:vAlign w:val="center"/>
          </w:tcPr>
          <w:p w14:paraId="7A4F639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1134" w:type="dxa"/>
            <w:tcBorders>
              <w:top w:val="nil"/>
              <w:left w:val="nil"/>
              <w:bottom w:val="single" w:color="auto" w:sz="4" w:space="0"/>
              <w:right w:val="single" w:color="auto" w:sz="4" w:space="0"/>
            </w:tcBorders>
            <w:shd w:val="clear" w:color="000000" w:fill="FFFFFF"/>
            <w:noWrap/>
            <w:vAlign w:val="center"/>
          </w:tcPr>
          <w:p w14:paraId="1307197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7829660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832" w:type="dxa"/>
            <w:tcBorders>
              <w:top w:val="nil"/>
              <w:left w:val="nil"/>
              <w:bottom w:val="single" w:color="auto" w:sz="4" w:space="0"/>
              <w:right w:val="single" w:color="auto" w:sz="4" w:space="0"/>
            </w:tcBorders>
            <w:shd w:val="clear" w:color="000000" w:fill="FFFFFF"/>
            <w:noWrap/>
            <w:vAlign w:val="center"/>
          </w:tcPr>
          <w:p w14:paraId="45583D2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3015567E">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6109104">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059B9015">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富财教〔2023〕33号收到富民县文物管理所2021年水费电费专项补助资金</w:t>
            </w:r>
          </w:p>
        </w:tc>
        <w:tc>
          <w:tcPr>
            <w:tcW w:w="993" w:type="dxa"/>
            <w:tcBorders>
              <w:top w:val="nil"/>
              <w:left w:val="nil"/>
              <w:bottom w:val="single" w:color="auto" w:sz="4" w:space="0"/>
              <w:right w:val="single" w:color="auto" w:sz="4" w:space="0"/>
            </w:tcBorders>
            <w:shd w:val="clear" w:color="000000" w:fill="FFFFFF"/>
            <w:noWrap/>
            <w:vAlign w:val="center"/>
          </w:tcPr>
          <w:p w14:paraId="073591D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A820E5E">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0B8492AE">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3A4CB09">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1A15C27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00B7B4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1003" w:type="dxa"/>
            <w:tcBorders>
              <w:top w:val="nil"/>
              <w:left w:val="nil"/>
              <w:bottom w:val="single" w:color="auto" w:sz="4" w:space="0"/>
              <w:right w:val="single" w:color="auto" w:sz="4" w:space="0"/>
            </w:tcBorders>
            <w:shd w:val="clear" w:color="000000" w:fill="FFFFFF"/>
            <w:noWrap/>
            <w:vAlign w:val="center"/>
          </w:tcPr>
          <w:p w14:paraId="14B73D5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7895C30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1032" w:type="dxa"/>
            <w:tcBorders>
              <w:top w:val="nil"/>
              <w:left w:val="nil"/>
              <w:bottom w:val="single" w:color="auto" w:sz="4" w:space="0"/>
              <w:right w:val="single" w:color="auto" w:sz="4" w:space="0"/>
            </w:tcBorders>
            <w:shd w:val="clear" w:color="000000" w:fill="FFFFFF"/>
            <w:noWrap/>
            <w:vAlign w:val="center"/>
          </w:tcPr>
          <w:p w14:paraId="25577A9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1134" w:type="dxa"/>
            <w:tcBorders>
              <w:top w:val="nil"/>
              <w:left w:val="nil"/>
              <w:bottom w:val="single" w:color="auto" w:sz="4" w:space="0"/>
              <w:right w:val="single" w:color="auto" w:sz="4" w:space="0"/>
            </w:tcBorders>
            <w:shd w:val="clear" w:color="000000" w:fill="FFFFFF"/>
            <w:noWrap/>
            <w:vAlign w:val="center"/>
          </w:tcPr>
          <w:p w14:paraId="0A954E1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4BD4AE2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832" w:type="dxa"/>
            <w:tcBorders>
              <w:top w:val="nil"/>
              <w:left w:val="nil"/>
              <w:bottom w:val="single" w:color="auto" w:sz="4" w:space="0"/>
              <w:right w:val="single" w:color="auto" w:sz="4" w:space="0"/>
            </w:tcBorders>
            <w:shd w:val="clear" w:color="000000" w:fill="FFFFFF"/>
            <w:noWrap/>
            <w:vAlign w:val="center"/>
          </w:tcPr>
          <w:p w14:paraId="35104D7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20495504">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B9C3278">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7EDAB22C">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昆财教〔2022〕143号2022年义务教育家庭经济困难学生生活补助专项资金</w:t>
            </w:r>
          </w:p>
        </w:tc>
        <w:tc>
          <w:tcPr>
            <w:tcW w:w="993" w:type="dxa"/>
            <w:tcBorders>
              <w:top w:val="nil"/>
              <w:left w:val="nil"/>
              <w:bottom w:val="single" w:color="auto" w:sz="4" w:space="0"/>
              <w:right w:val="single" w:color="auto" w:sz="4" w:space="0"/>
            </w:tcBorders>
            <w:shd w:val="clear" w:color="000000" w:fill="FFFFFF"/>
            <w:noWrap/>
            <w:vAlign w:val="center"/>
          </w:tcPr>
          <w:p w14:paraId="5A8F7C5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1003" w:type="dxa"/>
            <w:tcBorders>
              <w:top w:val="nil"/>
              <w:left w:val="nil"/>
              <w:bottom w:val="single" w:color="auto" w:sz="4" w:space="0"/>
              <w:right w:val="single" w:color="auto" w:sz="4" w:space="0"/>
            </w:tcBorders>
            <w:shd w:val="clear" w:color="000000" w:fill="FFFFFF"/>
            <w:noWrap/>
            <w:vAlign w:val="center"/>
          </w:tcPr>
          <w:p w14:paraId="3B37FCDC">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5EE2647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935" w:type="dxa"/>
            <w:tcBorders>
              <w:top w:val="nil"/>
              <w:left w:val="nil"/>
              <w:bottom w:val="single" w:color="auto" w:sz="4" w:space="0"/>
              <w:right w:val="single" w:color="auto" w:sz="4" w:space="0"/>
            </w:tcBorders>
            <w:shd w:val="clear" w:color="000000" w:fill="FFFFFF"/>
            <w:noWrap/>
            <w:vAlign w:val="center"/>
          </w:tcPr>
          <w:p w14:paraId="0BB5B1D9">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652BF2D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286BC56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1003" w:type="dxa"/>
            <w:tcBorders>
              <w:top w:val="nil"/>
              <w:left w:val="nil"/>
              <w:bottom w:val="single" w:color="auto" w:sz="4" w:space="0"/>
              <w:right w:val="single" w:color="auto" w:sz="4" w:space="0"/>
            </w:tcBorders>
            <w:shd w:val="clear" w:color="000000" w:fill="FFFFFF"/>
            <w:noWrap/>
            <w:vAlign w:val="center"/>
          </w:tcPr>
          <w:p w14:paraId="6DF3CD1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935" w:type="dxa"/>
            <w:tcBorders>
              <w:top w:val="nil"/>
              <w:left w:val="nil"/>
              <w:bottom w:val="single" w:color="auto" w:sz="4" w:space="0"/>
              <w:right w:val="single" w:color="auto" w:sz="4" w:space="0"/>
            </w:tcBorders>
            <w:shd w:val="clear" w:color="000000" w:fill="FFFFFF"/>
            <w:noWrap/>
            <w:vAlign w:val="center"/>
          </w:tcPr>
          <w:p w14:paraId="1423236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636E587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1134" w:type="dxa"/>
            <w:tcBorders>
              <w:top w:val="nil"/>
              <w:left w:val="nil"/>
              <w:bottom w:val="single" w:color="auto" w:sz="4" w:space="0"/>
              <w:right w:val="single" w:color="auto" w:sz="4" w:space="0"/>
            </w:tcBorders>
            <w:shd w:val="clear" w:color="000000" w:fill="FFFFFF"/>
            <w:noWrap/>
            <w:vAlign w:val="center"/>
          </w:tcPr>
          <w:p w14:paraId="49589FF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935" w:type="dxa"/>
            <w:tcBorders>
              <w:top w:val="nil"/>
              <w:left w:val="nil"/>
              <w:bottom w:val="single" w:color="auto" w:sz="4" w:space="0"/>
              <w:right w:val="single" w:color="auto" w:sz="4" w:space="0"/>
            </w:tcBorders>
            <w:shd w:val="clear" w:color="000000" w:fill="FFFFFF"/>
            <w:noWrap/>
            <w:vAlign w:val="center"/>
          </w:tcPr>
          <w:p w14:paraId="57885CF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085575D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53450656">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512BBBE">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6BDB9B61">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昆财教〔2023〕62号2023年城乡义务教育公用经费省级补助资金</w:t>
            </w:r>
          </w:p>
        </w:tc>
        <w:tc>
          <w:tcPr>
            <w:tcW w:w="993" w:type="dxa"/>
            <w:tcBorders>
              <w:top w:val="nil"/>
              <w:left w:val="nil"/>
              <w:bottom w:val="single" w:color="auto" w:sz="4" w:space="0"/>
              <w:right w:val="single" w:color="auto" w:sz="4" w:space="0"/>
            </w:tcBorders>
            <w:shd w:val="clear" w:color="000000" w:fill="FFFFFF"/>
            <w:noWrap/>
            <w:vAlign w:val="center"/>
          </w:tcPr>
          <w:p w14:paraId="58DE28B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143C03CD">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128DBAF6">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49C91521">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5B7863E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F4EC77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1003" w:type="dxa"/>
            <w:tcBorders>
              <w:top w:val="nil"/>
              <w:left w:val="nil"/>
              <w:bottom w:val="single" w:color="auto" w:sz="4" w:space="0"/>
              <w:right w:val="single" w:color="auto" w:sz="4" w:space="0"/>
            </w:tcBorders>
            <w:shd w:val="clear" w:color="000000" w:fill="FFFFFF"/>
            <w:noWrap/>
            <w:vAlign w:val="center"/>
          </w:tcPr>
          <w:p w14:paraId="007AB81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935" w:type="dxa"/>
            <w:tcBorders>
              <w:top w:val="nil"/>
              <w:left w:val="nil"/>
              <w:bottom w:val="single" w:color="auto" w:sz="4" w:space="0"/>
              <w:right w:val="single" w:color="auto" w:sz="4" w:space="0"/>
            </w:tcBorders>
            <w:shd w:val="clear" w:color="000000" w:fill="FFFFFF"/>
            <w:noWrap/>
            <w:vAlign w:val="center"/>
          </w:tcPr>
          <w:p w14:paraId="3A5A42A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6AA2A78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1134" w:type="dxa"/>
            <w:tcBorders>
              <w:top w:val="nil"/>
              <w:left w:val="nil"/>
              <w:bottom w:val="single" w:color="auto" w:sz="4" w:space="0"/>
              <w:right w:val="single" w:color="auto" w:sz="4" w:space="0"/>
            </w:tcBorders>
            <w:shd w:val="clear" w:color="000000" w:fill="FFFFFF"/>
            <w:noWrap/>
            <w:vAlign w:val="center"/>
          </w:tcPr>
          <w:p w14:paraId="21DEF6E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935" w:type="dxa"/>
            <w:tcBorders>
              <w:top w:val="nil"/>
              <w:left w:val="nil"/>
              <w:bottom w:val="single" w:color="auto" w:sz="4" w:space="0"/>
              <w:right w:val="single" w:color="auto" w:sz="4" w:space="0"/>
            </w:tcBorders>
            <w:shd w:val="clear" w:color="000000" w:fill="FFFFFF"/>
            <w:noWrap/>
            <w:vAlign w:val="center"/>
          </w:tcPr>
          <w:p w14:paraId="5A9A264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6316EEC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706CD0FF">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6CA38497">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7F61E56D">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昆财教〔2023〕50号2023年城乡义务教育公用经费市级资金</w:t>
            </w:r>
          </w:p>
        </w:tc>
        <w:tc>
          <w:tcPr>
            <w:tcW w:w="993" w:type="dxa"/>
            <w:tcBorders>
              <w:top w:val="nil"/>
              <w:left w:val="nil"/>
              <w:bottom w:val="single" w:color="auto" w:sz="4" w:space="0"/>
              <w:right w:val="single" w:color="auto" w:sz="4" w:space="0"/>
            </w:tcBorders>
            <w:shd w:val="clear" w:color="000000" w:fill="FFFFFF"/>
            <w:noWrap/>
            <w:vAlign w:val="center"/>
          </w:tcPr>
          <w:p w14:paraId="02B2B20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4A12C90D">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3D5185FD">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5B3517D">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30C522B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0904FE1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1003" w:type="dxa"/>
            <w:tcBorders>
              <w:top w:val="nil"/>
              <w:left w:val="nil"/>
              <w:bottom w:val="single" w:color="auto" w:sz="4" w:space="0"/>
              <w:right w:val="single" w:color="auto" w:sz="4" w:space="0"/>
            </w:tcBorders>
            <w:shd w:val="clear" w:color="000000" w:fill="FFFFFF"/>
            <w:noWrap/>
            <w:vAlign w:val="center"/>
          </w:tcPr>
          <w:p w14:paraId="535743D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935" w:type="dxa"/>
            <w:tcBorders>
              <w:top w:val="nil"/>
              <w:left w:val="nil"/>
              <w:bottom w:val="single" w:color="auto" w:sz="4" w:space="0"/>
              <w:right w:val="single" w:color="auto" w:sz="4" w:space="0"/>
            </w:tcBorders>
            <w:shd w:val="clear" w:color="000000" w:fill="FFFFFF"/>
            <w:noWrap/>
            <w:vAlign w:val="center"/>
          </w:tcPr>
          <w:p w14:paraId="3436D51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209618A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1134" w:type="dxa"/>
            <w:tcBorders>
              <w:top w:val="nil"/>
              <w:left w:val="nil"/>
              <w:bottom w:val="single" w:color="auto" w:sz="4" w:space="0"/>
              <w:right w:val="single" w:color="auto" w:sz="4" w:space="0"/>
            </w:tcBorders>
            <w:shd w:val="clear" w:color="000000" w:fill="FFFFFF"/>
            <w:noWrap/>
            <w:vAlign w:val="center"/>
          </w:tcPr>
          <w:p w14:paraId="0471B68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935" w:type="dxa"/>
            <w:tcBorders>
              <w:top w:val="nil"/>
              <w:left w:val="nil"/>
              <w:bottom w:val="single" w:color="auto" w:sz="4" w:space="0"/>
              <w:right w:val="single" w:color="auto" w:sz="4" w:space="0"/>
            </w:tcBorders>
            <w:shd w:val="clear" w:color="000000" w:fill="FFFFFF"/>
            <w:noWrap/>
            <w:vAlign w:val="center"/>
          </w:tcPr>
          <w:p w14:paraId="6CAD7AD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592BBCA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02DD8097">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4162BBEA">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2755E441">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富财预〔2023〕1号2022年第二批城乡义务教育公用经费市级资金</w:t>
            </w:r>
          </w:p>
        </w:tc>
        <w:tc>
          <w:tcPr>
            <w:tcW w:w="993" w:type="dxa"/>
            <w:tcBorders>
              <w:top w:val="nil"/>
              <w:left w:val="nil"/>
              <w:bottom w:val="single" w:color="auto" w:sz="4" w:space="0"/>
              <w:right w:val="single" w:color="auto" w:sz="4" w:space="0"/>
            </w:tcBorders>
            <w:shd w:val="clear" w:color="000000" w:fill="FFFFFF"/>
            <w:noWrap/>
            <w:vAlign w:val="center"/>
          </w:tcPr>
          <w:p w14:paraId="52B032C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136CF4D7">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379B05A8">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7ACF48E2">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5E8E57C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0970513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1003" w:type="dxa"/>
            <w:tcBorders>
              <w:top w:val="nil"/>
              <w:left w:val="nil"/>
              <w:bottom w:val="single" w:color="auto" w:sz="4" w:space="0"/>
              <w:right w:val="single" w:color="auto" w:sz="4" w:space="0"/>
            </w:tcBorders>
            <w:shd w:val="clear" w:color="000000" w:fill="FFFFFF"/>
            <w:noWrap/>
            <w:vAlign w:val="center"/>
          </w:tcPr>
          <w:p w14:paraId="67F6F00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935" w:type="dxa"/>
            <w:tcBorders>
              <w:top w:val="nil"/>
              <w:left w:val="nil"/>
              <w:bottom w:val="single" w:color="auto" w:sz="4" w:space="0"/>
              <w:right w:val="single" w:color="auto" w:sz="4" w:space="0"/>
            </w:tcBorders>
            <w:shd w:val="clear" w:color="000000" w:fill="FFFFFF"/>
            <w:noWrap/>
            <w:vAlign w:val="center"/>
          </w:tcPr>
          <w:p w14:paraId="30C3145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69956E9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1134" w:type="dxa"/>
            <w:tcBorders>
              <w:top w:val="nil"/>
              <w:left w:val="nil"/>
              <w:bottom w:val="single" w:color="auto" w:sz="4" w:space="0"/>
              <w:right w:val="single" w:color="auto" w:sz="4" w:space="0"/>
            </w:tcBorders>
            <w:shd w:val="clear" w:color="000000" w:fill="FFFFFF"/>
            <w:noWrap/>
            <w:vAlign w:val="center"/>
          </w:tcPr>
          <w:p w14:paraId="54B14E9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935" w:type="dxa"/>
            <w:tcBorders>
              <w:top w:val="nil"/>
              <w:left w:val="nil"/>
              <w:bottom w:val="single" w:color="auto" w:sz="4" w:space="0"/>
              <w:right w:val="single" w:color="auto" w:sz="4" w:space="0"/>
            </w:tcBorders>
            <w:shd w:val="clear" w:color="000000" w:fill="FFFFFF"/>
            <w:noWrap/>
            <w:vAlign w:val="center"/>
          </w:tcPr>
          <w:p w14:paraId="11196A5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7AB3018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091C03A5">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3A03222E">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6BBF3616">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昆财教〔2022〕102号2022年第二批普通高中学生资助中央和省级直达资金</w:t>
            </w:r>
          </w:p>
        </w:tc>
        <w:tc>
          <w:tcPr>
            <w:tcW w:w="993" w:type="dxa"/>
            <w:tcBorders>
              <w:top w:val="nil"/>
              <w:left w:val="nil"/>
              <w:bottom w:val="single" w:color="auto" w:sz="4" w:space="0"/>
              <w:right w:val="single" w:color="auto" w:sz="4" w:space="0"/>
            </w:tcBorders>
            <w:shd w:val="clear" w:color="000000" w:fill="FFFFFF"/>
            <w:noWrap/>
            <w:vAlign w:val="center"/>
          </w:tcPr>
          <w:p w14:paraId="0D8798E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1003" w:type="dxa"/>
            <w:tcBorders>
              <w:top w:val="nil"/>
              <w:left w:val="nil"/>
              <w:bottom w:val="single" w:color="auto" w:sz="4" w:space="0"/>
              <w:right w:val="single" w:color="auto" w:sz="4" w:space="0"/>
            </w:tcBorders>
            <w:shd w:val="clear" w:color="000000" w:fill="FFFFFF"/>
            <w:noWrap/>
            <w:vAlign w:val="center"/>
          </w:tcPr>
          <w:p w14:paraId="4BC78FE3">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3CB84AE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935" w:type="dxa"/>
            <w:tcBorders>
              <w:top w:val="nil"/>
              <w:left w:val="nil"/>
              <w:bottom w:val="single" w:color="auto" w:sz="4" w:space="0"/>
              <w:right w:val="single" w:color="auto" w:sz="4" w:space="0"/>
            </w:tcBorders>
            <w:shd w:val="clear" w:color="000000" w:fill="FFFFFF"/>
            <w:noWrap/>
            <w:vAlign w:val="center"/>
          </w:tcPr>
          <w:p w14:paraId="74A3AD82">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1E66E7F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99F09E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1003" w:type="dxa"/>
            <w:tcBorders>
              <w:top w:val="nil"/>
              <w:left w:val="nil"/>
              <w:bottom w:val="single" w:color="auto" w:sz="4" w:space="0"/>
              <w:right w:val="single" w:color="auto" w:sz="4" w:space="0"/>
            </w:tcBorders>
            <w:shd w:val="clear" w:color="000000" w:fill="FFFFFF"/>
            <w:noWrap/>
            <w:vAlign w:val="center"/>
          </w:tcPr>
          <w:p w14:paraId="68F90AD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935" w:type="dxa"/>
            <w:tcBorders>
              <w:top w:val="nil"/>
              <w:left w:val="nil"/>
              <w:bottom w:val="single" w:color="auto" w:sz="4" w:space="0"/>
              <w:right w:val="single" w:color="auto" w:sz="4" w:space="0"/>
            </w:tcBorders>
            <w:shd w:val="clear" w:color="000000" w:fill="FFFFFF"/>
            <w:noWrap/>
            <w:vAlign w:val="center"/>
          </w:tcPr>
          <w:p w14:paraId="16D67C5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70B1E81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1134" w:type="dxa"/>
            <w:tcBorders>
              <w:top w:val="nil"/>
              <w:left w:val="nil"/>
              <w:bottom w:val="single" w:color="auto" w:sz="4" w:space="0"/>
              <w:right w:val="single" w:color="auto" w:sz="4" w:space="0"/>
            </w:tcBorders>
            <w:shd w:val="clear" w:color="000000" w:fill="FFFFFF"/>
            <w:noWrap/>
            <w:vAlign w:val="center"/>
          </w:tcPr>
          <w:p w14:paraId="01E001C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935" w:type="dxa"/>
            <w:tcBorders>
              <w:top w:val="nil"/>
              <w:left w:val="nil"/>
              <w:bottom w:val="single" w:color="auto" w:sz="4" w:space="0"/>
              <w:right w:val="single" w:color="auto" w:sz="4" w:space="0"/>
            </w:tcBorders>
            <w:shd w:val="clear" w:color="000000" w:fill="FFFFFF"/>
            <w:noWrap/>
            <w:vAlign w:val="center"/>
          </w:tcPr>
          <w:p w14:paraId="74DA965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46ADEA2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7F8929DB">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3734B3CF">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4D82A95F">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昆财教〔2023〕91号高中助学金及免学杂费学生资助专项资金</w:t>
            </w:r>
          </w:p>
        </w:tc>
        <w:tc>
          <w:tcPr>
            <w:tcW w:w="993" w:type="dxa"/>
            <w:tcBorders>
              <w:top w:val="nil"/>
              <w:left w:val="nil"/>
              <w:bottom w:val="single" w:color="auto" w:sz="4" w:space="0"/>
              <w:right w:val="single" w:color="auto" w:sz="4" w:space="0"/>
            </w:tcBorders>
            <w:shd w:val="clear" w:color="000000" w:fill="FFFFFF"/>
            <w:noWrap/>
            <w:vAlign w:val="center"/>
          </w:tcPr>
          <w:p w14:paraId="442F390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6885804A">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720ABB48">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DBDED0C">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7FA1E2E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6775E41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1003" w:type="dxa"/>
            <w:tcBorders>
              <w:top w:val="nil"/>
              <w:left w:val="nil"/>
              <w:bottom w:val="single" w:color="auto" w:sz="4" w:space="0"/>
              <w:right w:val="single" w:color="auto" w:sz="4" w:space="0"/>
            </w:tcBorders>
            <w:shd w:val="clear" w:color="000000" w:fill="FFFFFF"/>
            <w:noWrap/>
            <w:vAlign w:val="center"/>
          </w:tcPr>
          <w:p w14:paraId="17DE79F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935" w:type="dxa"/>
            <w:tcBorders>
              <w:top w:val="nil"/>
              <w:left w:val="nil"/>
              <w:bottom w:val="single" w:color="auto" w:sz="4" w:space="0"/>
              <w:right w:val="single" w:color="auto" w:sz="4" w:space="0"/>
            </w:tcBorders>
            <w:shd w:val="clear" w:color="000000" w:fill="FFFFFF"/>
            <w:noWrap/>
            <w:vAlign w:val="center"/>
          </w:tcPr>
          <w:p w14:paraId="6DF57E5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3B185F6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1134" w:type="dxa"/>
            <w:tcBorders>
              <w:top w:val="nil"/>
              <w:left w:val="nil"/>
              <w:bottom w:val="single" w:color="auto" w:sz="4" w:space="0"/>
              <w:right w:val="single" w:color="auto" w:sz="4" w:space="0"/>
            </w:tcBorders>
            <w:shd w:val="clear" w:color="000000" w:fill="FFFFFF"/>
            <w:noWrap/>
            <w:vAlign w:val="center"/>
          </w:tcPr>
          <w:p w14:paraId="033BC3F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935" w:type="dxa"/>
            <w:tcBorders>
              <w:top w:val="nil"/>
              <w:left w:val="nil"/>
              <w:bottom w:val="single" w:color="auto" w:sz="4" w:space="0"/>
              <w:right w:val="single" w:color="auto" w:sz="4" w:space="0"/>
            </w:tcBorders>
            <w:shd w:val="clear" w:color="000000" w:fill="FFFFFF"/>
            <w:noWrap/>
            <w:vAlign w:val="center"/>
          </w:tcPr>
          <w:p w14:paraId="71CECCC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629D31A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212457BF">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1C2D8B69">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16A60447">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昆财教〔2022〕78号2022年第二批普通高中脱贫家庭经济困难学生生活补助市级补助资金</w:t>
            </w:r>
          </w:p>
        </w:tc>
        <w:tc>
          <w:tcPr>
            <w:tcW w:w="993" w:type="dxa"/>
            <w:tcBorders>
              <w:top w:val="nil"/>
              <w:left w:val="nil"/>
              <w:bottom w:val="single" w:color="auto" w:sz="4" w:space="0"/>
              <w:right w:val="single" w:color="auto" w:sz="4" w:space="0"/>
            </w:tcBorders>
            <w:shd w:val="clear" w:color="000000" w:fill="FFFFFF"/>
            <w:noWrap/>
            <w:vAlign w:val="center"/>
          </w:tcPr>
          <w:p w14:paraId="43480CC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1003" w:type="dxa"/>
            <w:tcBorders>
              <w:top w:val="nil"/>
              <w:left w:val="nil"/>
              <w:bottom w:val="single" w:color="auto" w:sz="4" w:space="0"/>
              <w:right w:val="single" w:color="auto" w:sz="4" w:space="0"/>
            </w:tcBorders>
            <w:shd w:val="clear" w:color="000000" w:fill="FFFFFF"/>
            <w:noWrap/>
            <w:vAlign w:val="center"/>
          </w:tcPr>
          <w:p w14:paraId="0446D6A3">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26A36DF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935" w:type="dxa"/>
            <w:tcBorders>
              <w:top w:val="nil"/>
              <w:left w:val="nil"/>
              <w:bottom w:val="single" w:color="auto" w:sz="4" w:space="0"/>
              <w:right w:val="single" w:color="auto" w:sz="4" w:space="0"/>
            </w:tcBorders>
            <w:shd w:val="clear" w:color="000000" w:fill="FFFFFF"/>
            <w:noWrap/>
            <w:vAlign w:val="center"/>
          </w:tcPr>
          <w:p w14:paraId="0C0748F6">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50168AA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606B985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1003" w:type="dxa"/>
            <w:tcBorders>
              <w:top w:val="nil"/>
              <w:left w:val="nil"/>
              <w:bottom w:val="single" w:color="auto" w:sz="4" w:space="0"/>
              <w:right w:val="single" w:color="auto" w:sz="4" w:space="0"/>
            </w:tcBorders>
            <w:shd w:val="clear" w:color="000000" w:fill="FFFFFF"/>
            <w:noWrap/>
            <w:vAlign w:val="center"/>
          </w:tcPr>
          <w:p w14:paraId="7B4999D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935" w:type="dxa"/>
            <w:tcBorders>
              <w:top w:val="nil"/>
              <w:left w:val="nil"/>
              <w:bottom w:val="single" w:color="auto" w:sz="4" w:space="0"/>
              <w:right w:val="single" w:color="auto" w:sz="4" w:space="0"/>
            </w:tcBorders>
            <w:shd w:val="clear" w:color="000000" w:fill="FFFFFF"/>
            <w:noWrap/>
            <w:vAlign w:val="center"/>
          </w:tcPr>
          <w:p w14:paraId="286C2FE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6E64C44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1134" w:type="dxa"/>
            <w:tcBorders>
              <w:top w:val="nil"/>
              <w:left w:val="nil"/>
              <w:bottom w:val="single" w:color="auto" w:sz="4" w:space="0"/>
              <w:right w:val="single" w:color="auto" w:sz="4" w:space="0"/>
            </w:tcBorders>
            <w:shd w:val="clear" w:color="000000" w:fill="FFFFFF"/>
            <w:noWrap/>
            <w:vAlign w:val="center"/>
          </w:tcPr>
          <w:p w14:paraId="19C5202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935" w:type="dxa"/>
            <w:tcBorders>
              <w:top w:val="nil"/>
              <w:left w:val="nil"/>
              <w:bottom w:val="single" w:color="auto" w:sz="4" w:space="0"/>
              <w:right w:val="single" w:color="auto" w:sz="4" w:space="0"/>
            </w:tcBorders>
            <w:shd w:val="clear" w:color="000000" w:fill="FFFFFF"/>
            <w:noWrap/>
            <w:vAlign w:val="center"/>
          </w:tcPr>
          <w:p w14:paraId="78A6DE8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3FA2C2D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72248A5E">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326162BC">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7415D4A9">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富财预〔2023〕1号2022年普通高中学生资助第二批市级资金</w:t>
            </w:r>
          </w:p>
        </w:tc>
        <w:tc>
          <w:tcPr>
            <w:tcW w:w="993" w:type="dxa"/>
            <w:tcBorders>
              <w:top w:val="nil"/>
              <w:left w:val="nil"/>
              <w:bottom w:val="single" w:color="auto" w:sz="4" w:space="0"/>
              <w:right w:val="single" w:color="auto" w:sz="4" w:space="0"/>
            </w:tcBorders>
            <w:shd w:val="clear" w:color="000000" w:fill="FFFFFF"/>
            <w:noWrap/>
            <w:vAlign w:val="center"/>
          </w:tcPr>
          <w:p w14:paraId="71A1B09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58DAF0F7">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5C2F14C7">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87D267D">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09E2B5E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40F40DC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1003" w:type="dxa"/>
            <w:tcBorders>
              <w:top w:val="nil"/>
              <w:left w:val="nil"/>
              <w:bottom w:val="single" w:color="auto" w:sz="4" w:space="0"/>
              <w:right w:val="single" w:color="auto" w:sz="4" w:space="0"/>
            </w:tcBorders>
            <w:shd w:val="clear" w:color="000000" w:fill="FFFFFF"/>
            <w:noWrap/>
            <w:vAlign w:val="center"/>
          </w:tcPr>
          <w:p w14:paraId="6338C39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935" w:type="dxa"/>
            <w:tcBorders>
              <w:top w:val="nil"/>
              <w:left w:val="nil"/>
              <w:bottom w:val="single" w:color="auto" w:sz="4" w:space="0"/>
              <w:right w:val="single" w:color="auto" w:sz="4" w:space="0"/>
            </w:tcBorders>
            <w:shd w:val="clear" w:color="000000" w:fill="FFFFFF"/>
            <w:noWrap/>
            <w:vAlign w:val="center"/>
          </w:tcPr>
          <w:p w14:paraId="6390D5B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114641B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1134" w:type="dxa"/>
            <w:tcBorders>
              <w:top w:val="nil"/>
              <w:left w:val="nil"/>
              <w:bottom w:val="single" w:color="auto" w:sz="4" w:space="0"/>
              <w:right w:val="single" w:color="auto" w:sz="4" w:space="0"/>
            </w:tcBorders>
            <w:shd w:val="clear" w:color="000000" w:fill="FFFFFF"/>
            <w:noWrap/>
            <w:vAlign w:val="center"/>
          </w:tcPr>
          <w:p w14:paraId="18BF03C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935" w:type="dxa"/>
            <w:tcBorders>
              <w:top w:val="nil"/>
              <w:left w:val="nil"/>
              <w:bottom w:val="single" w:color="auto" w:sz="4" w:space="0"/>
              <w:right w:val="single" w:color="auto" w:sz="4" w:space="0"/>
            </w:tcBorders>
            <w:shd w:val="clear" w:color="000000" w:fill="FFFFFF"/>
            <w:noWrap/>
            <w:vAlign w:val="center"/>
          </w:tcPr>
          <w:p w14:paraId="2E87C20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1BBD342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02A4265B">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6FED5755">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35F463F6">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富教通〔2020〕147号2020年第三批城乡义务教育营养改善补助中央专项资金</w:t>
            </w:r>
          </w:p>
        </w:tc>
        <w:tc>
          <w:tcPr>
            <w:tcW w:w="993" w:type="dxa"/>
            <w:tcBorders>
              <w:top w:val="nil"/>
              <w:left w:val="nil"/>
              <w:bottom w:val="single" w:color="auto" w:sz="4" w:space="0"/>
              <w:right w:val="single" w:color="auto" w:sz="4" w:space="0"/>
            </w:tcBorders>
            <w:shd w:val="clear" w:color="000000" w:fill="FFFFFF"/>
            <w:noWrap/>
            <w:vAlign w:val="center"/>
          </w:tcPr>
          <w:p w14:paraId="139968E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4CB3870A">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5B4CDC97">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38DDABB">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4921432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231,570.75</w:t>
            </w:r>
          </w:p>
        </w:tc>
        <w:tc>
          <w:tcPr>
            <w:tcW w:w="1003" w:type="dxa"/>
            <w:tcBorders>
              <w:top w:val="nil"/>
              <w:left w:val="nil"/>
              <w:bottom w:val="single" w:color="auto" w:sz="4" w:space="0"/>
              <w:right w:val="single" w:color="auto" w:sz="4" w:space="0"/>
            </w:tcBorders>
            <w:shd w:val="clear" w:color="000000" w:fill="FFFFFF"/>
            <w:noWrap/>
            <w:vAlign w:val="center"/>
          </w:tcPr>
          <w:p w14:paraId="616A667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4C19AFE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343B522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70B02FD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200,000.00</w:t>
            </w:r>
          </w:p>
        </w:tc>
        <w:tc>
          <w:tcPr>
            <w:tcW w:w="1134" w:type="dxa"/>
            <w:tcBorders>
              <w:top w:val="nil"/>
              <w:left w:val="nil"/>
              <w:bottom w:val="single" w:color="auto" w:sz="4" w:space="0"/>
              <w:right w:val="single" w:color="auto" w:sz="4" w:space="0"/>
            </w:tcBorders>
            <w:shd w:val="clear" w:color="000000" w:fill="FFFFFF"/>
            <w:noWrap/>
            <w:vAlign w:val="center"/>
          </w:tcPr>
          <w:p w14:paraId="2FC6EC7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200,000.00</w:t>
            </w:r>
          </w:p>
        </w:tc>
        <w:tc>
          <w:tcPr>
            <w:tcW w:w="935" w:type="dxa"/>
            <w:tcBorders>
              <w:top w:val="nil"/>
              <w:left w:val="nil"/>
              <w:bottom w:val="single" w:color="auto" w:sz="4" w:space="0"/>
              <w:right w:val="single" w:color="auto" w:sz="4" w:space="0"/>
            </w:tcBorders>
            <w:shd w:val="clear" w:color="000000" w:fill="FFFFFF"/>
            <w:noWrap/>
            <w:vAlign w:val="center"/>
          </w:tcPr>
          <w:p w14:paraId="55F99DC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3E50B3D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31,570.75</w:t>
            </w:r>
          </w:p>
        </w:tc>
      </w:tr>
      <w:tr w14:paraId="596D12F4">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50BFC664">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60650475">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富教通〔2020〕151号2020年第二批农村义务教育学生营养改善计划市级补助资金</w:t>
            </w:r>
          </w:p>
        </w:tc>
        <w:tc>
          <w:tcPr>
            <w:tcW w:w="993" w:type="dxa"/>
            <w:tcBorders>
              <w:top w:val="nil"/>
              <w:left w:val="nil"/>
              <w:bottom w:val="single" w:color="auto" w:sz="4" w:space="0"/>
              <w:right w:val="single" w:color="auto" w:sz="4" w:space="0"/>
            </w:tcBorders>
            <w:shd w:val="clear" w:color="000000" w:fill="FFFFFF"/>
            <w:noWrap/>
            <w:vAlign w:val="center"/>
          </w:tcPr>
          <w:p w14:paraId="3BE964C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50A3D388">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76BF7F3C">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A127E5F">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5D037BA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40,100.00</w:t>
            </w:r>
          </w:p>
        </w:tc>
        <w:tc>
          <w:tcPr>
            <w:tcW w:w="1003" w:type="dxa"/>
            <w:tcBorders>
              <w:top w:val="nil"/>
              <w:left w:val="nil"/>
              <w:bottom w:val="single" w:color="auto" w:sz="4" w:space="0"/>
              <w:right w:val="single" w:color="auto" w:sz="4" w:space="0"/>
            </w:tcBorders>
            <w:shd w:val="clear" w:color="000000" w:fill="FFFFFF"/>
            <w:noWrap/>
            <w:vAlign w:val="center"/>
          </w:tcPr>
          <w:p w14:paraId="66E3CF2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2C43F8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1B60466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2CC139F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134" w:type="dxa"/>
            <w:tcBorders>
              <w:top w:val="nil"/>
              <w:left w:val="nil"/>
              <w:bottom w:val="single" w:color="auto" w:sz="4" w:space="0"/>
              <w:right w:val="single" w:color="auto" w:sz="4" w:space="0"/>
            </w:tcBorders>
            <w:shd w:val="clear" w:color="000000" w:fill="FFFFFF"/>
            <w:noWrap/>
            <w:vAlign w:val="center"/>
          </w:tcPr>
          <w:p w14:paraId="4AFE434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55F116C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585A408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40,100.00</w:t>
            </w:r>
          </w:p>
        </w:tc>
      </w:tr>
      <w:tr w14:paraId="0EED2C73">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D4EB6F6">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71481A1B">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富教通〔2020〕138号2020年秋季学期义务教育家庭经济困难学生生活补助市级专项资金</w:t>
            </w:r>
          </w:p>
        </w:tc>
        <w:tc>
          <w:tcPr>
            <w:tcW w:w="993" w:type="dxa"/>
            <w:tcBorders>
              <w:top w:val="nil"/>
              <w:left w:val="nil"/>
              <w:bottom w:val="single" w:color="auto" w:sz="4" w:space="0"/>
              <w:right w:val="single" w:color="auto" w:sz="4" w:space="0"/>
            </w:tcBorders>
            <w:shd w:val="clear" w:color="000000" w:fill="FFFFFF"/>
            <w:noWrap/>
            <w:vAlign w:val="center"/>
          </w:tcPr>
          <w:p w14:paraId="62916F1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15F4262D">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6B1609DF">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0DFF8AC9">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46781C0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85,504.00</w:t>
            </w:r>
          </w:p>
        </w:tc>
        <w:tc>
          <w:tcPr>
            <w:tcW w:w="1003" w:type="dxa"/>
            <w:tcBorders>
              <w:top w:val="nil"/>
              <w:left w:val="nil"/>
              <w:bottom w:val="single" w:color="auto" w:sz="4" w:space="0"/>
              <w:right w:val="single" w:color="auto" w:sz="4" w:space="0"/>
            </w:tcBorders>
            <w:shd w:val="clear" w:color="000000" w:fill="FFFFFF"/>
            <w:noWrap/>
            <w:vAlign w:val="center"/>
          </w:tcPr>
          <w:p w14:paraId="5BEC256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4609A6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4E59ADC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3F17123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134" w:type="dxa"/>
            <w:tcBorders>
              <w:top w:val="nil"/>
              <w:left w:val="nil"/>
              <w:bottom w:val="single" w:color="auto" w:sz="4" w:space="0"/>
              <w:right w:val="single" w:color="auto" w:sz="4" w:space="0"/>
            </w:tcBorders>
            <w:shd w:val="clear" w:color="000000" w:fill="FFFFFF"/>
            <w:noWrap/>
            <w:vAlign w:val="center"/>
          </w:tcPr>
          <w:p w14:paraId="33E7230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2B071DB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1502BA5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85,504.00</w:t>
            </w:r>
          </w:p>
        </w:tc>
      </w:tr>
      <w:tr w14:paraId="3AFF29C0">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668E178A">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vAlign w:val="center"/>
          </w:tcPr>
          <w:p w14:paraId="781D18FE">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富教通〔2020〕159号2020年农村义务教育营养改善计划市级补助资金</w:t>
            </w:r>
          </w:p>
        </w:tc>
        <w:tc>
          <w:tcPr>
            <w:tcW w:w="993" w:type="dxa"/>
            <w:tcBorders>
              <w:top w:val="nil"/>
              <w:left w:val="nil"/>
              <w:bottom w:val="single" w:color="auto" w:sz="4" w:space="0"/>
              <w:right w:val="single" w:color="auto" w:sz="4" w:space="0"/>
            </w:tcBorders>
            <w:shd w:val="clear" w:color="000000" w:fill="FFFFFF"/>
            <w:noWrap/>
            <w:vAlign w:val="center"/>
          </w:tcPr>
          <w:p w14:paraId="1684679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177AB3F6">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15870AB7">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565D75E">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45EABBA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73,200.00</w:t>
            </w:r>
          </w:p>
        </w:tc>
        <w:tc>
          <w:tcPr>
            <w:tcW w:w="1003" w:type="dxa"/>
            <w:tcBorders>
              <w:top w:val="nil"/>
              <w:left w:val="nil"/>
              <w:bottom w:val="single" w:color="auto" w:sz="4" w:space="0"/>
              <w:right w:val="single" w:color="auto" w:sz="4" w:space="0"/>
            </w:tcBorders>
            <w:shd w:val="clear" w:color="000000" w:fill="FFFFFF"/>
            <w:noWrap/>
            <w:vAlign w:val="center"/>
          </w:tcPr>
          <w:p w14:paraId="1CE3622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F6DC36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0A17DD3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33B61D6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134" w:type="dxa"/>
            <w:tcBorders>
              <w:top w:val="nil"/>
              <w:left w:val="nil"/>
              <w:bottom w:val="single" w:color="auto" w:sz="4" w:space="0"/>
              <w:right w:val="single" w:color="auto" w:sz="4" w:space="0"/>
            </w:tcBorders>
            <w:shd w:val="clear" w:color="000000" w:fill="FFFFFF"/>
            <w:noWrap/>
            <w:vAlign w:val="center"/>
          </w:tcPr>
          <w:p w14:paraId="0048120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591EF09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62E953E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73,200.00</w:t>
            </w:r>
          </w:p>
        </w:tc>
      </w:tr>
      <w:tr w14:paraId="101E8D42">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2FA3E526">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18B2FA09">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富财预〔2023〕1号学校托管校长奖补经费</w:t>
            </w:r>
          </w:p>
        </w:tc>
        <w:tc>
          <w:tcPr>
            <w:tcW w:w="993" w:type="dxa"/>
            <w:tcBorders>
              <w:top w:val="nil"/>
              <w:left w:val="nil"/>
              <w:bottom w:val="single" w:color="auto" w:sz="4" w:space="0"/>
              <w:right w:val="single" w:color="auto" w:sz="4" w:space="0"/>
            </w:tcBorders>
            <w:shd w:val="clear" w:color="000000" w:fill="FFFFFF"/>
            <w:noWrap/>
            <w:vAlign w:val="center"/>
          </w:tcPr>
          <w:p w14:paraId="37AB76F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1003" w:type="dxa"/>
            <w:tcBorders>
              <w:top w:val="nil"/>
              <w:left w:val="nil"/>
              <w:bottom w:val="single" w:color="auto" w:sz="4" w:space="0"/>
              <w:right w:val="single" w:color="auto" w:sz="4" w:space="0"/>
            </w:tcBorders>
            <w:shd w:val="clear" w:color="000000" w:fill="FFFFFF"/>
            <w:noWrap/>
            <w:vAlign w:val="center"/>
          </w:tcPr>
          <w:p w14:paraId="48E1720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992" w:type="dxa"/>
            <w:tcBorders>
              <w:top w:val="nil"/>
              <w:left w:val="nil"/>
              <w:bottom w:val="single" w:color="auto" w:sz="4" w:space="0"/>
              <w:right w:val="single" w:color="auto" w:sz="4" w:space="0"/>
            </w:tcBorders>
            <w:shd w:val="clear" w:color="000000" w:fill="FFFFFF"/>
            <w:noWrap/>
            <w:vAlign w:val="center"/>
          </w:tcPr>
          <w:p w14:paraId="38F6D4FE">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354B1265">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28A94C9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E5BD4B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1003" w:type="dxa"/>
            <w:tcBorders>
              <w:top w:val="nil"/>
              <w:left w:val="nil"/>
              <w:bottom w:val="single" w:color="auto" w:sz="4" w:space="0"/>
              <w:right w:val="single" w:color="auto" w:sz="4" w:space="0"/>
            </w:tcBorders>
            <w:shd w:val="clear" w:color="000000" w:fill="FFFFFF"/>
            <w:noWrap/>
            <w:vAlign w:val="center"/>
          </w:tcPr>
          <w:p w14:paraId="1478A68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935" w:type="dxa"/>
            <w:tcBorders>
              <w:top w:val="nil"/>
              <w:left w:val="nil"/>
              <w:bottom w:val="single" w:color="auto" w:sz="4" w:space="0"/>
              <w:right w:val="single" w:color="auto" w:sz="4" w:space="0"/>
            </w:tcBorders>
            <w:shd w:val="clear" w:color="000000" w:fill="FFFFFF"/>
            <w:noWrap/>
            <w:vAlign w:val="center"/>
          </w:tcPr>
          <w:p w14:paraId="2FF10A4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0E3917E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1134" w:type="dxa"/>
            <w:tcBorders>
              <w:top w:val="nil"/>
              <w:left w:val="nil"/>
              <w:bottom w:val="single" w:color="auto" w:sz="4" w:space="0"/>
              <w:right w:val="single" w:color="auto" w:sz="4" w:space="0"/>
            </w:tcBorders>
            <w:shd w:val="clear" w:color="000000" w:fill="FFFFFF"/>
            <w:noWrap/>
            <w:vAlign w:val="center"/>
          </w:tcPr>
          <w:p w14:paraId="7C06E84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935" w:type="dxa"/>
            <w:tcBorders>
              <w:top w:val="nil"/>
              <w:left w:val="nil"/>
              <w:bottom w:val="single" w:color="auto" w:sz="4" w:space="0"/>
              <w:right w:val="single" w:color="auto" w:sz="4" w:space="0"/>
            </w:tcBorders>
            <w:shd w:val="clear" w:color="000000" w:fill="FFFFFF"/>
            <w:noWrap/>
            <w:vAlign w:val="center"/>
          </w:tcPr>
          <w:p w14:paraId="52C1EA8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7E0FFAA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02A54CDC">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34EDB8EF">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58F7F4F1">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富财预〔2023〕1号昆一中富民学校管理费专项资金</w:t>
            </w:r>
          </w:p>
        </w:tc>
        <w:tc>
          <w:tcPr>
            <w:tcW w:w="993" w:type="dxa"/>
            <w:tcBorders>
              <w:top w:val="nil"/>
              <w:left w:val="nil"/>
              <w:bottom w:val="single" w:color="auto" w:sz="4" w:space="0"/>
              <w:right w:val="single" w:color="auto" w:sz="4" w:space="0"/>
            </w:tcBorders>
            <w:shd w:val="clear" w:color="000000" w:fill="FFFFFF"/>
            <w:noWrap/>
            <w:vAlign w:val="center"/>
          </w:tcPr>
          <w:p w14:paraId="63B534D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003" w:type="dxa"/>
            <w:tcBorders>
              <w:top w:val="nil"/>
              <w:left w:val="nil"/>
              <w:bottom w:val="single" w:color="auto" w:sz="4" w:space="0"/>
              <w:right w:val="single" w:color="auto" w:sz="4" w:space="0"/>
            </w:tcBorders>
            <w:shd w:val="clear" w:color="000000" w:fill="FFFFFF"/>
            <w:noWrap/>
            <w:vAlign w:val="center"/>
          </w:tcPr>
          <w:p w14:paraId="3622533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992" w:type="dxa"/>
            <w:tcBorders>
              <w:top w:val="nil"/>
              <w:left w:val="nil"/>
              <w:bottom w:val="single" w:color="auto" w:sz="4" w:space="0"/>
              <w:right w:val="single" w:color="auto" w:sz="4" w:space="0"/>
            </w:tcBorders>
            <w:shd w:val="clear" w:color="000000" w:fill="FFFFFF"/>
            <w:noWrap/>
            <w:vAlign w:val="center"/>
          </w:tcPr>
          <w:p w14:paraId="4EE2CB5A">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77A96E69">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61D6856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68A941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003" w:type="dxa"/>
            <w:tcBorders>
              <w:top w:val="nil"/>
              <w:left w:val="nil"/>
              <w:bottom w:val="single" w:color="auto" w:sz="4" w:space="0"/>
              <w:right w:val="single" w:color="auto" w:sz="4" w:space="0"/>
            </w:tcBorders>
            <w:shd w:val="clear" w:color="000000" w:fill="FFFFFF"/>
            <w:noWrap/>
            <w:vAlign w:val="center"/>
          </w:tcPr>
          <w:p w14:paraId="7179A18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935" w:type="dxa"/>
            <w:tcBorders>
              <w:top w:val="nil"/>
              <w:left w:val="nil"/>
              <w:bottom w:val="single" w:color="auto" w:sz="4" w:space="0"/>
              <w:right w:val="single" w:color="auto" w:sz="4" w:space="0"/>
            </w:tcBorders>
            <w:shd w:val="clear" w:color="000000" w:fill="FFFFFF"/>
            <w:noWrap/>
            <w:vAlign w:val="center"/>
          </w:tcPr>
          <w:p w14:paraId="47F2440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2280D64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134" w:type="dxa"/>
            <w:tcBorders>
              <w:top w:val="nil"/>
              <w:left w:val="nil"/>
              <w:bottom w:val="single" w:color="auto" w:sz="4" w:space="0"/>
              <w:right w:val="single" w:color="auto" w:sz="4" w:space="0"/>
            </w:tcBorders>
            <w:shd w:val="clear" w:color="000000" w:fill="FFFFFF"/>
            <w:noWrap/>
            <w:vAlign w:val="center"/>
          </w:tcPr>
          <w:p w14:paraId="65D4221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935" w:type="dxa"/>
            <w:tcBorders>
              <w:top w:val="nil"/>
              <w:left w:val="nil"/>
              <w:bottom w:val="single" w:color="auto" w:sz="4" w:space="0"/>
              <w:right w:val="single" w:color="auto" w:sz="4" w:space="0"/>
            </w:tcBorders>
            <w:shd w:val="clear" w:color="000000" w:fill="FFFFFF"/>
            <w:noWrap/>
            <w:vAlign w:val="center"/>
          </w:tcPr>
          <w:p w14:paraId="06193EB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2112879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7954BD0B">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77AF8AB4">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33C5A5C9">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富财预〔2023〕4号富民一中管理费补助专项经费</w:t>
            </w:r>
          </w:p>
        </w:tc>
        <w:tc>
          <w:tcPr>
            <w:tcW w:w="993" w:type="dxa"/>
            <w:tcBorders>
              <w:top w:val="nil"/>
              <w:left w:val="nil"/>
              <w:bottom w:val="single" w:color="auto" w:sz="4" w:space="0"/>
              <w:right w:val="single" w:color="auto" w:sz="4" w:space="0"/>
            </w:tcBorders>
            <w:shd w:val="clear" w:color="000000" w:fill="FFFFFF"/>
            <w:noWrap/>
            <w:vAlign w:val="center"/>
          </w:tcPr>
          <w:p w14:paraId="7A3FA62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1BF3B93B">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0DBBD983">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D9A6B9E">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0ABCAA6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117,075.48</w:t>
            </w:r>
          </w:p>
        </w:tc>
        <w:tc>
          <w:tcPr>
            <w:tcW w:w="1003" w:type="dxa"/>
            <w:tcBorders>
              <w:top w:val="nil"/>
              <w:left w:val="nil"/>
              <w:bottom w:val="single" w:color="auto" w:sz="4" w:space="0"/>
              <w:right w:val="single" w:color="auto" w:sz="4" w:space="0"/>
            </w:tcBorders>
            <w:shd w:val="clear" w:color="000000" w:fill="FFFFFF"/>
            <w:noWrap/>
            <w:vAlign w:val="center"/>
          </w:tcPr>
          <w:p w14:paraId="759957E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318D2B7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1FF92BB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2634BD8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117,075.48</w:t>
            </w:r>
          </w:p>
        </w:tc>
        <w:tc>
          <w:tcPr>
            <w:tcW w:w="1134" w:type="dxa"/>
            <w:tcBorders>
              <w:top w:val="nil"/>
              <w:left w:val="nil"/>
              <w:bottom w:val="single" w:color="auto" w:sz="4" w:space="0"/>
              <w:right w:val="single" w:color="auto" w:sz="4" w:space="0"/>
            </w:tcBorders>
            <w:shd w:val="clear" w:color="000000" w:fill="FFFFFF"/>
            <w:noWrap/>
            <w:vAlign w:val="center"/>
          </w:tcPr>
          <w:p w14:paraId="0A976AA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1DB7571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117,075.48</w:t>
            </w:r>
          </w:p>
        </w:tc>
        <w:tc>
          <w:tcPr>
            <w:tcW w:w="832" w:type="dxa"/>
            <w:tcBorders>
              <w:top w:val="nil"/>
              <w:left w:val="nil"/>
              <w:bottom w:val="single" w:color="auto" w:sz="4" w:space="0"/>
              <w:right w:val="single" w:color="auto" w:sz="4" w:space="0"/>
            </w:tcBorders>
            <w:shd w:val="clear" w:color="000000" w:fill="FFFFFF"/>
            <w:noWrap/>
            <w:vAlign w:val="center"/>
          </w:tcPr>
          <w:p w14:paraId="6333CF1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76D16C70">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61C06953">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22BC814F">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富财预〔2023〕1号富民一中普通高中学生学费、住宿费补助资金</w:t>
            </w:r>
          </w:p>
        </w:tc>
        <w:tc>
          <w:tcPr>
            <w:tcW w:w="993" w:type="dxa"/>
            <w:tcBorders>
              <w:top w:val="nil"/>
              <w:left w:val="nil"/>
              <w:bottom w:val="single" w:color="auto" w:sz="4" w:space="0"/>
              <w:right w:val="single" w:color="auto" w:sz="4" w:space="0"/>
            </w:tcBorders>
            <w:shd w:val="clear" w:color="000000" w:fill="FFFFFF"/>
            <w:noWrap/>
            <w:vAlign w:val="center"/>
          </w:tcPr>
          <w:p w14:paraId="28C20E0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003" w:type="dxa"/>
            <w:tcBorders>
              <w:top w:val="nil"/>
              <w:left w:val="nil"/>
              <w:bottom w:val="single" w:color="auto" w:sz="4" w:space="0"/>
              <w:right w:val="single" w:color="auto" w:sz="4" w:space="0"/>
            </w:tcBorders>
            <w:shd w:val="clear" w:color="000000" w:fill="FFFFFF"/>
            <w:noWrap/>
            <w:vAlign w:val="center"/>
          </w:tcPr>
          <w:p w14:paraId="61B3C459">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6854273F">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0776DE0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050" w:type="dxa"/>
            <w:tcBorders>
              <w:top w:val="nil"/>
              <w:left w:val="nil"/>
              <w:bottom w:val="single" w:color="auto" w:sz="4" w:space="0"/>
              <w:right w:val="single" w:color="auto" w:sz="4" w:space="0"/>
            </w:tcBorders>
            <w:shd w:val="clear" w:color="000000" w:fill="FFFFFF"/>
            <w:noWrap/>
            <w:vAlign w:val="center"/>
          </w:tcPr>
          <w:p w14:paraId="09F562B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7719E3A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1,205,440.00</w:t>
            </w:r>
          </w:p>
        </w:tc>
        <w:tc>
          <w:tcPr>
            <w:tcW w:w="1003" w:type="dxa"/>
            <w:tcBorders>
              <w:top w:val="nil"/>
              <w:left w:val="nil"/>
              <w:bottom w:val="single" w:color="auto" w:sz="4" w:space="0"/>
              <w:right w:val="single" w:color="auto" w:sz="4" w:space="0"/>
            </w:tcBorders>
            <w:shd w:val="clear" w:color="000000" w:fill="FFFFFF"/>
            <w:noWrap/>
            <w:vAlign w:val="center"/>
          </w:tcPr>
          <w:p w14:paraId="2969E9B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74D9805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1,205,440.00</w:t>
            </w:r>
          </w:p>
        </w:tc>
        <w:tc>
          <w:tcPr>
            <w:tcW w:w="1032" w:type="dxa"/>
            <w:tcBorders>
              <w:top w:val="nil"/>
              <w:left w:val="nil"/>
              <w:bottom w:val="single" w:color="auto" w:sz="4" w:space="0"/>
              <w:right w:val="single" w:color="auto" w:sz="4" w:space="0"/>
            </w:tcBorders>
            <w:shd w:val="clear" w:color="000000" w:fill="FFFFFF"/>
            <w:noWrap/>
            <w:vAlign w:val="center"/>
          </w:tcPr>
          <w:p w14:paraId="718F27B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1,205,440.00</w:t>
            </w:r>
          </w:p>
        </w:tc>
        <w:tc>
          <w:tcPr>
            <w:tcW w:w="1134" w:type="dxa"/>
            <w:tcBorders>
              <w:top w:val="nil"/>
              <w:left w:val="nil"/>
              <w:bottom w:val="single" w:color="auto" w:sz="4" w:space="0"/>
              <w:right w:val="single" w:color="auto" w:sz="4" w:space="0"/>
            </w:tcBorders>
            <w:shd w:val="clear" w:color="000000" w:fill="FFFFFF"/>
            <w:noWrap/>
            <w:vAlign w:val="center"/>
          </w:tcPr>
          <w:p w14:paraId="16D12BD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4983BE5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1,205,440.00</w:t>
            </w:r>
          </w:p>
        </w:tc>
        <w:tc>
          <w:tcPr>
            <w:tcW w:w="832" w:type="dxa"/>
            <w:tcBorders>
              <w:top w:val="nil"/>
              <w:left w:val="nil"/>
              <w:bottom w:val="single" w:color="auto" w:sz="4" w:space="0"/>
              <w:right w:val="single" w:color="auto" w:sz="4" w:space="0"/>
            </w:tcBorders>
            <w:shd w:val="clear" w:color="000000" w:fill="FFFFFF"/>
            <w:noWrap/>
            <w:vAlign w:val="center"/>
          </w:tcPr>
          <w:p w14:paraId="16FB327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r>
      <w:tr w14:paraId="31D9F2C2">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017350ED">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439A5B96">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富财预〔2023〕4号富民一中管理费补助经费</w:t>
            </w:r>
          </w:p>
        </w:tc>
        <w:tc>
          <w:tcPr>
            <w:tcW w:w="993" w:type="dxa"/>
            <w:tcBorders>
              <w:top w:val="nil"/>
              <w:left w:val="nil"/>
              <w:bottom w:val="single" w:color="auto" w:sz="4" w:space="0"/>
              <w:right w:val="single" w:color="auto" w:sz="4" w:space="0"/>
            </w:tcBorders>
            <w:shd w:val="clear" w:color="000000" w:fill="FFFFFF"/>
            <w:noWrap/>
            <w:vAlign w:val="center"/>
          </w:tcPr>
          <w:p w14:paraId="59FCB2B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23DE252E">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47F6859A">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2367B5FF">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7A5D733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474,700.00</w:t>
            </w:r>
          </w:p>
        </w:tc>
        <w:tc>
          <w:tcPr>
            <w:tcW w:w="1003" w:type="dxa"/>
            <w:tcBorders>
              <w:top w:val="nil"/>
              <w:left w:val="nil"/>
              <w:bottom w:val="single" w:color="auto" w:sz="4" w:space="0"/>
              <w:right w:val="single" w:color="auto" w:sz="4" w:space="0"/>
            </w:tcBorders>
            <w:shd w:val="clear" w:color="000000" w:fill="FFFFFF"/>
            <w:noWrap/>
            <w:vAlign w:val="center"/>
          </w:tcPr>
          <w:p w14:paraId="4C318A4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03" w:type="dxa"/>
            <w:tcBorders>
              <w:top w:val="nil"/>
              <w:left w:val="nil"/>
              <w:bottom w:val="single" w:color="auto" w:sz="4" w:space="0"/>
              <w:right w:val="single" w:color="auto" w:sz="4" w:space="0"/>
            </w:tcBorders>
            <w:shd w:val="clear" w:color="000000" w:fill="FFFFFF"/>
            <w:noWrap/>
            <w:vAlign w:val="center"/>
          </w:tcPr>
          <w:p w14:paraId="016D543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07ABFB2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32" w:type="dxa"/>
            <w:tcBorders>
              <w:top w:val="nil"/>
              <w:left w:val="nil"/>
              <w:bottom w:val="single" w:color="auto" w:sz="4" w:space="0"/>
              <w:right w:val="single" w:color="auto" w:sz="4" w:space="0"/>
            </w:tcBorders>
            <w:shd w:val="clear" w:color="000000" w:fill="FFFFFF"/>
            <w:noWrap/>
            <w:vAlign w:val="center"/>
          </w:tcPr>
          <w:p w14:paraId="14E890D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134" w:type="dxa"/>
            <w:tcBorders>
              <w:top w:val="nil"/>
              <w:left w:val="nil"/>
              <w:bottom w:val="single" w:color="auto" w:sz="4" w:space="0"/>
              <w:right w:val="single" w:color="auto" w:sz="4" w:space="0"/>
            </w:tcBorders>
            <w:shd w:val="clear" w:color="000000" w:fill="FFFFFF"/>
            <w:noWrap/>
            <w:vAlign w:val="center"/>
          </w:tcPr>
          <w:p w14:paraId="1480303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935" w:type="dxa"/>
            <w:tcBorders>
              <w:top w:val="nil"/>
              <w:left w:val="nil"/>
              <w:bottom w:val="single" w:color="auto" w:sz="4" w:space="0"/>
              <w:right w:val="single" w:color="auto" w:sz="4" w:space="0"/>
            </w:tcBorders>
            <w:shd w:val="clear" w:color="000000" w:fill="FFFFFF"/>
            <w:noWrap/>
            <w:vAlign w:val="center"/>
          </w:tcPr>
          <w:p w14:paraId="6DD5CB8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832" w:type="dxa"/>
            <w:tcBorders>
              <w:top w:val="nil"/>
              <w:left w:val="nil"/>
              <w:bottom w:val="single" w:color="auto" w:sz="4" w:space="0"/>
              <w:right w:val="single" w:color="auto" w:sz="4" w:space="0"/>
            </w:tcBorders>
            <w:shd w:val="clear" w:color="000000" w:fill="FFFFFF"/>
            <w:noWrap/>
            <w:vAlign w:val="center"/>
          </w:tcPr>
          <w:p w14:paraId="62C8B6C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474,700.00</w:t>
            </w:r>
          </w:p>
        </w:tc>
      </w:tr>
      <w:tr w14:paraId="3D913E6C">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28D4A23D">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0505C786">
            <w:pPr>
              <w:widowControl/>
              <w:jc w:val="left"/>
              <w:rPr>
                <w:rFonts w:ascii="仿宋" w:hAnsi="仿宋" w:eastAsia="仿宋" w:cs="宋体"/>
                <w:color w:val="000000"/>
                <w:kern w:val="0"/>
                <w:sz w:val="13"/>
                <w:szCs w:val="13"/>
              </w:rPr>
            </w:pPr>
            <w:r>
              <w:rPr>
                <w:rFonts w:hint="eastAsia" w:ascii="仿宋" w:hAnsi="仿宋" w:eastAsia="仿宋" w:cs="宋体"/>
                <w:color w:val="000000"/>
                <w:kern w:val="0"/>
                <w:sz w:val="13"/>
                <w:szCs w:val="13"/>
              </w:rPr>
              <w:t>2022年考入全日制普通高等学院贫困新生市级补助专项资金</w:t>
            </w:r>
          </w:p>
        </w:tc>
        <w:tc>
          <w:tcPr>
            <w:tcW w:w="993" w:type="dxa"/>
            <w:tcBorders>
              <w:top w:val="nil"/>
              <w:left w:val="nil"/>
              <w:bottom w:val="single" w:color="auto" w:sz="4" w:space="0"/>
              <w:right w:val="single" w:color="auto" w:sz="4" w:space="0"/>
            </w:tcBorders>
            <w:shd w:val="clear" w:color="000000" w:fill="FFFFFF"/>
            <w:noWrap/>
            <w:vAlign w:val="center"/>
          </w:tcPr>
          <w:p w14:paraId="6D35BDD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500.00</w:t>
            </w:r>
          </w:p>
        </w:tc>
        <w:tc>
          <w:tcPr>
            <w:tcW w:w="1003" w:type="dxa"/>
            <w:tcBorders>
              <w:top w:val="nil"/>
              <w:left w:val="nil"/>
              <w:bottom w:val="single" w:color="auto" w:sz="4" w:space="0"/>
              <w:right w:val="single" w:color="auto" w:sz="4" w:space="0"/>
            </w:tcBorders>
            <w:shd w:val="clear" w:color="000000" w:fill="FFFFFF"/>
            <w:noWrap/>
            <w:vAlign w:val="center"/>
          </w:tcPr>
          <w:p w14:paraId="6E1C11A1">
            <w:pPr>
              <w:widowControl/>
              <w:jc w:val="right"/>
              <w:rPr>
                <w:rFonts w:ascii="Arial Narrow" w:hAnsi="Arial Narrow" w:eastAsia="等线" w:cs="宋体"/>
                <w:color w:val="000000"/>
                <w:kern w:val="0"/>
                <w:sz w:val="15"/>
                <w:szCs w:val="15"/>
              </w:rPr>
            </w:pPr>
          </w:p>
        </w:tc>
        <w:tc>
          <w:tcPr>
            <w:tcW w:w="992" w:type="dxa"/>
            <w:tcBorders>
              <w:top w:val="nil"/>
              <w:left w:val="nil"/>
              <w:bottom w:val="single" w:color="auto" w:sz="4" w:space="0"/>
              <w:right w:val="single" w:color="auto" w:sz="4" w:space="0"/>
            </w:tcBorders>
            <w:shd w:val="clear" w:color="000000" w:fill="FFFFFF"/>
            <w:noWrap/>
            <w:vAlign w:val="center"/>
          </w:tcPr>
          <w:p w14:paraId="1111416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500.00</w:t>
            </w:r>
          </w:p>
        </w:tc>
        <w:tc>
          <w:tcPr>
            <w:tcW w:w="935" w:type="dxa"/>
            <w:tcBorders>
              <w:top w:val="nil"/>
              <w:left w:val="nil"/>
              <w:bottom w:val="single" w:color="auto" w:sz="4" w:space="0"/>
              <w:right w:val="single" w:color="auto" w:sz="4" w:space="0"/>
            </w:tcBorders>
            <w:shd w:val="clear" w:color="000000" w:fill="FFFFFF"/>
            <w:noWrap/>
            <w:vAlign w:val="center"/>
          </w:tcPr>
          <w:p w14:paraId="31803AC9">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0AD4F671">
            <w:pPr>
              <w:widowControl/>
              <w:jc w:val="right"/>
              <w:rPr>
                <w:rFonts w:ascii="Arial Narrow" w:hAnsi="Arial Narrow" w:eastAsia="等线" w:cs="宋体"/>
                <w:color w:val="000000"/>
                <w:kern w:val="0"/>
                <w:sz w:val="15"/>
                <w:szCs w:val="15"/>
              </w:rPr>
            </w:pPr>
          </w:p>
        </w:tc>
        <w:tc>
          <w:tcPr>
            <w:tcW w:w="1003" w:type="dxa"/>
            <w:tcBorders>
              <w:top w:val="nil"/>
              <w:left w:val="nil"/>
              <w:bottom w:val="single" w:color="auto" w:sz="4" w:space="0"/>
              <w:right w:val="single" w:color="auto" w:sz="4" w:space="0"/>
            </w:tcBorders>
            <w:shd w:val="clear" w:color="000000" w:fill="FFFFFF"/>
            <w:noWrap/>
            <w:vAlign w:val="center"/>
          </w:tcPr>
          <w:p w14:paraId="5C671D1E">
            <w:pPr>
              <w:widowControl/>
              <w:jc w:val="right"/>
              <w:rPr>
                <w:rFonts w:ascii="Arial Narrow" w:hAnsi="Arial Narrow" w:eastAsia="等线" w:cs="宋体"/>
                <w:color w:val="000000"/>
                <w:kern w:val="0"/>
                <w:sz w:val="15"/>
                <w:szCs w:val="15"/>
              </w:rPr>
            </w:pPr>
          </w:p>
        </w:tc>
        <w:tc>
          <w:tcPr>
            <w:tcW w:w="1003" w:type="dxa"/>
            <w:tcBorders>
              <w:top w:val="nil"/>
              <w:left w:val="nil"/>
              <w:bottom w:val="single" w:color="auto" w:sz="4" w:space="0"/>
              <w:right w:val="single" w:color="auto" w:sz="4" w:space="0"/>
            </w:tcBorders>
            <w:shd w:val="clear" w:color="000000" w:fill="FFFFFF"/>
            <w:noWrap/>
            <w:vAlign w:val="center"/>
          </w:tcPr>
          <w:p w14:paraId="17A2B771">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5E3A1DC8">
            <w:pPr>
              <w:widowControl/>
              <w:jc w:val="right"/>
              <w:rPr>
                <w:rFonts w:ascii="Arial Narrow" w:hAnsi="Arial Narrow" w:eastAsia="等线" w:cs="宋体"/>
                <w:color w:val="000000"/>
                <w:kern w:val="0"/>
                <w:sz w:val="15"/>
                <w:szCs w:val="15"/>
              </w:rPr>
            </w:pPr>
          </w:p>
        </w:tc>
        <w:tc>
          <w:tcPr>
            <w:tcW w:w="1032" w:type="dxa"/>
            <w:tcBorders>
              <w:top w:val="nil"/>
              <w:left w:val="nil"/>
              <w:bottom w:val="single" w:color="auto" w:sz="4" w:space="0"/>
              <w:right w:val="single" w:color="auto" w:sz="4" w:space="0"/>
            </w:tcBorders>
            <w:shd w:val="clear" w:color="000000" w:fill="FFFFFF"/>
            <w:noWrap/>
            <w:vAlign w:val="center"/>
          </w:tcPr>
          <w:p w14:paraId="5ED3F7B7">
            <w:pPr>
              <w:widowControl/>
              <w:jc w:val="right"/>
              <w:rPr>
                <w:rFonts w:ascii="Arial Narrow" w:hAnsi="Arial Narrow" w:eastAsia="等线" w:cs="宋体"/>
                <w:color w:val="000000"/>
                <w:kern w:val="0"/>
                <w:sz w:val="15"/>
                <w:szCs w:val="15"/>
              </w:rPr>
            </w:pPr>
          </w:p>
        </w:tc>
        <w:tc>
          <w:tcPr>
            <w:tcW w:w="1134" w:type="dxa"/>
            <w:tcBorders>
              <w:top w:val="nil"/>
              <w:left w:val="nil"/>
              <w:bottom w:val="single" w:color="auto" w:sz="4" w:space="0"/>
              <w:right w:val="single" w:color="auto" w:sz="4" w:space="0"/>
            </w:tcBorders>
            <w:shd w:val="clear" w:color="000000" w:fill="FFFFFF"/>
            <w:noWrap/>
            <w:vAlign w:val="center"/>
          </w:tcPr>
          <w:p w14:paraId="6B62707E">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27176BF2">
            <w:pPr>
              <w:widowControl/>
              <w:jc w:val="right"/>
              <w:rPr>
                <w:rFonts w:ascii="Arial Narrow" w:hAnsi="Arial Narrow" w:eastAsia="等线" w:cs="宋体"/>
                <w:color w:val="000000"/>
                <w:kern w:val="0"/>
                <w:sz w:val="15"/>
                <w:szCs w:val="15"/>
              </w:rPr>
            </w:pPr>
          </w:p>
        </w:tc>
        <w:tc>
          <w:tcPr>
            <w:tcW w:w="832" w:type="dxa"/>
            <w:tcBorders>
              <w:top w:val="nil"/>
              <w:left w:val="nil"/>
              <w:bottom w:val="single" w:color="auto" w:sz="4" w:space="0"/>
              <w:right w:val="single" w:color="auto" w:sz="4" w:space="0"/>
            </w:tcBorders>
            <w:shd w:val="clear" w:color="000000" w:fill="FFFFFF"/>
            <w:noWrap/>
            <w:vAlign w:val="center"/>
          </w:tcPr>
          <w:p w14:paraId="4FD5C12A">
            <w:pPr>
              <w:widowControl/>
              <w:jc w:val="right"/>
              <w:rPr>
                <w:rFonts w:ascii="Arial Narrow" w:hAnsi="Arial Narrow" w:eastAsia="等线" w:cs="宋体"/>
                <w:color w:val="000000"/>
                <w:kern w:val="0"/>
                <w:sz w:val="15"/>
                <w:szCs w:val="15"/>
              </w:rPr>
            </w:pPr>
          </w:p>
        </w:tc>
      </w:tr>
      <w:tr w14:paraId="5B2E9989">
        <w:tblPrEx>
          <w:tblCellMar>
            <w:top w:w="0" w:type="dxa"/>
            <w:left w:w="108" w:type="dxa"/>
            <w:bottom w:w="0" w:type="dxa"/>
            <w:right w:w="108" w:type="dxa"/>
          </w:tblCellMar>
        </w:tblPrEx>
        <w:trPr>
          <w:trHeight w:val="408"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6EF03C59">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auto" w:fill="auto"/>
            <w:vAlign w:val="center"/>
          </w:tcPr>
          <w:p w14:paraId="2FD89834">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学校托管校长奖补经费</w:t>
            </w:r>
          </w:p>
        </w:tc>
        <w:tc>
          <w:tcPr>
            <w:tcW w:w="993" w:type="dxa"/>
            <w:tcBorders>
              <w:top w:val="nil"/>
              <w:left w:val="nil"/>
              <w:bottom w:val="single" w:color="auto" w:sz="4" w:space="0"/>
              <w:right w:val="single" w:color="auto" w:sz="4" w:space="0"/>
            </w:tcBorders>
            <w:shd w:val="clear" w:color="000000" w:fill="FFFFFF"/>
            <w:noWrap/>
            <w:vAlign w:val="center"/>
          </w:tcPr>
          <w:p w14:paraId="6C5EF10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60,000.00</w:t>
            </w:r>
          </w:p>
        </w:tc>
        <w:tc>
          <w:tcPr>
            <w:tcW w:w="1003" w:type="dxa"/>
            <w:tcBorders>
              <w:top w:val="nil"/>
              <w:left w:val="nil"/>
              <w:bottom w:val="single" w:color="auto" w:sz="4" w:space="0"/>
              <w:right w:val="single" w:color="auto" w:sz="4" w:space="0"/>
            </w:tcBorders>
            <w:shd w:val="clear" w:color="000000" w:fill="FFFFFF"/>
            <w:noWrap/>
            <w:vAlign w:val="center"/>
          </w:tcPr>
          <w:p w14:paraId="0D2EFB8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60,000.00</w:t>
            </w:r>
          </w:p>
        </w:tc>
        <w:tc>
          <w:tcPr>
            <w:tcW w:w="992" w:type="dxa"/>
            <w:tcBorders>
              <w:top w:val="nil"/>
              <w:left w:val="nil"/>
              <w:bottom w:val="single" w:color="auto" w:sz="4" w:space="0"/>
              <w:right w:val="single" w:color="auto" w:sz="4" w:space="0"/>
            </w:tcBorders>
            <w:shd w:val="clear" w:color="000000" w:fill="FFFFFF"/>
            <w:noWrap/>
            <w:vAlign w:val="center"/>
          </w:tcPr>
          <w:p w14:paraId="092EA06E">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1DAC7890">
            <w:pPr>
              <w:widowControl/>
              <w:jc w:val="right"/>
              <w:rPr>
                <w:rFonts w:ascii="Arial Narrow" w:hAnsi="Arial Narrow" w:eastAsia="等线" w:cs="宋体"/>
                <w:color w:val="000000"/>
                <w:kern w:val="0"/>
                <w:sz w:val="15"/>
                <w:szCs w:val="15"/>
              </w:rPr>
            </w:pPr>
          </w:p>
        </w:tc>
        <w:tc>
          <w:tcPr>
            <w:tcW w:w="1050" w:type="dxa"/>
            <w:tcBorders>
              <w:top w:val="nil"/>
              <w:left w:val="nil"/>
              <w:bottom w:val="single" w:color="auto" w:sz="4" w:space="0"/>
              <w:right w:val="single" w:color="auto" w:sz="4" w:space="0"/>
            </w:tcBorders>
            <w:shd w:val="clear" w:color="000000" w:fill="FFFFFF"/>
            <w:noWrap/>
            <w:vAlign w:val="center"/>
          </w:tcPr>
          <w:p w14:paraId="4990170D">
            <w:pPr>
              <w:widowControl/>
              <w:jc w:val="right"/>
              <w:rPr>
                <w:rFonts w:ascii="Arial Narrow" w:hAnsi="Arial Narrow" w:eastAsia="等线" w:cs="宋体"/>
                <w:color w:val="000000"/>
                <w:kern w:val="0"/>
                <w:sz w:val="15"/>
                <w:szCs w:val="15"/>
              </w:rPr>
            </w:pPr>
          </w:p>
        </w:tc>
        <w:tc>
          <w:tcPr>
            <w:tcW w:w="1003" w:type="dxa"/>
            <w:tcBorders>
              <w:top w:val="nil"/>
              <w:left w:val="nil"/>
              <w:bottom w:val="single" w:color="auto" w:sz="4" w:space="0"/>
              <w:right w:val="single" w:color="auto" w:sz="4" w:space="0"/>
            </w:tcBorders>
            <w:shd w:val="clear" w:color="000000" w:fill="FFFFFF"/>
            <w:noWrap/>
            <w:vAlign w:val="center"/>
          </w:tcPr>
          <w:p w14:paraId="44ACCB7F">
            <w:pPr>
              <w:widowControl/>
              <w:jc w:val="right"/>
              <w:rPr>
                <w:rFonts w:ascii="Arial Narrow" w:hAnsi="Arial Narrow" w:eastAsia="等线" w:cs="宋体"/>
                <w:color w:val="000000"/>
                <w:kern w:val="0"/>
                <w:sz w:val="15"/>
                <w:szCs w:val="15"/>
              </w:rPr>
            </w:pPr>
          </w:p>
        </w:tc>
        <w:tc>
          <w:tcPr>
            <w:tcW w:w="1003" w:type="dxa"/>
            <w:tcBorders>
              <w:top w:val="nil"/>
              <w:left w:val="nil"/>
              <w:bottom w:val="single" w:color="auto" w:sz="4" w:space="0"/>
              <w:right w:val="single" w:color="auto" w:sz="4" w:space="0"/>
            </w:tcBorders>
            <w:shd w:val="clear" w:color="000000" w:fill="FFFFFF"/>
            <w:noWrap/>
            <w:vAlign w:val="center"/>
          </w:tcPr>
          <w:p w14:paraId="1AC333FE">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6CEBB3FB">
            <w:pPr>
              <w:widowControl/>
              <w:jc w:val="right"/>
              <w:rPr>
                <w:rFonts w:ascii="Arial Narrow" w:hAnsi="Arial Narrow" w:eastAsia="等线" w:cs="宋体"/>
                <w:color w:val="000000"/>
                <w:kern w:val="0"/>
                <w:sz w:val="15"/>
                <w:szCs w:val="15"/>
              </w:rPr>
            </w:pPr>
          </w:p>
        </w:tc>
        <w:tc>
          <w:tcPr>
            <w:tcW w:w="1032" w:type="dxa"/>
            <w:tcBorders>
              <w:top w:val="nil"/>
              <w:left w:val="nil"/>
              <w:bottom w:val="single" w:color="auto" w:sz="4" w:space="0"/>
              <w:right w:val="single" w:color="auto" w:sz="4" w:space="0"/>
            </w:tcBorders>
            <w:shd w:val="clear" w:color="000000" w:fill="FFFFFF"/>
            <w:noWrap/>
            <w:vAlign w:val="center"/>
          </w:tcPr>
          <w:p w14:paraId="4AFDA7C7">
            <w:pPr>
              <w:widowControl/>
              <w:jc w:val="right"/>
              <w:rPr>
                <w:rFonts w:ascii="Arial Narrow" w:hAnsi="Arial Narrow" w:eastAsia="等线" w:cs="宋体"/>
                <w:color w:val="000000"/>
                <w:kern w:val="0"/>
                <w:sz w:val="15"/>
                <w:szCs w:val="15"/>
              </w:rPr>
            </w:pPr>
          </w:p>
        </w:tc>
        <w:tc>
          <w:tcPr>
            <w:tcW w:w="1134" w:type="dxa"/>
            <w:tcBorders>
              <w:top w:val="nil"/>
              <w:left w:val="nil"/>
              <w:bottom w:val="single" w:color="auto" w:sz="4" w:space="0"/>
              <w:right w:val="single" w:color="auto" w:sz="4" w:space="0"/>
            </w:tcBorders>
            <w:shd w:val="clear" w:color="000000" w:fill="FFFFFF"/>
            <w:noWrap/>
            <w:vAlign w:val="center"/>
          </w:tcPr>
          <w:p w14:paraId="4AE79E9B">
            <w:pPr>
              <w:widowControl/>
              <w:jc w:val="right"/>
              <w:rPr>
                <w:rFonts w:ascii="Arial Narrow" w:hAnsi="Arial Narrow" w:eastAsia="等线" w:cs="宋体"/>
                <w:color w:val="000000"/>
                <w:kern w:val="0"/>
                <w:sz w:val="15"/>
                <w:szCs w:val="15"/>
              </w:rPr>
            </w:pPr>
          </w:p>
        </w:tc>
        <w:tc>
          <w:tcPr>
            <w:tcW w:w="935" w:type="dxa"/>
            <w:tcBorders>
              <w:top w:val="nil"/>
              <w:left w:val="nil"/>
              <w:bottom w:val="single" w:color="auto" w:sz="4" w:space="0"/>
              <w:right w:val="single" w:color="auto" w:sz="4" w:space="0"/>
            </w:tcBorders>
            <w:shd w:val="clear" w:color="000000" w:fill="FFFFFF"/>
            <w:noWrap/>
            <w:vAlign w:val="center"/>
          </w:tcPr>
          <w:p w14:paraId="4E01A8FA">
            <w:pPr>
              <w:widowControl/>
              <w:jc w:val="right"/>
              <w:rPr>
                <w:rFonts w:ascii="Arial Narrow" w:hAnsi="Arial Narrow" w:eastAsia="等线" w:cs="宋体"/>
                <w:color w:val="000000"/>
                <w:kern w:val="0"/>
                <w:sz w:val="15"/>
                <w:szCs w:val="15"/>
              </w:rPr>
            </w:pPr>
          </w:p>
        </w:tc>
        <w:tc>
          <w:tcPr>
            <w:tcW w:w="832" w:type="dxa"/>
            <w:tcBorders>
              <w:top w:val="nil"/>
              <w:left w:val="nil"/>
              <w:bottom w:val="single" w:color="auto" w:sz="4" w:space="0"/>
              <w:right w:val="single" w:color="auto" w:sz="4" w:space="0"/>
            </w:tcBorders>
            <w:shd w:val="clear" w:color="000000" w:fill="FFFFFF"/>
            <w:noWrap/>
            <w:vAlign w:val="center"/>
          </w:tcPr>
          <w:p w14:paraId="0114158A">
            <w:pPr>
              <w:widowControl/>
              <w:jc w:val="right"/>
              <w:rPr>
                <w:rFonts w:ascii="Arial Narrow" w:hAnsi="Arial Narrow" w:eastAsia="等线" w:cs="宋体"/>
                <w:color w:val="000000"/>
                <w:kern w:val="0"/>
                <w:sz w:val="15"/>
                <w:szCs w:val="15"/>
              </w:rPr>
            </w:pPr>
          </w:p>
        </w:tc>
      </w:tr>
      <w:tr w14:paraId="32C9FD0F">
        <w:tblPrEx>
          <w:tblCellMar>
            <w:top w:w="0" w:type="dxa"/>
            <w:left w:w="108" w:type="dxa"/>
            <w:bottom w:w="0" w:type="dxa"/>
            <w:right w:w="108" w:type="dxa"/>
          </w:tblCellMar>
        </w:tblPrEx>
        <w:trPr>
          <w:trHeight w:val="276" w:hRule="atLeast"/>
          <w:jc w:val="center"/>
        </w:trPr>
        <w:tc>
          <w:tcPr>
            <w:tcW w:w="630" w:type="dxa"/>
            <w:vMerge w:val="continue"/>
            <w:tcBorders>
              <w:top w:val="nil"/>
              <w:left w:val="single" w:color="auto" w:sz="4" w:space="0"/>
              <w:bottom w:val="single" w:color="auto" w:sz="4" w:space="0"/>
              <w:right w:val="single" w:color="auto" w:sz="4" w:space="0"/>
            </w:tcBorders>
            <w:vAlign w:val="center"/>
          </w:tcPr>
          <w:p w14:paraId="2385A113">
            <w:pPr>
              <w:widowControl/>
              <w:jc w:val="left"/>
              <w:rPr>
                <w:rFonts w:ascii="仿宋" w:hAnsi="仿宋" w:eastAsia="仿宋" w:cs="宋体"/>
                <w:color w:val="000000"/>
                <w:kern w:val="0"/>
                <w:sz w:val="15"/>
                <w:szCs w:val="15"/>
              </w:rPr>
            </w:pPr>
          </w:p>
        </w:tc>
        <w:tc>
          <w:tcPr>
            <w:tcW w:w="2200" w:type="dxa"/>
            <w:tcBorders>
              <w:top w:val="nil"/>
              <w:left w:val="nil"/>
              <w:bottom w:val="single" w:color="auto" w:sz="4" w:space="0"/>
              <w:right w:val="single" w:color="auto" w:sz="4" w:space="0"/>
            </w:tcBorders>
            <w:shd w:val="clear" w:color="000000" w:fill="FFFFFF"/>
            <w:noWrap/>
            <w:vAlign w:val="center"/>
          </w:tcPr>
          <w:p w14:paraId="62E62BBE">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项目支出合计</w:t>
            </w:r>
          </w:p>
        </w:tc>
        <w:tc>
          <w:tcPr>
            <w:tcW w:w="993" w:type="dxa"/>
            <w:tcBorders>
              <w:top w:val="nil"/>
              <w:left w:val="nil"/>
              <w:bottom w:val="single" w:color="auto" w:sz="4" w:space="0"/>
              <w:right w:val="single" w:color="auto" w:sz="4" w:space="0"/>
            </w:tcBorders>
            <w:shd w:val="clear" w:color="000000" w:fill="FFFFFF"/>
            <w:noWrap/>
            <w:vAlign w:val="center"/>
          </w:tcPr>
          <w:p w14:paraId="5240C4E9">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3,290,180.00</w:t>
            </w:r>
          </w:p>
        </w:tc>
        <w:tc>
          <w:tcPr>
            <w:tcW w:w="1003" w:type="dxa"/>
            <w:tcBorders>
              <w:top w:val="nil"/>
              <w:left w:val="nil"/>
              <w:bottom w:val="single" w:color="auto" w:sz="4" w:space="0"/>
              <w:right w:val="single" w:color="auto" w:sz="4" w:space="0"/>
            </w:tcBorders>
            <w:shd w:val="clear" w:color="000000" w:fill="FFFFFF"/>
            <w:noWrap/>
            <w:vAlign w:val="center"/>
          </w:tcPr>
          <w:p w14:paraId="04EFF4B1">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1,660,000.00</w:t>
            </w:r>
          </w:p>
        </w:tc>
        <w:tc>
          <w:tcPr>
            <w:tcW w:w="992" w:type="dxa"/>
            <w:tcBorders>
              <w:top w:val="nil"/>
              <w:left w:val="nil"/>
              <w:bottom w:val="single" w:color="auto" w:sz="4" w:space="0"/>
              <w:right w:val="single" w:color="auto" w:sz="4" w:space="0"/>
            </w:tcBorders>
            <w:shd w:val="clear" w:color="000000" w:fill="FFFFFF"/>
            <w:noWrap/>
            <w:vAlign w:val="center"/>
          </w:tcPr>
          <w:p w14:paraId="5B6A122E">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130,180.00</w:t>
            </w:r>
          </w:p>
        </w:tc>
        <w:tc>
          <w:tcPr>
            <w:tcW w:w="935" w:type="dxa"/>
            <w:tcBorders>
              <w:top w:val="nil"/>
              <w:left w:val="nil"/>
              <w:bottom w:val="single" w:color="auto" w:sz="4" w:space="0"/>
              <w:right w:val="single" w:color="auto" w:sz="4" w:space="0"/>
            </w:tcBorders>
            <w:shd w:val="clear" w:color="000000" w:fill="FFFFFF"/>
            <w:noWrap/>
            <w:vAlign w:val="center"/>
          </w:tcPr>
          <w:p w14:paraId="0826DBDC">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1,500,000.00</w:t>
            </w:r>
          </w:p>
        </w:tc>
        <w:tc>
          <w:tcPr>
            <w:tcW w:w="1050" w:type="dxa"/>
            <w:tcBorders>
              <w:top w:val="nil"/>
              <w:left w:val="nil"/>
              <w:bottom w:val="single" w:color="auto" w:sz="4" w:space="0"/>
              <w:right w:val="single" w:color="auto" w:sz="4" w:space="0"/>
            </w:tcBorders>
            <w:shd w:val="clear" w:color="000000" w:fill="FFFFFF"/>
            <w:noWrap/>
            <w:vAlign w:val="center"/>
          </w:tcPr>
          <w:p w14:paraId="794216C2">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1,022,150.23</w:t>
            </w:r>
          </w:p>
        </w:tc>
        <w:tc>
          <w:tcPr>
            <w:tcW w:w="1003" w:type="dxa"/>
            <w:tcBorders>
              <w:top w:val="nil"/>
              <w:left w:val="nil"/>
              <w:bottom w:val="single" w:color="auto" w:sz="4" w:space="0"/>
              <w:right w:val="single" w:color="auto" w:sz="4" w:space="0"/>
            </w:tcBorders>
            <w:shd w:val="clear" w:color="000000" w:fill="FFFFFF"/>
            <w:noWrap/>
            <w:vAlign w:val="center"/>
          </w:tcPr>
          <w:p w14:paraId="7A53C527">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6,649,897.50</w:t>
            </w:r>
          </w:p>
        </w:tc>
        <w:tc>
          <w:tcPr>
            <w:tcW w:w="1003" w:type="dxa"/>
            <w:tcBorders>
              <w:top w:val="nil"/>
              <w:left w:val="nil"/>
              <w:bottom w:val="single" w:color="auto" w:sz="4" w:space="0"/>
              <w:right w:val="single" w:color="auto" w:sz="4" w:space="0"/>
            </w:tcBorders>
            <w:shd w:val="clear" w:color="000000" w:fill="FFFFFF"/>
            <w:noWrap/>
            <w:vAlign w:val="center"/>
          </w:tcPr>
          <w:p w14:paraId="3329F0B6">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5,428,739.50</w:t>
            </w:r>
          </w:p>
        </w:tc>
        <w:tc>
          <w:tcPr>
            <w:tcW w:w="935" w:type="dxa"/>
            <w:tcBorders>
              <w:top w:val="nil"/>
              <w:left w:val="nil"/>
              <w:bottom w:val="single" w:color="auto" w:sz="4" w:space="0"/>
              <w:right w:val="single" w:color="auto" w:sz="4" w:space="0"/>
            </w:tcBorders>
            <w:shd w:val="clear" w:color="000000" w:fill="FFFFFF"/>
            <w:noWrap/>
            <w:vAlign w:val="center"/>
          </w:tcPr>
          <w:p w14:paraId="3DF3CAA6">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1,221,158.00</w:t>
            </w:r>
          </w:p>
        </w:tc>
        <w:tc>
          <w:tcPr>
            <w:tcW w:w="1032" w:type="dxa"/>
            <w:tcBorders>
              <w:top w:val="nil"/>
              <w:left w:val="nil"/>
              <w:bottom w:val="single" w:color="auto" w:sz="4" w:space="0"/>
              <w:right w:val="single" w:color="auto" w:sz="4" w:space="0"/>
            </w:tcBorders>
            <w:shd w:val="clear" w:color="000000" w:fill="FFFFFF"/>
            <w:noWrap/>
            <w:vAlign w:val="center"/>
          </w:tcPr>
          <w:p w14:paraId="61F62BB8">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6,966,972.98</w:t>
            </w:r>
          </w:p>
        </w:tc>
        <w:tc>
          <w:tcPr>
            <w:tcW w:w="1134" w:type="dxa"/>
            <w:tcBorders>
              <w:top w:val="nil"/>
              <w:left w:val="nil"/>
              <w:bottom w:val="single" w:color="auto" w:sz="4" w:space="0"/>
              <w:right w:val="single" w:color="auto" w:sz="4" w:space="0"/>
            </w:tcBorders>
            <w:shd w:val="clear" w:color="000000" w:fill="FFFFFF"/>
            <w:noWrap/>
            <w:vAlign w:val="center"/>
          </w:tcPr>
          <w:p w14:paraId="105FCD71">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5,628,739.50</w:t>
            </w:r>
          </w:p>
        </w:tc>
        <w:tc>
          <w:tcPr>
            <w:tcW w:w="935" w:type="dxa"/>
            <w:tcBorders>
              <w:top w:val="nil"/>
              <w:left w:val="nil"/>
              <w:bottom w:val="single" w:color="auto" w:sz="4" w:space="0"/>
              <w:right w:val="single" w:color="auto" w:sz="4" w:space="0"/>
            </w:tcBorders>
            <w:shd w:val="clear" w:color="000000" w:fill="FFFFFF"/>
            <w:noWrap/>
            <w:vAlign w:val="center"/>
          </w:tcPr>
          <w:p w14:paraId="50FB2428">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1,338,233.48</w:t>
            </w:r>
          </w:p>
        </w:tc>
        <w:tc>
          <w:tcPr>
            <w:tcW w:w="832" w:type="dxa"/>
            <w:tcBorders>
              <w:top w:val="nil"/>
              <w:left w:val="nil"/>
              <w:bottom w:val="single" w:color="auto" w:sz="4" w:space="0"/>
              <w:right w:val="single" w:color="auto" w:sz="4" w:space="0"/>
            </w:tcBorders>
            <w:shd w:val="clear" w:color="000000" w:fill="FFFFFF"/>
            <w:noWrap/>
            <w:vAlign w:val="center"/>
          </w:tcPr>
          <w:p w14:paraId="01BC3CAE">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705,074.75</w:t>
            </w:r>
          </w:p>
        </w:tc>
      </w:tr>
      <w:tr w14:paraId="49204681">
        <w:tblPrEx>
          <w:tblCellMar>
            <w:top w:w="0" w:type="dxa"/>
            <w:left w:w="108" w:type="dxa"/>
            <w:bottom w:w="0" w:type="dxa"/>
            <w:right w:w="108" w:type="dxa"/>
          </w:tblCellMar>
        </w:tblPrEx>
        <w:trPr>
          <w:trHeight w:val="276" w:hRule="atLeast"/>
          <w:jc w:val="center"/>
        </w:trPr>
        <w:tc>
          <w:tcPr>
            <w:tcW w:w="630" w:type="dxa"/>
            <w:tcBorders>
              <w:top w:val="nil"/>
              <w:left w:val="single" w:color="auto" w:sz="4" w:space="0"/>
              <w:bottom w:val="single" w:color="auto" w:sz="4" w:space="0"/>
              <w:right w:val="single" w:color="auto" w:sz="4" w:space="0"/>
            </w:tcBorders>
            <w:shd w:val="clear" w:color="auto" w:fill="auto"/>
            <w:noWrap/>
            <w:vAlign w:val="center"/>
          </w:tcPr>
          <w:p w14:paraId="0CA3AD71">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总计</w:t>
            </w:r>
          </w:p>
        </w:tc>
        <w:tc>
          <w:tcPr>
            <w:tcW w:w="2200" w:type="dxa"/>
            <w:tcBorders>
              <w:top w:val="nil"/>
              <w:left w:val="nil"/>
              <w:bottom w:val="single" w:color="auto" w:sz="4" w:space="0"/>
              <w:right w:val="single" w:color="auto" w:sz="4" w:space="0"/>
            </w:tcBorders>
            <w:shd w:val="clear" w:color="auto" w:fill="auto"/>
            <w:noWrap/>
            <w:vAlign w:val="center"/>
          </w:tcPr>
          <w:p w14:paraId="35EA0FF2">
            <w:pPr>
              <w:widowControl/>
              <w:jc w:val="left"/>
              <w:rPr>
                <w:rFonts w:ascii="等线" w:hAnsi="等线" w:eastAsia="等线" w:cs="宋体"/>
                <w:color w:val="000000"/>
                <w:kern w:val="0"/>
                <w:sz w:val="15"/>
                <w:szCs w:val="15"/>
              </w:rPr>
            </w:pPr>
            <w:r>
              <w:rPr>
                <w:rFonts w:hint="eastAsia" w:ascii="等线" w:hAnsi="等线" w:eastAsia="等线" w:cs="宋体"/>
                <w:color w:val="000000"/>
                <w:kern w:val="0"/>
                <w:sz w:val="15"/>
                <w:szCs w:val="15"/>
              </w:rPr>
              <w:t>　</w:t>
            </w:r>
          </w:p>
        </w:tc>
        <w:tc>
          <w:tcPr>
            <w:tcW w:w="993" w:type="dxa"/>
            <w:tcBorders>
              <w:top w:val="nil"/>
              <w:left w:val="nil"/>
              <w:bottom w:val="single" w:color="auto" w:sz="4" w:space="0"/>
              <w:right w:val="single" w:color="auto" w:sz="4" w:space="0"/>
            </w:tcBorders>
            <w:shd w:val="clear" w:color="000000" w:fill="FFFFFF"/>
            <w:noWrap/>
            <w:vAlign w:val="center"/>
          </w:tcPr>
          <w:p w14:paraId="66709DE3">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51,451,699.09</w:t>
            </w:r>
          </w:p>
        </w:tc>
        <w:tc>
          <w:tcPr>
            <w:tcW w:w="1003" w:type="dxa"/>
            <w:tcBorders>
              <w:top w:val="nil"/>
              <w:left w:val="nil"/>
              <w:bottom w:val="single" w:color="auto" w:sz="4" w:space="0"/>
              <w:right w:val="single" w:color="auto" w:sz="4" w:space="0"/>
            </w:tcBorders>
            <w:shd w:val="clear" w:color="000000" w:fill="FFFFFF"/>
            <w:noWrap/>
            <w:vAlign w:val="center"/>
          </w:tcPr>
          <w:p w14:paraId="44A290D6">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49,821,519.09</w:t>
            </w:r>
          </w:p>
        </w:tc>
        <w:tc>
          <w:tcPr>
            <w:tcW w:w="992" w:type="dxa"/>
            <w:tcBorders>
              <w:top w:val="nil"/>
              <w:left w:val="nil"/>
              <w:bottom w:val="single" w:color="auto" w:sz="4" w:space="0"/>
              <w:right w:val="single" w:color="auto" w:sz="4" w:space="0"/>
            </w:tcBorders>
            <w:shd w:val="clear" w:color="000000" w:fill="FFFFFF"/>
            <w:noWrap/>
            <w:vAlign w:val="center"/>
          </w:tcPr>
          <w:p w14:paraId="4EBFA2E1">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130,180.00</w:t>
            </w:r>
          </w:p>
        </w:tc>
        <w:tc>
          <w:tcPr>
            <w:tcW w:w="935" w:type="dxa"/>
            <w:tcBorders>
              <w:top w:val="nil"/>
              <w:left w:val="nil"/>
              <w:bottom w:val="single" w:color="auto" w:sz="4" w:space="0"/>
              <w:right w:val="single" w:color="auto" w:sz="4" w:space="0"/>
            </w:tcBorders>
            <w:shd w:val="clear" w:color="000000" w:fill="FFFFFF"/>
            <w:noWrap/>
            <w:vAlign w:val="center"/>
          </w:tcPr>
          <w:p w14:paraId="50453328">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1,500,000.00</w:t>
            </w:r>
          </w:p>
        </w:tc>
        <w:tc>
          <w:tcPr>
            <w:tcW w:w="1050" w:type="dxa"/>
            <w:tcBorders>
              <w:top w:val="nil"/>
              <w:left w:val="nil"/>
              <w:bottom w:val="single" w:color="auto" w:sz="4" w:space="0"/>
              <w:right w:val="single" w:color="auto" w:sz="4" w:space="0"/>
            </w:tcBorders>
            <w:shd w:val="clear" w:color="000000" w:fill="FFFFFF"/>
            <w:noWrap/>
            <w:vAlign w:val="center"/>
          </w:tcPr>
          <w:p w14:paraId="3553D199">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1,060,755.13</w:t>
            </w:r>
          </w:p>
        </w:tc>
        <w:tc>
          <w:tcPr>
            <w:tcW w:w="1003" w:type="dxa"/>
            <w:tcBorders>
              <w:top w:val="nil"/>
              <w:left w:val="nil"/>
              <w:bottom w:val="single" w:color="auto" w:sz="4" w:space="0"/>
              <w:right w:val="single" w:color="auto" w:sz="4" w:space="0"/>
            </w:tcBorders>
            <w:shd w:val="clear" w:color="000000" w:fill="FFFFFF"/>
            <w:noWrap/>
            <w:vAlign w:val="center"/>
          </w:tcPr>
          <w:p w14:paraId="4E341C63">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53,145,314.02</w:t>
            </w:r>
          </w:p>
        </w:tc>
        <w:tc>
          <w:tcPr>
            <w:tcW w:w="1003" w:type="dxa"/>
            <w:tcBorders>
              <w:top w:val="nil"/>
              <w:left w:val="nil"/>
              <w:bottom w:val="single" w:color="auto" w:sz="4" w:space="0"/>
              <w:right w:val="single" w:color="auto" w:sz="4" w:space="0"/>
            </w:tcBorders>
            <w:shd w:val="clear" w:color="000000" w:fill="FFFFFF"/>
            <w:noWrap/>
            <w:vAlign w:val="center"/>
          </w:tcPr>
          <w:p w14:paraId="3600B15D">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51,922,636.47</w:t>
            </w:r>
          </w:p>
        </w:tc>
        <w:tc>
          <w:tcPr>
            <w:tcW w:w="935" w:type="dxa"/>
            <w:tcBorders>
              <w:top w:val="nil"/>
              <w:left w:val="nil"/>
              <w:bottom w:val="single" w:color="auto" w:sz="4" w:space="0"/>
              <w:right w:val="single" w:color="auto" w:sz="4" w:space="0"/>
            </w:tcBorders>
            <w:shd w:val="clear" w:color="000000" w:fill="FFFFFF"/>
            <w:noWrap/>
            <w:vAlign w:val="center"/>
          </w:tcPr>
          <w:p w14:paraId="2CFC580D">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1,221,158.00</w:t>
            </w:r>
          </w:p>
        </w:tc>
        <w:tc>
          <w:tcPr>
            <w:tcW w:w="1032" w:type="dxa"/>
            <w:tcBorders>
              <w:top w:val="nil"/>
              <w:left w:val="nil"/>
              <w:bottom w:val="single" w:color="auto" w:sz="4" w:space="0"/>
              <w:right w:val="single" w:color="auto" w:sz="4" w:space="0"/>
            </w:tcBorders>
            <w:shd w:val="clear" w:color="000000" w:fill="FFFFFF"/>
            <w:noWrap/>
            <w:vAlign w:val="center"/>
          </w:tcPr>
          <w:p w14:paraId="31F3374F">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53,486,624.84</w:t>
            </w:r>
          </w:p>
        </w:tc>
        <w:tc>
          <w:tcPr>
            <w:tcW w:w="1134" w:type="dxa"/>
            <w:tcBorders>
              <w:top w:val="nil"/>
              <w:left w:val="nil"/>
              <w:bottom w:val="single" w:color="auto" w:sz="4" w:space="0"/>
              <w:right w:val="single" w:color="auto" w:sz="4" w:space="0"/>
            </w:tcBorders>
            <w:shd w:val="clear" w:color="000000" w:fill="FFFFFF"/>
            <w:noWrap/>
            <w:vAlign w:val="center"/>
          </w:tcPr>
          <w:p w14:paraId="6A8AE8F3">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52,147,460.58</w:t>
            </w:r>
          </w:p>
        </w:tc>
        <w:tc>
          <w:tcPr>
            <w:tcW w:w="935" w:type="dxa"/>
            <w:tcBorders>
              <w:top w:val="nil"/>
              <w:left w:val="nil"/>
              <w:bottom w:val="single" w:color="auto" w:sz="4" w:space="0"/>
              <w:right w:val="single" w:color="auto" w:sz="4" w:space="0"/>
            </w:tcBorders>
            <w:shd w:val="clear" w:color="000000" w:fill="FFFFFF"/>
            <w:noWrap/>
            <w:vAlign w:val="center"/>
          </w:tcPr>
          <w:p w14:paraId="3D2D2EED">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1,338,233.48</w:t>
            </w:r>
          </w:p>
        </w:tc>
        <w:tc>
          <w:tcPr>
            <w:tcW w:w="832" w:type="dxa"/>
            <w:tcBorders>
              <w:top w:val="nil"/>
              <w:left w:val="nil"/>
              <w:bottom w:val="single" w:color="auto" w:sz="4" w:space="0"/>
              <w:right w:val="single" w:color="auto" w:sz="4" w:space="0"/>
            </w:tcBorders>
            <w:shd w:val="clear" w:color="000000" w:fill="FFFFFF"/>
            <w:noWrap/>
            <w:vAlign w:val="center"/>
          </w:tcPr>
          <w:p w14:paraId="16B4F279">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719,444.31</w:t>
            </w:r>
          </w:p>
        </w:tc>
      </w:tr>
    </w:tbl>
    <w:p w14:paraId="75ED8FA3">
      <w:pPr>
        <w:pStyle w:val="145"/>
      </w:pPr>
    </w:p>
    <w:p w14:paraId="44A1F0A6">
      <w:pPr>
        <w:pStyle w:val="145"/>
      </w:pPr>
    </w:p>
    <w:p w14:paraId="35145CF8"/>
    <w:p w14:paraId="3B8EBB86">
      <w:pPr>
        <w:sectPr>
          <w:pgSz w:w="16838" w:h="11906" w:orient="landscape"/>
          <w:pgMar w:top="1531" w:right="1587" w:bottom="1474" w:left="1587" w:header="851" w:footer="992" w:gutter="0"/>
          <w:pgNumType w:fmt="numberInDash"/>
          <w:cols w:space="0" w:num="1"/>
          <w:docGrid w:type="linesAndChars" w:linePitch="308" w:charSpace="0"/>
        </w:sectPr>
      </w:pPr>
    </w:p>
    <w:p w14:paraId="19906440">
      <w:pPr>
        <w:spacing w:line="590" w:lineRule="exact"/>
        <w:ind w:firstLine="624" w:firstLineChars="200"/>
        <w:outlineLvl w:val="1"/>
        <w:rPr>
          <w:rFonts w:ascii="楷体_GB2312" w:hAnsi="Times New Roman" w:eastAsia="楷体_GB2312" w:cs="Times New Roman"/>
          <w:spacing w:val="6"/>
          <w:kern w:val="0"/>
          <w:sz w:val="30"/>
          <w:szCs w:val="30"/>
        </w:rPr>
      </w:pPr>
      <w:bookmarkStart w:id="103" w:name="_Toc173402317"/>
      <w:bookmarkStart w:id="104" w:name="_Toc173402209"/>
      <w:bookmarkStart w:id="105" w:name="_Toc180163180"/>
      <w:bookmarkStart w:id="106" w:name="_Toc6498"/>
      <w:r>
        <w:rPr>
          <w:rFonts w:ascii="楷体_GB2312" w:hAnsi="Times New Roman" w:eastAsia="楷体_GB2312" w:cs="Times New Roman"/>
          <w:spacing w:val="6"/>
          <w:kern w:val="0"/>
          <w:sz w:val="30"/>
          <w:szCs w:val="30"/>
        </w:rPr>
        <w:t>（二）过程情况分析</w:t>
      </w:r>
      <w:bookmarkEnd w:id="103"/>
      <w:bookmarkEnd w:id="104"/>
      <w:bookmarkEnd w:id="105"/>
      <w:bookmarkEnd w:id="106"/>
    </w:p>
    <w:p w14:paraId="6B9B934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预算编制合理性方面，富民一中预算编制根据财政部门要求及自身实际情况编制，政府采购预算按要求编制。</w:t>
      </w:r>
    </w:p>
    <w:p w14:paraId="29BCDCEE">
      <w:pPr>
        <w:spacing w:line="579" w:lineRule="exact"/>
        <w:ind w:firstLine="6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预算执行率方面，基本支出预算执行率96.59</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，项目支出预算执行率90.81</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，部分项目预算执行不高。“三公”支出0元。</w:t>
      </w:r>
    </w:p>
    <w:p w14:paraId="60668B33">
      <w:pPr>
        <w:pStyle w:val="145"/>
        <w:jc w:val="center"/>
        <w:rPr>
          <w:rFonts w:ascii="仿宋_GB2312" w:hAnsi="仿宋" w:eastAsia="仿宋_GB2312"/>
          <w:b/>
          <w:bCs/>
          <w:kern w:val="30"/>
          <w:sz w:val="24"/>
          <w:szCs w:val="24"/>
        </w:rPr>
      </w:pPr>
      <w:r>
        <w:rPr>
          <w:rFonts w:hint="eastAsia" w:ascii="仿宋_GB2312" w:hAnsi="仿宋" w:eastAsia="仿宋_GB2312"/>
          <w:b/>
          <w:bCs/>
          <w:kern w:val="30"/>
          <w:sz w:val="24"/>
          <w:szCs w:val="24"/>
        </w:rPr>
        <w:t>富民一中2</w:t>
      </w:r>
      <w:r>
        <w:rPr>
          <w:rFonts w:ascii="仿宋_GB2312" w:hAnsi="仿宋" w:eastAsia="仿宋_GB2312"/>
          <w:b/>
          <w:bCs/>
          <w:kern w:val="30"/>
          <w:sz w:val="24"/>
          <w:szCs w:val="24"/>
        </w:rPr>
        <w:t>023</w:t>
      </w:r>
      <w:r>
        <w:rPr>
          <w:rFonts w:hint="eastAsia" w:ascii="仿宋_GB2312" w:hAnsi="仿宋" w:eastAsia="仿宋_GB2312"/>
          <w:b/>
          <w:bCs/>
          <w:kern w:val="30"/>
          <w:sz w:val="24"/>
          <w:szCs w:val="24"/>
        </w:rPr>
        <w:t>年各项目预算执行统计表</w:t>
      </w:r>
    </w:p>
    <w:p w14:paraId="0DF91DB4">
      <w:pPr>
        <w:pStyle w:val="145"/>
        <w:jc w:val="right"/>
        <w:rPr>
          <w:rFonts w:ascii="仿宋_GB2312" w:hAnsi="仿宋" w:eastAsia="仿宋_GB2312"/>
          <w:kern w:val="30"/>
          <w:szCs w:val="21"/>
        </w:rPr>
      </w:pPr>
      <w:r>
        <w:rPr>
          <w:rFonts w:hint="eastAsia" w:ascii="仿宋_GB2312" w:hAnsi="仿宋" w:eastAsia="仿宋_GB2312"/>
          <w:kern w:val="30"/>
          <w:szCs w:val="21"/>
        </w:rPr>
        <w:t>单位：元</w:t>
      </w:r>
    </w:p>
    <w:tbl>
      <w:tblPr>
        <w:tblStyle w:val="88"/>
        <w:tblW w:w="9020" w:type="dxa"/>
        <w:tblInd w:w="0" w:type="dxa"/>
        <w:tblLayout w:type="autofit"/>
        <w:tblCellMar>
          <w:top w:w="0" w:type="dxa"/>
          <w:left w:w="108" w:type="dxa"/>
          <w:bottom w:w="0" w:type="dxa"/>
          <w:right w:w="108" w:type="dxa"/>
        </w:tblCellMar>
      </w:tblPr>
      <w:tblGrid>
        <w:gridCol w:w="4390"/>
        <w:gridCol w:w="992"/>
        <w:gridCol w:w="1276"/>
        <w:gridCol w:w="1275"/>
        <w:gridCol w:w="1087"/>
      </w:tblGrid>
      <w:tr w14:paraId="383CD2F6">
        <w:trPr>
          <w:trHeight w:val="384" w:hRule="atLeast"/>
          <w:tblHeader/>
        </w:trPr>
        <w:tc>
          <w:tcPr>
            <w:tcW w:w="4390" w:type="dxa"/>
            <w:tcBorders>
              <w:top w:val="single" w:color="auto" w:sz="4" w:space="0"/>
              <w:left w:val="single" w:color="auto" w:sz="4" w:space="0"/>
              <w:bottom w:val="single" w:color="auto" w:sz="4" w:space="0"/>
              <w:right w:val="single" w:color="auto" w:sz="4" w:space="0"/>
            </w:tcBorders>
            <w:shd w:val="clear" w:color="000000" w:fill="FFFFFF"/>
            <w:vAlign w:val="center"/>
          </w:tcPr>
          <w:p w14:paraId="0B77CC76">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项目名称</w:t>
            </w:r>
          </w:p>
        </w:tc>
        <w:tc>
          <w:tcPr>
            <w:tcW w:w="992" w:type="dxa"/>
            <w:tcBorders>
              <w:top w:val="single" w:color="auto" w:sz="4" w:space="0"/>
              <w:left w:val="nil"/>
              <w:bottom w:val="single" w:color="auto" w:sz="4" w:space="0"/>
              <w:right w:val="single" w:color="auto" w:sz="4" w:space="0"/>
            </w:tcBorders>
            <w:shd w:val="clear" w:color="000000" w:fill="FFFFFF"/>
            <w:vAlign w:val="center"/>
          </w:tcPr>
          <w:p w14:paraId="65093DA2">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资金来源</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1C928BD3">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预算收入及年初结转</w:t>
            </w:r>
          </w:p>
        </w:tc>
        <w:tc>
          <w:tcPr>
            <w:tcW w:w="1275" w:type="dxa"/>
            <w:tcBorders>
              <w:top w:val="single" w:color="auto" w:sz="4" w:space="0"/>
              <w:left w:val="nil"/>
              <w:bottom w:val="single" w:color="auto" w:sz="4" w:space="0"/>
              <w:right w:val="single" w:color="auto" w:sz="4" w:space="0"/>
            </w:tcBorders>
            <w:shd w:val="clear" w:color="000000" w:fill="FFFFFF"/>
            <w:vAlign w:val="center"/>
          </w:tcPr>
          <w:p w14:paraId="0218BC32">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支出</w:t>
            </w:r>
          </w:p>
        </w:tc>
        <w:tc>
          <w:tcPr>
            <w:tcW w:w="1087" w:type="dxa"/>
            <w:tcBorders>
              <w:top w:val="single" w:color="auto" w:sz="4" w:space="0"/>
              <w:left w:val="nil"/>
              <w:bottom w:val="single" w:color="auto" w:sz="4" w:space="0"/>
              <w:right w:val="single" w:color="auto" w:sz="4" w:space="0"/>
            </w:tcBorders>
            <w:shd w:val="clear" w:color="000000" w:fill="FFFFFF"/>
            <w:vAlign w:val="center"/>
          </w:tcPr>
          <w:p w14:paraId="3C033634">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执行率</w:t>
            </w:r>
          </w:p>
        </w:tc>
      </w:tr>
      <w:tr w14:paraId="61F07E1C">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4FF97AA5">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昆财教〔2023〕7号2023年城乡义务教育补助经费（公用经费）中央直达资金</w:t>
            </w:r>
          </w:p>
        </w:tc>
        <w:tc>
          <w:tcPr>
            <w:tcW w:w="992" w:type="dxa"/>
            <w:tcBorders>
              <w:top w:val="nil"/>
              <w:left w:val="nil"/>
              <w:bottom w:val="single" w:color="auto" w:sz="4" w:space="0"/>
              <w:right w:val="single" w:color="auto" w:sz="4" w:space="0"/>
            </w:tcBorders>
            <w:shd w:val="clear" w:color="auto" w:fill="auto"/>
            <w:noWrap/>
            <w:vAlign w:val="center"/>
          </w:tcPr>
          <w:p w14:paraId="6666F8FD">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中央</w:t>
            </w:r>
          </w:p>
        </w:tc>
        <w:tc>
          <w:tcPr>
            <w:tcW w:w="1276" w:type="dxa"/>
            <w:tcBorders>
              <w:top w:val="nil"/>
              <w:left w:val="nil"/>
              <w:bottom w:val="single" w:color="auto" w:sz="4" w:space="0"/>
              <w:right w:val="single" w:color="auto" w:sz="4" w:space="0"/>
            </w:tcBorders>
            <w:shd w:val="clear" w:color="000000" w:fill="FFFFFF"/>
            <w:noWrap/>
            <w:vAlign w:val="center"/>
          </w:tcPr>
          <w:p w14:paraId="6D3B904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1275" w:type="dxa"/>
            <w:tcBorders>
              <w:top w:val="nil"/>
              <w:left w:val="nil"/>
              <w:bottom w:val="single" w:color="auto" w:sz="4" w:space="0"/>
              <w:right w:val="single" w:color="auto" w:sz="4" w:space="0"/>
            </w:tcBorders>
            <w:shd w:val="clear" w:color="000000" w:fill="FFFFFF"/>
            <w:noWrap/>
            <w:vAlign w:val="center"/>
          </w:tcPr>
          <w:p w14:paraId="46C16C7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1,338,270.00</w:t>
            </w:r>
          </w:p>
        </w:tc>
        <w:tc>
          <w:tcPr>
            <w:tcW w:w="1087" w:type="dxa"/>
            <w:tcBorders>
              <w:top w:val="nil"/>
              <w:left w:val="nil"/>
              <w:bottom w:val="single" w:color="auto" w:sz="4" w:space="0"/>
              <w:right w:val="single" w:color="auto" w:sz="4" w:space="0"/>
            </w:tcBorders>
            <w:shd w:val="clear" w:color="000000" w:fill="FFFFFF"/>
            <w:noWrap/>
            <w:vAlign w:val="center"/>
          </w:tcPr>
          <w:p w14:paraId="0F17D8C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107AD339">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51F6E03A">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昆财教〔2023〕7号2023年义务教育家庭经济困难学生生活补助中央资金</w:t>
            </w:r>
          </w:p>
        </w:tc>
        <w:tc>
          <w:tcPr>
            <w:tcW w:w="992" w:type="dxa"/>
            <w:tcBorders>
              <w:top w:val="nil"/>
              <w:left w:val="nil"/>
              <w:bottom w:val="single" w:color="auto" w:sz="4" w:space="0"/>
              <w:right w:val="single" w:color="auto" w:sz="4" w:space="0"/>
            </w:tcBorders>
            <w:shd w:val="clear" w:color="auto" w:fill="auto"/>
            <w:noWrap/>
            <w:vAlign w:val="center"/>
          </w:tcPr>
          <w:p w14:paraId="62CAB84F">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中央</w:t>
            </w:r>
          </w:p>
        </w:tc>
        <w:tc>
          <w:tcPr>
            <w:tcW w:w="1276" w:type="dxa"/>
            <w:tcBorders>
              <w:top w:val="nil"/>
              <w:left w:val="nil"/>
              <w:bottom w:val="single" w:color="auto" w:sz="4" w:space="0"/>
              <w:right w:val="single" w:color="auto" w:sz="4" w:space="0"/>
            </w:tcBorders>
            <w:shd w:val="clear" w:color="000000" w:fill="FFFFFF"/>
            <w:noWrap/>
            <w:vAlign w:val="center"/>
          </w:tcPr>
          <w:p w14:paraId="0AE5842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1275" w:type="dxa"/>
            <w:tcBorders>
              <w:top w:val="nil"/>
              <w:left w:val="nil"/>
              <w:bottom w:val="single" w:color="auto" w:sz="4" w:space="0"/>
              <w:right w:val="single" w:color="auto" w:sz="4" w:space="0"/>
            </w:tcBorders>
            <w:shd w:val="clear" w:color="000000" w:fill="FFFFFF"/>
            <w:noWrap/>
            <w:vAlign w:val="center"/>
          </w:tcPr>
          <w:p w14:paraId="5FBBE04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364,062.50</w:t>
            </w:r>
          </w:p>
        </w:tc>
        <w:tc>
          <w:tcPr>
            <w:tcW w:w="1087" w:type="dxa"/>
            <w:tcBorders>
              <w:top w:val="nil"/>
              <w:left w:val="nil"/>
              <w:bottom w:val="single" w:color="auto" w:sz="4" w:space="0"/>
              <w:right w:val="single" w:color="auto" w:sz="4" w:space="0"/>
            </w:tcBorders>
            <w:shd w:val="clear" w:color="000000" w:fill="FFFFFF"/>
            <w:noWrap/>
            <w:vAlign w:val="center"/>
          </w:tcPr>
          <w:p w14:paraId="7E40312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3B9AAB8E">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7FDEAD2C">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昆财教〔2022〕104号2022年普通高中脱贫家庭经济困难学生生活补助省级补助资金</w:t>
            </w:r>
          </w:p>
        </w:tc>
        <w:tc>
          <w:tcPr>
            <w:tcW w:w="992" w:type="dxa"/>
            <w:tcBorders>
              <w:top w:val="nil"/>
              <w:left w:val="nil"/>
              <w:bottom w:val="single" w:color="auto" w:sz="4" w:space="0"/>
              <w:right w:val="single" w:color="auto" w:sz="4" w:space="0"/>
            </w:tcBorders>
            <w:shd w:val="clear" w:color="auto" w:fill="auto"/>
            <w:noWrap/>
            <w:vAlign w:val="center"/>
          </w:tcPr>
          <w:p w14:paraId="5AF7ED0C">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省级</w:t>
            </w:r>
          </w:p>
        </w:tc>
        <w:tc>
          <w:tcPr>
            <w:tcW w:w="1276" w:type="dxa"/>
            <w:tcBorders>
              <w:top w:val="nil"/>
              <w:left w:val="nil"/>
              <w:bottom w:val="single" w:color="auto" w:sz="4" w:space="0"/>
              <w:right w:val="single" w:color="auto" w:sz="4" w:space="0"/>
            </w:tcBorders>
            <w:shd w:val="clear" w:color="000000" w:fill="FFFFFF"/>
            <w:noWrap/>
            <w:vAlign w:val="center"/>
          </w:tcPr>
          <w:p w14:paraId="028B85D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1275" w:type="dxa"/>
            <w:tcBorders>
              <w:top w:val="nil"/>
              <w:left w:val="nil"/>
              <w:bottom w:val="single" w:color="auto" w:sz="4" w:space="0"/>
              <w:right w:val="single" w:color="auto" w:sz="4" w:space="0"/>
            </w:tcBorders>
            <w:shd w:val="clear" w:color="000000" w:fill="FFFFFF"/>
            <w:noWrap/>
            <w:vAlign w:val="center"/>
          </w:tcPr>
          <w:p w14:paraId="548E2A7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1,800.00</w:t>
            </w:r>
          </w:p>
        </w:tc>
        <w:tc>
          <w:tcPr>
            <w:tcW w:w="1087" w:type="dxa"/>
            <w:tcBorders>
              <w:top w:val="nil"/>
              <w:left w:val="nil"/>
              <w:bottom w:val="single" w:color="auto" w:sz="4" w:space="0"/>
              <w:right w:val="single" w:color="auto" w:sz="4" w:space="0"/>
            </w:tcBorders>
            <w:shd w:val="clear" w:color="000000" w:fill="FFFFFF"/>
            <w:noWrap/>
            <w:vAlign w:val="center"/>
          </w:tcPr>
          <w:p w14:paraId="6E4119E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01D77F14">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09AACF3C">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昆财教〔2023〕62号义务教育家庭经济困难学生生活补助资金</w:t>
            </w:r>
          </w:p>
        </w:tc>
        <w:tc>
          <w:tcPr>
            <w:tcW w:w="992" w:type="dxa"/>
            <w:tcBorders>
              <w:top w:val="nil"/>
              <w:left w:val="nil"/>
              <w:bottom w:val="single" w:color="auto" w:sz="4" w:space="0"/>
              <w:right w:val="single" w:color="auto" w:sz="4" w:space="0"/>
            </w:tcBorders>
            <w:shd w:val="clear" w:color="auto" w:fill="auto"/>
            <w:noWrap/>
            <w:vAlign w:val="center"/>
          </w:tcPr>
          <w:p w14:paraId="26B5F678">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164DF89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1275" w:type="dxa"/>
            <w:tcBorders>
              <w:top w:val="nil"/>
              <w:left w:val="nil"/>
              <w:bottom w:val="single" w:color="auto" w:sz="4" w:space="0"/>
              <w:right w:val="single" w:color="auto" w:sz="4" w:space="0"/>
            </w:tcBorders>
            <w:shd w:val="clear" w:color="000000" w:fill="FFFFFF"/>
            <w:noWrap/>
            <w:vAlign w:val="center"/>
          </w:tcPr>
          <w:p w14:paraId="4460C4C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163,340.00</w:t>
            </w:r>
          </w:p>
        </w:tc>
        <w:tc>
          <w:tcPr>
            <w:tcW w:w="1087" w:type="dxa"/>
            <w:tcBorders>
              <w:top w:val="nil"/>
              <w:left w:val="nil"/>
              <w:bottom w:val="single" w:color="auto" w:sz="4" w:space="0"/>
              <w:right w:val="single" w:color="auto" w:sz="4" w:space="0"/>
            </w:tcBorders>
            <w:shd w:val="clear" w:color="000000" w:fill="FFFFFF"/>
            <w:noWrap/>
            <w:vAlign w:val="center"/>
          </w:tcPr>
          <w:p w14:paraId="2068ED7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1F997477">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0C1CF90E">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富财预〔2023〕1号2022年第二批义务家庭经济困难学生生活补助市级资金</w:t>
            </w:r>
          </w:p>
        </w:tc>
        <w:tc>
          <w:tcPr>
            <w:tcW w:w="992" w:type="dxa"/>
            <w:tcBorders>
              <w:top w:val="nil"/>
              <w:left w:val="nil"/>
              <w:bottom w:val="single" w:color="auto" w:sz="4" w:space="0"/>
              <w:right w:val="single" w:color="auto" w:sz="4" w:space="0"/>
            </w:tcBorders>
            <w:shd w:val="clear" w:color="auto" w:fill="auto"/>
            <w:noWrap/>
            <w:vAlign w:val="center"/>
          </w:tcPr>
          <w:p w14:paraId="5D27E680">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5511D46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1275" w:type="dxa"/>
            <w:tcBorders>
              <w:top w:val="nil"/>
              <w:left w:val="nil"/>
              <w:bottom w:val="single" w:color="auto" w:sz="4" w:space="0"/>
              <w:right w:val="single" w:color="auto" w:sz="4" w:space="0"/>
            </w:tcBorders>
            <w:shd w:val="clear" w:color="000000" w:fill="FFFFFF"/>
            <w:noWrap/>
            <w:vAlign w:val="center"/>
          </w:tcPr>
          <w:p w14:paraId="0B91129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54,400.00</w:t>
            </w:r>
          </w:p>
        </w:tc>
        <w:tc>
          <w:tcPr>
            <w:tcW w:w="1087" w:type="dxa"/>
            <w:tcBorders>
              <w:top w:val="nil"/>
              <w:left w:val="nil"/>
              <w:bottom w:val="single" w:color="auto" w:sz="4" w:space="0"/>
              <w:right w:val="single" w:color="auto" w:sz="4" w:space="0"/>
            </w:tcBorders>
            <w:shd w:val="clear" w:color="000000" w:fill="FFFFFF"/>
            <w:noWrap/>
            <w:vAlign w:val="center"/>
          </w:tcPr>
          <w:p w14:paraId="7F52D6B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23BBB92D">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28AA3ED2">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昆财教〔2023〕62号2023年城乡义务教育营养改善补助资金</w:t>
            </w:r>
          </w:p>
        </w:tc>
        <w:tc>
          <w:tcPr>
            <w:tcW w:w="992" w:type="dxa"/>
            <w:tcBorders>
              <w:top w:val="nil"/>
              <w:left w:val="nil"/>
              <w:bottom w:val="single" w:color="auto" w:sz="4" w:space="0"/>
              <w:right w:val="single" w:color="auto" w:sz="4" w:space="0"/>
            </w:tcBorders>
            <w:shd w:val="clear" w:color="auto" w:fill="auto"/>
            <w:noWrap/>
            <w:vAlign w:val="center"/>
          </w:tcPr>
          <w:p w14:paraId="6C339D07">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60AA4F5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1275" w:type="dxa"/>
            <w:tcBorders>
              <w:top w:val="nil"/>
              <w:left w:val="nil"/>
              <w:bottom w:val="single" w:color="auto" w:sz="4" w:space="0"/>
              <w:right w:val="single" w:color="auto" w:sz="4" w:space="0"/>
            </w:tcBorders>
            <w:shd w:val="clear" w:color="000000" w:fill="FFFFFF"/>
            <w:noWrap/>
            <w:vAlign w:val="center"/>
          </w:tcPr>
          <w:p w14:paraId="6AD65F7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964,800.00</w:t>
            </w:r>
          </w:p>
        </w:tc>
        <w:tc>
          <w:tcPr>
            <w:tcW w:w="1087" w:type="dxa"/>
            <w:tcBorders>
              <w:top w:val="nil"/>
              <w:left w:val="nil"/>
              <w:bottom w:val="single" w:color="auto" w:sz="4" w:space="0"/>
              <w:right w:val="single" w:color="auto" w:sz="4" w:space="0"/>
            </w:tcBorders>
            <w:shd w:val="clear" w:color="000000" w:fill="FFFFFF"/>
            <w:noWrap/>
            <w:vAlign w:val="center"/>
          </w:tcPr>
          <w:p w14:paraId="64C6445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16F14C27">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5FBAEAB0">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富财教〔2023〕12号云南省建行成长计划专项资金</w:t>
            </w:r>
          </w:p>
        </w:tc>
        <w:tc>
          <w:tcPr>
            <w:tcW w:w="992" w:type="dxa"/>
            <w:tcBorders>
              <w:top w:val="nil"/>
              <w:left w:val="nil"/>
              <w:bottom w:val="single" w:color="auto" w:sz="4" w:space="0"/>
              <w:right w:val="single" w:color="auto" w:sz="4" w:space="0"/>
            </w:tcBorders>
            <w:shd w:val="clear" w:color="auto" w:fill="auto"/>
            <w:noWrap/>
            <w:vAlign w:val="center"/>
          </w:tcPr>
          <w:p w14:paraId="6051945F">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其他资金</w:t>
            </w:r>
          </w:p>
        </w:tc>
        <w:tc>
          <w:tcPr>
            <w:tcW w:w="1276" w:type="dxa"/>
            <w:tcBorders>
              <w:top w:val="nil"/>
              <w:left w:val="nil"/>
              <w:bottom w:val="single" w:color="auto" w:sz="4" w:space="0"/>
              <w:right w:val="single" w:color="auto" w:sz="4" w:space="0"/>
            </w:tcBorders>
            <w:shd w:val="clear" w:color="000000" w:fill="FFFFFF"/>
            <w:noWrap/>
            <w:vAlign w:val="center"/>
          </w:tcPr>
          <w:p w14:paraId="14E4738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1275" w:type="dxa"/>
            <w:tcBorders>
              <w:top w:val="nil"/>
              <w:left w:val="nil"/>
              <w:bottom w:val="single" w:color="auto" w:sz="4" w:space="0"/>
              <w:right w:val="single" w:color="auto" w:sz="4" w:space="0"/>
            </w:tcBorders>
            <w:shd w:val="clear" w:color="000000" w:fill="FFFFFF"/>
            <w:noWrap/>
            <w:vAlign w:val="center"/>
          </w:tcPr>
          <w:p w14:paraId="2DDB22E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w:t>
            </w:r>
          </w:p>
        </w:tc>
        <w:tc>
          <w:tcPr>
            <w:tcW w:w="1087" w:type="dxa"/>
            <w:tcBorders>
              <w:top w:val="nil"/>
              <w:left w:val="nil"/>
              <w:bottom w:val="single" w:color="auto" w:sz="4" w:space="0"/>
              <w:right w:val="single" w:color="auto" w:sz="4" w:space="0"/>
            </w:tcBorders>
            <w:shd w:val="clear" w:color="000000" w:fill="FFFFFF"/>
            <w:noWrap/>
            <w:vAlign w:val="center"/>
          </w:tcPr>
          <w:p w14:paraId="3DB30A0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638C4947">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3F5F7CF4">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富财教〔2023〕33号收到富民县文物管理所2021年水费电费专项补助资金</w:t>
            </w:r>
          </w:p>
        </w:tc>
        <w:tc>
          <w:tcPr>
            <w:tcW w:w="992" w:type="dxa"/>
            <w:tcBorders>
              <w:top w:val="nil"/>
              <w:left w:val="nil"/>
              <w:bottom w:val="single" w:color="auto" w:sz="4" w:space="0"/>
              <w:right w:val="single" w:color="auto" w:sz="4" w:space="0"/>
            </w:tcBorders>
            <w:shd w:val="clear" w:color="auto" w:fill="auto"/>
            <w:noWrap/>
            <w:vAlign w:val="center"/>
          </w:tcPr>
          <w:p w14:paraId="3509F128">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其他资金</w:t>
            </w:r>
          </w:p>
        </w:tc>
        <w:tc>
          <w:tcPr>
            <w:tcW w:w="1276" w:type="dxa"/>
            <w:tcBorders>
              <w:top w:val="nil"/>
              <w:left w:val="nil"/>
              <w:bottom w:val="single" w:color="auto" w:sz="4" w:space="0"/>
              <w:right w:val="single" w:color="auto" w:sz="4" w:space="0"/>
            </w:tcBorders>
            <w:shd w:val="clear" w:color="000000" w:fill="FFFFFF"/>
            <w:noWrap/>
            <w:vAlign w:val="center"/>
          </w:tcPr>
          <w:p w14:paraId="0FC526C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1275" w:type="dxa"/>
            <w:tcBorders>
              <w:top w:val="nil"/>
              <w:left w:val="nil"/>
              <w:bottom w:val="single" w:color="auto" w:sz="4" w:space="0"/>
              <w:right w:val="single" w:color="auto" w:sz="4" w:space="0"/>
            </w:tcBorders>
            <w:shd w:val="clear" w:color="000000" w:fill="FFFFFF"/>
            <w:noWrap/>
            <w:vAlign w:val="center"/>
          </w:tcPr>
          <w:p w14:paraId="1DEEEEB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718.00</w:t>
            </w:r>
          </w:p>
        </w:tc>
        <w:tc>
          <w:tcPr>
            <w:tcW w:w="1087" w:type="dxa"/>
            <w:tcBorders>
              <w:top w:val="nil"/>
              <w:left w:val="nil"/>
              <w:bottom w:val="single" w:color="auto" w:sz="4" w:space="0"/>
              <w:right w:val="single" w:color="auto" w:sz="4" w:space="0"/>
            </w:tcBorders>
            <w:shd w:val="clear" w:color="000000" w:fill="FFFFFF"/>
            <w:noWrap/>
            <w:vAlign w:val="center"/>
          </w:tcPr>
          <w:p w14:paraId="26C2D1C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3A44BDB4">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158316D8">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昆财教〔2022〕143号2022年义务教育家庭经济困难学生生活补助专项资金</w:t>
            </w:r>
          </w:p>
        </w:tc>
        <w:tc>
          <w:tcPr>
            <w:tcW w:w="992" w:type="dxa"/>
            <w:tcBorders>
              <w:top w:val="nil"/>
              <w:left w:val="nil"/>
              <w:bottom w:val="single" w:color="auto" w:sz="4" w:space="0"/>
              <w:right w:val="single" w:color="auto" w:sz="4" w:space="0"/>
            </w:tcBorders>
            <w:shd w:val="clear" w:color="auto" w:fill="auto"/>
            <w:noWrap/>
            <w:vAlign w:val="center"/>
          </w:tcPr>
          <w:p w14:paraId="0FAC7497">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3DA4F24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1275" w:type="dxa"/>
            <w:tcBorders>
              <w:top w:val="nil"/>
              <w:left w:val="nil"/>
              <w:bottom w:val="single" w:color="auto" w:sz="4" w:space="0"/>
              <w:right w:val="single" w:color="auto" w:sz="4" w:space="0"/>
            </w:tcBorders>
            <w:shd w:val="clear" w:color="000000" w:fill="FFFFFF"/>
            <w:noWrap/>
            <w:vAlign w:val="center"/>
          </w:tcPr>
          <w:p w14:paraId="74305CF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17,970.00</w:t>
            </w:r>
          </w:p>
        </w:tc>
        <w:tc>
          <w:tcPr>
            <w:tcW w:w="1087" w:type="dxa"/>
            <w:tcBorders>
              <w:top w:val="nil"/>
              <w:left w:val="nil"/>
              <w:bottom w:val="single" w:color="auto" w:sz="4" w:space="0"/>
              <w:right w:val="single" w:color="auto" w:sz="4" w:space="0"/>
            </w:tcBorders>
            <w:shd w:val="clear" w:color="000000" w:fill="FFFFFF"/>
            <w:noWrap/>
            <w:vAlign w:val="center"/>
          </w:tcPr>
          <w:p w14:paraId="7E0ED73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7599EFBA">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33356CAA">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昆财教〔2023〕62号2023年城乡义务教育公用经费省级补助资金</w:t>
            </w:r>
          </w:p>
        </w:tc>
        <w:tc>
          <w:tcPr>
            <w:tcW w:w="992" w:type="dxa"/>
            <w:tcBorders>
              <w:top w:val="nil"/>
              <w:left w:val="nil"/>
              <w:bottom w:val="single" w:color="auto" w:sz="4" w:space="0"/>
              <w:right w:val="single" w:color="auto" w:sz="4" w:space="0"/>
            </w:tcBorders>
            <w:shd w:val="clear" w:color="auto" w:fill="auto"/>
            <w:noWrap/>
            <w:vAlign w:val="center"/>
          </w:tcPr>
          <w:p w14:paraId="5E55EF68">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省级</w:t>
            </w:r>
          </w:p>
        </w:tc>
        <w:tc>
          <w:tcPr>
            <w:tcW w:w="1276" w:type="dxa"/>
            <w:tcBorders>
              <w:top w:val="nil"/>
              <w:left w:val="nil"/>
              <w:bottom w:val="single" w:color="auto" w:sz="4" w:space="0"/>
              <w:right w:val="single" w:color="auto" w:sz="4" w:space="0"/>
            </w:tcBorders>
            <w:shd w:val="clear" w:color="000000" w:fill="FFFFFF"/>
            <w:noWrap/>
            <w:vAlign w:val="center"/>
          </w:tcPr>
          <w:p w14:paraId="5AD6418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1275" w:type="dxa"/>
            <w:tcBorders>
              <w:top w:val="nil"/>
              <w:left w:val="nil"/>
              <w:bottom w:val="single" w:color="auto" w:sz="4" w:space="0"/>
              <w:right w:val="single" w:color="auto" w:sz="4" w:space="0"/>
            </w:tcBorders>
            <w:shd w:val="clear" w:color="000000" w:fill="FFFFFF"/>
            <w:noWrap/>
            <w:vAlign w:val="center"/>
          </w:tcPr>
          <w:p w14:paraId="2D34795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107,730.00</w:t>
            </w:r>
          </w:p>
        </w:tc>
        <w:tc>
          <w:tcPr>
            <w:tcW w:w="1087" w:type="dxa"/>
            <w:tcBorders>
              <w:top w:val="nil"/>
              <w:left w:val="nil"/>
              <w:bottom w:val="single" w:color="auto" w:sz="4" w:space="0"/>
              <w:right w:val="single" w:color="auto" w:sz="4" w:space="0"/>
            </w:tcBorders>
            <w:shd w:val="clear" w:color="000000" w:fill="FFFFFF"/>
            <w:noWrap/>
            <w:vAlign w:val="center"/>
          </w:tcPr>
          <w:p w14:paraId="2AEDED4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78E0756D">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0195BAB6">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昆财教〔2023〕50号2023年城乡义务教育公用经费市级资金</w:t>
            </w:r>
          </w:p>
        </w:tc>
        <w:tc>
          <w:tcPr>
            <w:tcW w:w="992" w:type="dxa"/>
            <w:tcBorders>
              <w:top w:val="nil"/>
              <w:left w:val="nil"/>
              <w:bottom w:val="single" w:color="auto" w:sz="4" w:space="0"/>
              <w:right w:val="single" w:color="auto" w:sz="4" w:space="0"/>
            </w:tcBorders>
            <w:shd w:val="clear" w:color="auto" w:fill="auto"/>
            <w:noWrap/>
            <w:vAlign w:val="center"/>
          </w:tcPr>
          <w:p w14:paraId="4B1E14C0">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4FEA6E3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1275" w:type="dxa"/>
            <w:tcBorders>
              <w:top w:val="nil"/>
              <w:left w:val="nil"/>
              <w:bottom w:val="single" w:color="auto" w:sz="4" w:space="0"/>
              <w:right w:val="single" w:color="auto" w:sz="4" w:space="0"/>
            </w:tcBorders>
            <w:shd w:val="clear" w:color="000000" w:fill="FFFFFF"/>
            <w:noWrap/>
            <w:vAlign w:val="center"/>
          </w:tcPr>
          <w:p w14:paraId="51DD5A9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123,000.00</w:t>
            </w:r>
          </w:p>
        </w:tc>
        <w:tc>
          <w:tcPr>
            <w:tcW w:w="1087" w:type="dxa"/>
            <w:tcBorders>
              <w:top w:val="nil"/>
              <w:left w:val="nil"/>
              <w:bottom w:val="single" w:color="auto" w:sz="4" w:space="0"/>
              <w:right w:val="single" w:color="auto" w:sz="4" w:space="0"/>
            </w:tcBorders>
            <w:shd w:val="clear" w:color="000000" w:fill="FFFFFF"/>
            <w:noWrap/>
            <w:vAlign w:val="center"/>
          </w:tcPr>
          <w:p w14:paraId="15F2723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057CC532">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7442A240">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富财预〔2023〕1号2022年第二批城乡义务教育公用经费市级资金</w:t>
            </w:r>
          </w:p>
        </w:tc>
        <w:tc>
          <w:tcPr>
            <w:tcW w:w="992" w:type="dxa"/>
            <w:tcBorders>
              <w:top w:val="nil"/>
              <w:left w:val="nil"/>
              <w:bottom w:val="single" w:color="auto" w:sz="4" w:space="0"/>
              <w:right w:val="single" w:color="auto" w:sz="4" w:space="0"/>
            </w:tcBorders>
            <w:shd w:val="clear" w:color="auto" w:fill="auto"/>
            <w:noWrap/>
            <w:vAlign w:val="center"/>
          </w:tcPr>
          <w:p w14:paraId="72A1287B">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6FFD217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1275" w:type="dxa"/>
            <w:tcBorders>
              <w:top w:val="nil"/>
              <w:left w:val="nil"/>
              <w:bottom w:val="single" w:color="auto" w:sz="4" w:space="0"/>
              <w:right w:val="single" w:color="auto" w:sz="4" w:space="0"/>
            </w:tcBorders>
            <w:shd w:val="clear" w:color="000000" w:fill="FFFFFF"/>
            <w:noWrap/>
            <w:vAlign w:val="center"/>
          </w:tcPr>
          <w:p w14:paraId="6C84385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78,867.00</w:t>
            </w:r>
          </w:p>
        </w:tc>
        <w:tc>
          <w:tcPr>
            <w:tcW w:w="1087" w:type="dxa"/>
            <w:tcBorders>
              <w:top w:val="nil"/>
              <w:left w:val="nil"/>
              <w:bottom w:val="single" w:color="auto" w:sz="4" w:space="0"/>
              <w:right w:val="single" w:color="auto" w:sz="4" w:space="0"/>
            </w:tcBorders>
            <w:shd w:val="clear" w:color="000000" w:fill="FFFFFF"/>
            <w:noWrap/>
            <w:vAlign w:val="center"/>
          </w:tcPr>
          <w:p w14:paraId="61EF2AE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129CC1CB">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5A5A5F2A">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昆财教〔2022〕102号2022年第二批普通高中学生资助中央和省级直达资金</w:t>
            </w:r>
          </w:p>
        </w:tc>
        <w:tc>
          <w:tcPr>
            <w:tcW w:w="992" w:type="dxa"/>
            <w:tcBorders>
              <w:top w:val="nil"/>
              <w:left w:val="nil"/>
              <w:bottom w:val="single" w:color="auto" w:sz="4" w:space="0"/>
              <w:right w:val="single" w:color="auto" w:sz="4" w:space="0"/>
            </w:tcBorders>
            <w:shd w:val="clear" w:color="auto" w:fill="auto"/>
            <w:noWrap/>
            <w:vAlign w:val="center"/>
          </w:tcPr>
          <w:p w14:paraId="44B7A211">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中央、省级</w:t>
            </w:r>
          </w:p>
        </w:tc>
        <w:tc>
          <w:tcPr>
            <w:tcW w:w="1276" w:type="dxa"/>
            <w:tcBorders>
              <w:top w:val="nil"/>
              <w:left w:val="nil"/>
              <w:bottom w:val="single" w:color="auto" w:sz="4" w:space="0"/>
              <w:right w:val="single" w:color="auto" w:sz="4" w:space="0"/>
            </w:tcBorders>
            <w:shd w:val="clear" w:color="000000" w:fill="FFFFFF"/>
            <w:noWrap/>
            <w:vAlign w:val="center"/>
          </w:tcPr>
          <w:p w14:paraId="6A5C70B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1275" w:type="dxa"/>
            <w:tcBorders>
              <w:top w:val="nil"/>
              <w:left w:val="nil"/>
              <w:bottom w:val="single" w:color="auto" w:sz="4" w:space="0"/>
              <w:right w:val="single" w:color="auto" w:sz="4" w:space="0"/>
            </w:tcBorders>
            <w:shd w:val="clear" w:color="000000" w:fill="FFFFFF"/>
            <w:noWrap/>
            <w:vAlign w:val="center"/>
          </w:tcPr>
          <w:p w14:paraId="4DEE3B6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81,830.00</w:t>
            </w:r>
          </w:p>
        </w:tc>
        <w:tc>
          <w:tcPr>
            <w:tcW w:w="1087" w:type="dxa"/>
            <w:tcBorders>
              <w:top w:val="nil"/>
              <w:left w:val="nil"/>
              <w:bottom w:val="single" w:color="auto" w:sz="4" w:space="0"/>
              <w:right w:val="single" w:color="auto" w:sz="4" w:space="0"/>
            </w:tcBorders>
            <w:shd w:val="clear" w:color="000000" w:fill="FFFFFF"/>
            <w:noWrap/>
            <w:vAlign w:val="center"/>
          </w:tcPr>
          <w:p w14:paraId="3BC6E1D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207C13FA">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408A8B4F">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昆财教〔2023〕91号高中助学金及免学杂费学生资助专项资金</w:t>
            </w:r>
          </w:p>
        </w:tc>
        <w:tc>
          <w:tcPr>
            <w:tcW w:w="992" w:type="dxa"/>
            <w:tcBorders>
              <w:top w:val="nil"/>
              <w:left w:val="nil"/>
              <w:bottom w:val="single" w:color="auto" w:sz="4" w:space="0"/>
              <w:right w:val="single" w:color="auto" w:sz="4" w:space="0"/>
            </w:tcBorders>
            <w:shd w:val="clear" w:color="auto" w:fill="auto"/>
            <w:noWrap/>
            <w:vAlign w:val="center"/>
          </w:tcPr>
          <w:p w14:paraId="3FF53A23">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10B7F6E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1275" w:type="dxa"/>
            <w:tcBorders>
              <w:top w:val="nil"/>
              <w:left w:val="nil"/>
              <w:bottom w:val="single" w:color="auto" w:sz="4" w:space="0"/>
              <w:right w:val="single" w:color="auto" w:sz="4" w:space="0"/>
            </w:tcBorders>
            <w:shd w:val="clear" w:color="000000" w:fill="FFFFFF"/>
            <w:noWrap/>
            <w:vAlign w:val="center"/>
          </w:tcPr>
          <w:p w14:paraId="390CAD9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482,780.00</w:t>
            </w:r>
          </w:p>
        </w:tc>
        <w:tc>
          <w:tcPr>
            <w:tcW w:w="1087" w:type="dxa"/>
            <w:tcBorders>
              <w:top w:val="nil"/>
              <w:left w:val="nil"/>
              <w:bottom w:val="single" w:color="auto" w:sz="4" w:space="0"/>
              <w:right w:val="single" w:color="auto" w:sz="4" w:space="0"/>
            </w:tcBorders>
            <w:shd w:val="clear" w:color="000000" w:fill="FFFFFF"/>
            <w:noWrap/>
            <w:vAlign w:val="center"/>
          </w:tcPr>
          <w:p w14:paraId="20722F8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3436B009">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76F88890">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昆财教〔2022〕78号2022年第二批普通高中脱贫家庭经济困难学生生活补助市级补助资金</w:t>
            </w:r>
          </w:p>
        </w:tc>
        <w:tc>
          <w:tcPr>
            <w:tcW w:w="992" w:type="dxa"/>
            <w:tcBorders>
              <w:top w:val="nil"/>
              <w:left w:val="nil"/>
              <w:bottom w:val="single" w:color="auto" w:sz="4" w:space="0"/>
              <w:right w:val="single" w:color="auto" w:sz="4" w:space="0"/>
            </w:tcBorders>
            <w:shd w:val="clear" w:color="auto" w:fill="auto"/>
            <w:noWrap/>
            <w:vAlign w:val="center"/>
          </w:tcPr>
          <w:p w14:paraId="1663AD67">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653F5E6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1275" w:type="dxa"/>
            <w:tcBorders>
              <w:top w:val="nil"/>
              <w:left w:val="nil"/>
              <w:bottom w:val="single" w:color="auto" w:sz="4" w:space="0"/>
              <w:right w:val="single" w:color="auto" w:sz="4" w:space="0"/>
            </w:tcBorders>
            <w:shd w:val="clear" w:color="000000" w:fill="FFFFFF"/>
            <w:noWrap/>
            <w:vAlign w:val="center"/>
          </w:tcPr>
          <w:p w14:paraId="286748D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28,080.00</w:t>
            </w:r>
          </w:p>
        </w:tc>
        <w:tc>
          <w:tcPr>
            <w:tcW w:w="1087" w:type="dxa"/>
            <w:tcBorders>
              <w:top w:val="nil"/>
              <w:left w:val="nil"/>
              <w:bottom w:val="single" w:color="auto" w:sz="4" w:space="0"/>
              <w:right w:val="single" w:color="auto" w:sz="4" w:space="0"/>
            </w:tcBorders>
            <w:shd w:val="clear" w:color="000000" w:fill="FFFFFF"/>
            <w:noWrap/>
            <w:vAlign w:val="center"/>
          </w:tcPr>
          <w:p w14:paraId="56C48E08">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33019047">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71C06E1D">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富财预〔2023〕1号2022年普通高中学生资助第二批市级资金</w:t>
            </w:r>
          </w:p>
        </w:tc>
        <w:tc>
          <w:tcPr>
            <w:tcW w:w="992" w:type="dxa"/>
            <w:tcBorders>
              <w:top w:val="nil"/>
              <w:left w:val="nil"/>
              <w:bottom w:val="single" w:color="auto" w:sz="4" w:space="0"/>
              <w:right w:val="single" w:color="auto" w:sz="4" w:space="0"/>
            </w:tcBorders>
            <w:shd w:val="clear" w:color="auto" w:fill="auto"/>
            <w:noWrap/>
            <w:vAlign w:val="center"/>
          </w:tcPr>
          <w:p w14:paraId="13862248">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55FFEA3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1275" w:type="dxa"/>
            <w:tcBorders>
              <w:top w:val="nil"/>
              <w:left w:val="nil"/>
              <w:bottom w:val="single" w:color="auto" w:sz="4" w:space="0"/>
              <w:right w:val="single" w:color="auto" w:sz="4" w:space="0"/>
            </w:tcBorders>
            <w:shd w:val="clear" w:color="000000" w:fill="FFFFFF"/>
            <w:noWrap/>
            <w:vAlign w:val="center"/>
          </w:tcPr>
          <w:p w14:paraId="4F98A47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21,810.00</w:t>
            </w:r>
          </w:p>
        </w:tc>
        <w:tc>
          <w:tcPr>
            <w:tcW w:w="1087" w:type="dxa"/>
            <w:tcBorders>
              <w:top w:val="nil"/>
              <w:left w:val="nil"/>
              <w:bottom w:val="single" w:color="auto" w:sz="4" w:space="0"/>
              <w:right w:val="single" w:color="auto" w:sz="4" w:space="0"/>
            </w:tcBorders>
            <w:shd w:val="clear" w:color="000000" w:fill="FFFFFF"/>
            <w:noWrap/>
            <w:vAlign w:val="center"/>
          </w:tcPr>
          <w:p w14:paraId="5859B0E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584E1300">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7884DF14">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富教通〔2020〕147号2020年第三批城乡义务教育营养改善补助中央专项资金</w:t>
            </w:r>
          </w:p>
        </w:tc>
        <w:tc>
          <w:tcPr>
            <w:tcW w:w="992" w:type="dxa"/>
            <w:tcBorders>
              <w:top w:val="nil"/>
              <w:left w:val="nil"/>
              <w:bottom w:val="single" w:color="auto" w:sz="4" w:space="0"/>
              <w:right w:val="single" w:color="auto" w:sz="4" w:space="0"/>
            </w:tcBorders>
            <w:shd w:val="clear" w:color="auto" w:fill="auto"/>
            <w:noWrap/>
            <w:vAlign w:val="center"/>
          </w:tcPr>
          <w:p w14:paraId="17556B69">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中央</w:t>
            </w:r>
          </w:p>
        </w:tc>
        <w:tc>
          <w:tcPr>
            <w:tcW w:w="1276" w:type="dxa"/>
            <w:tcBorders>
              <w:top w:val="nil"/>
              <w:left w:val="nil"/>
              <w:bottom w:val="single" w:color="auto" w:sz="4" w:space="0"/>
              <w:right w:val="single" w:color="auto" w:sz="4" w:space="0"/>
            </w:tcBorders>
            <w:shd w:val="clear" w:color="000000" w:fill="FFFFFF"/>
            <w:noWrap/>
            <w:vAlign w:val="center"/>
          </w:tcPr>
          <w:p w14:paraId="64EC2FF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231,570.75</w:t>
            </w:r>
          </w:p>
        </w:tc>
        <w:tc>
          <w:tcPr>
            <w:tcW w:w="1275" w:type="dxa"/>
            <w:tcBorders>
              <w:top w:val="nil"/>
              <w:left w:val="nil"/>
              <w:bottom w:val="single" w:color="auto" w:sz="4" w:space="0"/>
              <w:right w:val="single" w:color="auto" w:sz="4" w:space="0"/>
            </w:tcBorders>
            <w:shd w:val="clear" w:color="000000" w:fill="FFFFFF"/>
            <w:noWrap/>
            <w:vAlign w:val="center"/>
          </w:tcPr>
          <w:p w14:paraId="1F8EFBC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200,000.00</w:t>
            </w:r>
          </w:p>
        </w:tc>
        <w:tc>
          <w:tcPr>
            <w:tcW w:w="1087" w:type="dxa"/>
            <w:tcBorders>
              <w:top w:val="nil"/>
              <w:left w:val="nil"/>
              <w:bottom w:val="single" w:color="auto" w:sz="4" w:space="0"/>
              <w:right w:val="single" w:color="auto" w:sz="4" w:space="0"/>
            </w:tcBorders>
            <w:shd w:val="clear" w:color="000000" w:fill="FFFFFF"/>
            <w:noWrap/>
            <w:vAlign w:val="center"/>
          </w:tcPr>
          <w:p w14:paraId="5990C43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86.37%</w:t>
            </w:r>
          </w:p>
        </w:tc>
      </w:tr>
      <w:tr w14:paraId="17B9601A">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131B8071">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富教通〔2020〕151号2020年第二批农村义务教育学生营养改善计划市级补助资金</w:t>
            </w:r>
          </w:p>
        </w:tc>
        <w:tc>
          <w:tcPr>
            <w:tcW w:w="992" w:type="dxa"/>
            <w:tcBorders>
              <w:top w:val="nil"/>
              <w:left w:val="nil"/>
              <w:bottom w:val="single" w:color="auto" w:sz="4" w:space="0"/>
              <w:right w:val="single" w:color="auto" w:sz="4" w:space="0"/>
            </w:tcBorders>
            <w:shd w:val="clear" w:color="auto" w:fill="auto"/>
            <w:noWrap/>
            <w:vAlign w:val="center"/>
          </w:tcPr>
          <w:p w14:paraId="4ED7FC06">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0A940056">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40,100.00</w:t>
            </w:r>
          </w:p>
        </w:tc>
        <w:tc>
          <w:tcPr>
            <w:tcW w:w="1275" w:type="dxa"/>
            <w:tcBorders>
              <w:top w:val="nil"/>
              <w:left w:val="nil"/>
              <w:bottom w:val="single" w:color="auto" w:sz="4" w:space="0"/>
              <w:right w:val="single" w:color="auto" w:sz="4" w:space="0"/>
            </w:tcBorders>
            <w:shd w:val="clear" w:color="000000" w:fill="FFFFFF"/>
            <w:noWrap/>
            <w:vAlign w:val="center"/>
          </w:tcPr>
          <w:p w14:paraId="28B3CAE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87" w:type="dxa"/>
            <w:tcBorders>
              <w:top w:val="nil"/>
              <w:left w:val="nil"/>
              <w:bottom w:val="single" w:color="auto" w:sz="4" w:space="0"/>
              <w:right w:val="single" w:color="auto" w:sz="4" w:space="0"/>
            </w:tcBorders>
            <w:shd w:val="clear" w:color="000000" w:fill="FFFFFF"/>
            <w:noWrap/>
            <w:vAlign w:val="center"/>
          </w:tcPr>
          <w:p w14:paraId="08A0E17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0.00%</w:t>
            </w:r>
          </w:p>
        </w:tc>
      </w:tr>
      <w:tr w14:paraId="7CCE0933">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1F760A28">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富教通〔2020〕138号2020年秋季学期义务教育家庭经济困难学生生活补助市级专项资金</w:t>
            </w:r>
          </w:p>
        </w:tc>
        <w:tc>
          <w:tcPr>
            <w:tcW w:w="992" w:type="dxa"/>
            <w:tcBorders>
              <w:top w:val="nil"/>
              <w:left w:val="nil"/>
              <w:bottom w:val="single" w:color="auto" w:sz="4" w:space="0"/>
              <w:right w:val="single" w:color="auto" w:sz="4" w:space="0"/>
            </w:tcBorders>
            <w:shd w:val="clear" w:color="auto" w:fill="auto"/>
            <w:noWrap/>
            <w:vAlign w:val="center"/>
          </w:tcPr>
          <w:p w14:paraId="5E53BC1D">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69D9C35E">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85,504.00</w:t>
            </w:r>
          </w:p>
        </w:tc>
        <w:tc>
          <w:tcPr>
            <w:tcW w:w="1275" w:type="dxa"/>
            <w:tcBorders>
              <w:top w:val="nil"/>
              <w:left w:val="nil"/>
              <w:bottom w:val="single" w:color="auto" w:sz="4" w:space="0"/>
              <w:right w:val="single" w:color="auto" w:sz="4" w:space="0"/>
            </w:tcBorders>
            <w:shd w:val="clear" w:color="000000" w:fill="FFFFFF"/>
            <w:noWrap/>
            <w:vAlign w:val="center"/>
          </w:tcPr>
          <w:p w14:paraId="532FDE1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87" w:type="dxa"/>
            <w:tcBorders>
              <w:top w:val="nil"/>
              <w:left w:val="nil"/>
              <w:bottom w:val="single" w:color="auto" w:sz="4" w:space="0"/>
              <w:right w:val="single" w:color="auto" w:sz="4" w:space="0"/>
            </w:tcBorders>
            <w:shd w:val="clear" w:color="000000" w:fill="FFFFFF"/>
            <w:noWrap/>
            <w:vAlign w:val="center"/>
          </w:tcPr>
          <w:p w14:paraId="7883664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0.00%</w:t>
            </w:r>
          </w:p>
        </w:tc>
      </w:tr>
      <w:tr w14:paraId="5CAD3C25">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000000" w:fill="FFFFFF"/>
            <w:vAlign w:val="center"/>
          </w:tcPr>
          <w:p w14:paraId="41AEB93C">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富教通〔2020〕159号2020年农村义务教育营养改善计划市级补助资金</w:t>
            </w:r>
          </w:p>
        </w:tc>
        <w:tc>
          <w:tcPr>
            <w:tcW w:w="992" w:type="dxa"/>
            <w:tcBorders>
              <w:top w:val="nil"/>
              <w:left w:val="nil"/>
              <w:bottom w:val="single" w:color="auto" w:sz="4" w:space="0"/>
              <w:right w:val="single" w:color="auto" w:sz="4" w:space="0"/>
            </w:tcBorders>
            <w:shd w:val="clear" w:color="auto" w:fill="auto"/>
            <w:noWrap/>
            <w:vAlign w:val="center"/>
          </w:tcPr>
          <w:p w14:paraId="32F2A413">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市级</w:t>
            </w:r>
          </w:p>
        </w:tc>
        <w:tc>
          <w:tcPr>
            <w:tcW w:w="1276" w:type="dxa"/>
            <w:tcBorders>
              <w:top w:val="nil"/>
              <w:left w:val="nil"/>
              <w:bottom w:val="single" w:color="auto" w:sz="4" w:space="0"/>
              <w:right w:val="single" w:color="auto" w:sz="4" w:space="0"/>
            </w:tcBorders>
            <w:shd w:val="clear" w:color="000000" w:fill="FFFFFF"/>
            <w:noWrap/>
            <w:vAlign w:val="center"/>
          </w:tcPr>
          <w:p w14:paraId="1F860EB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73,200.00</w:t>
            </w:r>
          </w:p>
        </w:tc>
        <w:tc>
          <w:tcPr>
            <w:tcW w:w="1275" w:type="dxa"/>
            <w:tcBorders>
              <w:top w:val="nil"/>
              <w:left w:val="nil"/>
              <w:bottom w:val="single" w:color="auto" w:sz="4" w:space="0"/>
              <w:right w:val="single" w:color="auto" w:sz="4" w:space="0"/>
            </w:tcBorders>
            <w:shd w:val="clear" w:color="000000" w:fill="FFFFFF"/>
            <w:noWrap/>
            <w:vAlign w:val="center"/>
          </w:tcPr>
          <w:p w14:paraId="4D32681B">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87" w:type="dxa"/>
            <w:tcBorders>
              <w:top w:val="nil"/>
              <w:left w:val="nil"/>
              <w:bottom w:val="single" w:color="auto" w:sz="4" w:space="0"/>
              <w:right w:val="single" w:color="auto" w:sz="4" w:space="0"/>
            </w:tcBorders>
            <w:shd w:val="clear" w:color="000000" w:fill="FFFFFF"/>
            <w:noWrap/>
            <w:vAlign w:val="center"/>
          </w:tcPr>
          <w:p w14:paraId="24CB23B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0.00%</w:t>
            </w:r>
          </w:p>
        </w:tc>
      </w:tr>
      <w:tr w14:paraId="32DBFD37">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auto" w:fill="auto"/>
            <w:vAlign w:val="center"/>
          </w:tcPr>
          <w:p w14:paraId="454E7B62">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富财预〔2023〕1号学校托管校长奖补经费</w:t>
            </w:r>
          </w:p>
        </w:tc>
        <w:tc>
          <w:tcPr>
            <w:tcW w:w="992" w:type="dxa"/>
            <w:tcBorders>
              <w:top w:val="nil"/>
              <w:left w:val="nil"/>
              <w:bottom w:val="single" w:color="auto" w:sz="4" w:space="0"/>
              <w:right w:val="single" w:color="auto" w:sz="4" w:space="0"/>
            </w:tcBorders>
            <w:shd w:val="clear" w:color="auto" w:fill="auto"/>
            <w:noWrap/>
            <w:vAlign w:val="center"/>
          </w:tcPr>
          <w:p w14:paraId="41577DBD">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县级</w:t>
            </w:r>
          </w:p>
        </w:tc>
        <w:tc>
          <w:tcPr>
            <w:tcW w:w="1276" w:type="dxa"/>
            <w:tcBorders>
              <w:top w:val="nil"/>
              <w:left w:val="nil"/>
              <w:bottom w:val="single" w:color="auto" w:sz="4" w:space="0"/>
              <w:right w:val="single" w:color="auto" w:sz="4" w:space="0"/>
            </w:tcBorders>
            <w:shd w:val="clear" w:color="000000" w:fill="FFFFFF"/>
            <w:noWrap/>
            <w:vAlign w:val="center"/>
          </w:tcPr>
          <w:p w14:paraId="75805D4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1275" w:type="dxa"/>
            <w:tcBorders>
              <w:top w:val="nil"/>
              <w:left w:val="nil"/>
              <w:bottom w:val="single" w:color="auto" w:sz="4" w:space="0"/>
              <w:right w:val="single" w:color="auto" w:sz="4" w:space="0"/>
            </w:tcBorders>
            <w:shd w:val="clear" w:color="000000" w:fill="FFFFFF"/>
            <w:noWrap/>
            <w:vAlign w:val="center"/>
          </w:tcPr>
          <w:p w14:paraId="18057AE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100,000.00</w:t>
            </w:r>
          </w:p>
        </w:tc>
        <w:tc>
          <w:tcPr>
            <w:tcW w:w="1087" w:type="dxa"/>
            <w:tcBorders>
              <w:top w:val="nil"/>
              <w:left w:val="nil"/>
              <w:bottom w:val="single" w:color="auto" w:sz="4" w:space="0"/>
              <w:right w:val="single" w:color="auto" w:sz="4" w:space="0"/>
            </w:tcBorders>
            <w:shd w:val="clear" w:color="000000" w:fill="FFFFFF"/>
            <w:noWrap/>
            <w:vAlign w:val="center"/>
          </w:tcPr>
          <w:p w14:paraId="1B58EC17">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4709F4B4">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auto" w:fill="auto"/>
            <w:vAlign w:val="center"/>
          </w:tcPr>
          <w:p w14:paraId="382512BC">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富财预〔2023〕1号昆一中富民学校管理费专项资金</w:t>
            </w:r>
          </w:p>
        </w:tc>
        <w:tc>
          <w:tcPr>
            <w:tcW w:w="992" w:type="dxa"/>
            <w:tcBorders>
              <w:top w:val="nil"/>
              <w:left w:val="nil"/>
              <w:bottom w:val="single" w:color="auto" w:sz="4" w:space="0"/>
              <w:right w:val="single" w:color="auto" w:sz="4" w:space="0"/>
            </w:tcBorders>
            <w:shd w:val="clear" w:color="auto" w:fill="auto"/>
            <w:noWrap/>
          </w:tcPr>
          <w:p w14:paraId="15AB4991">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县级</w:t>
            </w:r>
          </w:p>
        </w:tc>
        <w:tc>
          <w:tcPr>
            <w:tcW w:w="1276" w:type="dxa"/>
            <w:tcBorders>
              <w:top w:val="nil"/>
              <w:left w:val="nil"/>
              <w:bottom w:val="single" w:color="auto" w:sz="4" w:space="0"/>
              <w:right w:val="single" w:color="auto" w:sz="4" w:space="0"/>
            </w:tcBorders>
            <w:shd w:val="clear" w:color="000000" w:fill="FFFFFF"/>
            <w:noWrap/>
            <w:vAlign w:val="center"/>
          </w:tcPr>
          <w:p w14:paraId="676D9E9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275" w:type="dxa"/>
            <w:tcBorders>
              <w:top w:val="nil"/>
              <w:left w:val="nil"/>
              <w:bottom w:val="single" w:color="auto" w:sz="4" w:space="0"/>
              <w:right w:val="single" w:color="auto" w:sz="4" w:space="0"/>
            </w:tcBorders>
            <w:shd w:val="clear" w:color="000000" w:fill="FFFFFF"/>
            <w:noWrap/>
            <w:vAlign w:val="center"/>
          </w:tcPr>
          <w:p w14:paraId="15DC1DFA">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1,500,000.00</w:t>
            </w:r>
          </w:p>
        </w:tc>
        <w:tc>
          <w:tcPr>
            <w:tcW w:w="1087" w:type="dxa"/>
            <w:tcBorders>
              <w:top w:val="nil"/>
              <w:left w:val="nil"/>
              <w:bottom w:val="single" w:color="auto" w:sz="4" w:space="0"/>
              <w:right w:val="single" w:color="auto" w:sz="4" w:space="0"/>
            </w:tcBorders>
            <w:shd w:val="clear" w:color="000000" w:fill="FFFFFF"/>
            <w:noWrap/>
            <w:vAlign w:val="center"/>
          </w:tcPr>
          <w:p w14:paraId="7009BD9C">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368E7E9C">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auto" w:fill="auto"/>
            <w:vAlign w:val="center"/>
          </w:tcPr>
          <w:p w14:paraId="1ED23780">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富财预〔2023〕4号富民一中管理费补助专项经费</w:t>
            </w:r>
          </w:p>
        </w:tc>
        <w:tc>
          <w:tcPr>
            <w:tcW w:w="992" w:type="dxa"/>
            <w:tcBorders>
              <w:top w:val="nil"/>
              <w:left w:val="nil"/>
              <w:bottom w:val="single" w:color="auto" w:sz="4" w:space="0"/>
              <w:right w:val="single" w:color="auto" w:sz="4" w:space="0"/>
            </w:tcBorders>
            <w:shd w:val="clear" w:color="auto" w:fill="auto"/>
            <w:noWrap/>
          </w:tcPr>
          <w:p w14:paraId="298F499D">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县级</w:t>
            </w:r>
          </w:p>
        </w:tc>
        <w:tc>
          <w:tcPr>
            <w:tcW w:w="1276" w:type="dxa"/>
            <w:tcBorders>
              <w:top w:val="nil"/>
              <w:left w:val="nil"/>
              <w:bottom w:val="single" w:color="auto" w:sz="4" w:space="0"/>
              <w:right w:val="single" w:color="auto" w:sz="4" w:space="0"/>
            </w:tcBorders>
            <w:shd w:val="clear" w:color="000000" w:fill="FFFFFF"/>
            <w:noWrap/>
            <w:vAlign w:val="center"/>
          </w:tcPr>
          <w:p w14:paraId="71D5F83D">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117,075.48</w:t>
            </w:r>
          </w:p>
        </w:tc>
        <w:tc>
          <w:tcPr>
            <w:tcW w:w="1275" w:type="dxa"/>
            <w:tcBorders>
              <w:top w:val="nil"/>
              <w:left w:val="nil"/>
              <w:bottom w:val="single" w:color="auto" w:sz="4" w:space="0"/>
              <w:right w:val="single" w:color="auto" w:sz="4" w:space="0"/>
            </w:tcBorders>
            <w:shd w:val="clear" w:color="000000" w:fill="FFFFFF"/>
            <w:noWrap/>
            <w:vAlign w:val="center"/>
          </w:tcPr>
          <w:p w14:paraId="30096ED2">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117,075.48</w:t>
            </w:r>
          </w:p>
        </w:tc>
        <w:tc>
          <w:tcPr>
            <w:tcW w:w="1087" w:type="dxa"/>
            <w:tcBorders>
              <w:top w:val="nil"/>
              <w:left w:val="nil"/>
              <w:bottom w:val="single" w:color="auto" w:sz="4" w:space="0"/>
              <w:right w:val="single" w:color="auto" w:sz="4" w:space="0"/>
            </w:tcBorders>
            <w:shd w:val="clear" w:color="000000" w:fill="FFFFFF"/>
            <w:noWrap/>
            <w:vAlign w:val="center"/>
          </w:tcPr>
          <w:p w14:paraId="23312B34">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4661BE60">
        <w:tblPrEx>
          <w:tblCellMar>
            <w:top w:w="0" w:type="dxa"/>
            <w:left w:w="108" w:type="dxa"/>
            <w:bottom w:w="0" w:type="dxa"/>
            <w:right w:w="108" w:type="dxa"/>
          </w:tblCellMar>
        </w:tblPrEx>
        <w:trPr>
          <w:trHeight w:val="384" w:hRule="atLeast"/>
        </w:trPr>
        <w:tc>
          <w:tcPr>
            <w:tcW w:w="4390" w:type="dxa"/>
            <w:tcBorders>
              <w:top w:val="nil"/>
              <w:left w:val="single" w:color="auto" w:sz="4" w:space="0"/>
              <w:bottom w:val="single" w:color="auto" w:sz="4" w:space="0"/>
              <w:right w:val="single" w:color="auto" w:sz="4" w:space="0"/>
            </w:tcBorders>
            <w:shd w:val="clear" w:color="auto" w:fill="auto"/>
            <w:vAlign w:val="center"/>
          </w:tcPr>
          <w:p w14:paraId="3DC3CF90">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富财预〔2023〕1号富民一中普通高中学生学费、住宿费补助资金</w:t>
            </w:r>
          </w:p>
        </w:tc>
        <w:tc>
          <w:tcPr>
            <w:tcW w:w="992" w:type="dxa"/>
            <w:tcBorders>
              <w:top w:val="nil"/>
              <w:left w:val="nil"/>
              <w:bottom w:val="single" w:color="auto" w:sz="4" w:space="0"/>
              <w:right w:val="single" w:color="auto" w:sz="4" w:space="0"/>
            </w:tcBorders>
            <w:shd w:val="clear" w:color="auto" w:fill="auto"/>
            <w:noWrap/>
          </w:tcPr>
          <w:p w14:paraId="37DEA076">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县级</w:t>
            </w:r>
          </w:p>
        </w:tc>
        <w:tc>
          <w:tcPr>
            <w:tcW w:w="1276" w:type="dxa"/>
            <w:tcBorders>
              <w:top w:val="nil"/>
              <w:left w:val="nil"/>
              <w:bottom w:val="single" w:color="auto" w:sz="4" w:space="0"/>
              <w:right w:val="single" w:color="auto" w:sz="4" w:space="0"/>
            </w:tcBorders>
            <w:shd w:val="clear" w:color="000000" w:fill="FFFFFF"/>
            <w:noWrap/>
            <w:vAlign w:val="center"/>
          </w:tcPr>
          <w:p w14:paraId="52E9C043">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1,205,440.00</w:t>
            </w:r>
          </w:p>
        </w:tc>
        <w:tc>
          <w:tcPr>
            <w:tcW w:w="1275" w:type="dxa"/>
            <w:tcBorders>
              <w:top w:val="nil"/>
              <w:left w:val="nil"/>
              <w:bottom w:val="single" w:color="auto" w:sz="4" w:space="0"/>
              <w:right w:val="single" w:color="auto" w:sz="4" w:space="0"/>
            </w:tcBorders>
            <w:shd w:val="clear" w:color="000000" w:fill="FFFFFF"/>
            <w:noWrap/>
            <w:vAlign w:val="center"/>
          </w:tcPr>
          <w:p w14:paraId="51B51825">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1,205,440.00</w:t>
            </w:r>
          </w:p>
        </w:tc>
        <w:tc>
          <w:tcPr>
            <w:tcW w:w="1087" w:type="dxa"/>
            <w:tcBorders>
              <w:top w:val="nil"/>
              <w:left w:val="nil"/>
              <w:bottom w:val="single" w:color="auto" w:sz="4" w:space="0"/>
              <w:right w:val="single" w:color="auto" w:sz="4" w:space="0"/>
            </w:tcBorders>
            <w:shd w:val="clear" w:color="000000" w:fill="FFFFFF"/>
            <w:noWrap/>
            <w:vAlign w:val="center"/>
          </w:tcPr>
          <w:p w14:paraId="77875A29">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100.00%</w:t>
            </w:r>
          </w:p>
        </w:tc>
      </w:tr>
      <w:tr w14:paraId="2917EAE3">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auto" w:fill="auto"/>
            <w:vAlign w:val="center"/>
          </w:tcPr>
          <w:p w14:paraId="66723371">
            <w:pPr>
              <w:widowControl/>
              <w:jc w:val="left"/>
              <w:rPr>
                <w:rFonts w:ascii="仿宋" w:hAnsi="仿宋" w:eastAsia="仿宋" w:cs="宋体"/>
                <w:color w:val="000000"/>
                <w:kern w:val="0"/>
                <w:sz w:val="15"/>
                <w:szCs w:val="15"/>
              </w:rPr>
            </w:pPr>
            <w:r>
              <w:rPr>
                <w:rFonts w:hint="eastAsia" w:ascii="仿宋" w:hAnsi="仿宋" w:eastAsia="仿宋" w:cs="宋体"/>
                <w:color w:val="000000"/>
                <w:kern w:val="0"/>
                <w:sz w:val="15"/>
                <w:szCs w:val="15"/>
              </w:rPr>
              <w:t>富财预〔2023〕4号富民一中管理费补助经费</w:t>
            </w:r>
          </w:p>
        </w:tc>
        <w:tc>
          <w:tcPr>
            <w:tcW w:w="992" w:type="dxa"/>
            <w:tcBorders>
              <w:top w:val="nil"/>
              <w:left w:val="nil"/>
              <w:bottom w:val="single" w:color="auto" w:sz="4" w:space="0"/>
              <w:right w:val="single" w:color="auto" w:sz="4" w:space="0"/>
            </w:tcBorders>
            <w:shd w:val="clear" w:color="auto" w:fill="auto"/>
            <w:noWrap/>
          </w:tcPr>
          <w:p w14:paraId="6BAE254C">
            <w:pPr>
              <w:widowControl/>
              <w:jc w:val="center"/>
              <w:rPr>
                <w:rFonts w:ascii="仿宋" w:hAnsi="仿宋" w:eastAsia="仿宋" w:cs="宋体"/>
                <w:color w:val="000000"/>
                <w:kern w:val="0"/>
                <w:sz w:val="15"/>
                <w:szCs w:val="15"/>
              </w:rPr>
            </w:pPr>
            <w:r>
              <w:rPr>
                <w:rFonts w:hint="eastAsia" w:ascii="仿宋" w:hAnsi="仿宋" w:eastAsia="仿宋" w:cs="宋体"/>
                <w:color w:val="000000"/>
                <w:kern w:val="0"/>
                <w:sz w:val="15"/>
                <w:szCs w:val="15"/>
              </w:rPr>
              <w:t>县级</w:t>
            </w:r>
          </w:p>
        </w:tc>
        <w:tc>
          <w:tcPr>
            <w:tcW w:w="1276" w:type="dxa"/>
            <w:tcBorders>
              <w:top w:val="nil"/>
              <w:left w:val="nil"/>
              <w:bottom w:val="single" w:color="auto" w:sz="4" w:space="0"/>
              <w:right w:val="single" w:color="auto" w:sz="4" w:space="0"/>
            </w:tcBorders>
            <w:shd w:val="clear" w:color="000000" w:fill="FFFFFF"/>
            <w:noWrap/>
            <w:vAlign w:val="center"/>
          </w:tcPr>
          <w:p w14:paraId="6B02C7C0">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474,700.00</w:t>
            </w:r>
          </w:p>
        </w:tc>
        <w:tc>
          <w:tcPr>
            <w:tcW w:w="1275" w:type="dxa"/>
            <w:tcBorders>
              <w:top w:val="nil"/>
              <w:left w:val="nil"/>
              <w:bottom w:val="single" w:color="auto" w:sz="4" w:space="0"/>
              <w:right w:val="single" w:color="auto" w:sz="4" w:space="0"/>
            </w:tcBorders>
            <w:shd w:val="clear" w:color="000000" w:fill="FFFFFF"/>
            <w:noWrap/>
            <w:vAlign w:val="center"/>
          </w:tcPr>
          <w:p w14:paraId="59F2F491">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w:t>
            </w:r>
          </w:p>
        </w:tc>
        <w:tc>
          <w:tcPr>
            <w:tcW w:w="1087" w:type="dxa"/>
            <w:tcBorders>
              <w:top w:val="nil"/>
              <w:left w:val="nil"/>
              <w:bottom w:val="single" w:color="auto" w:sz="4" w:space="0"/>
              <w:right w:val="single" w:color="auto" w:sz="4" w:space="0"/>
            </w:tcBorders>
            <w:shd w:val="clear" w:color="000000" w:fill="FFFFFF"/>
            <w:noWrap/>
            <w:vAlign w:val="center"/>
          </w:tcPr>
          <w:p w14:paraId="2677B1FF">
            <w:pPr>
              <w:widowControl/>
              <w:jc w:val="right"/>
              <w:rPr>
                <w:rFonts w:ascii="Arial Narrow" w:hAnsi="Arial Narrow" w:eastAsia="等线" w:cs="宋体"/>
                <w:color w:val="000000"/>
                <w:kern w:val="0"/>
                <w:sz w:val="15"/>
                <w:szCs w:val="15"/>
              </w:rPr>
            </w:pPr>
            <w:r>
              <w:rPr>
                <w:rFonts w:ascii="Arial Narrow" w:hAnsi="Arial Narrow" w:eastAsia="等线" w:cs="宋体"/>
                <w:color w:val="000000"/>
                <w:kern w:val="0"/>
                <w:sz w:val="15"/>
                <w:szCs w:val="15"/>
              </w:rPr>
              <w:t>0.00%</w:t>
            </w:r>
          </w:p>
        </w:tc>
      </w:tr>
      <w:tr w14:paraId="1EB7FDA3">
        <w:tblPrEx>
          <w:tblCellMar>
            <w:top w:w="0" w:type="dxa"/>
            <w:left w:w="108" w:type="dxa"/>
            <w:bottom w:w="0" w:type="dxa"/>
            <w:right w:w="108" w:type="dxa"/>
          </w:tblCellMar>
        </w:tblPrEx>
        <w:trPr>
          <w:trHeight w:val="276" w:hRule="atLeast"/>
        </w:trPr>
        <w:tc>
          <w:tcPr>
            <w:tcW w:w="4390" w:type="dxa"/>
            <w:tcBorders>
              <w:top w:val="nil"/>
              <w:left w:val="single" w:color="auto" w:sz="4" w:space="0"/>
              <w:bottom w:val="single" w:color="auto" w:sz="4" w:space="0"/>
              <w:right w:val="single" w:color="auto" w:sz="4" w:space="0"/>
            </w:tcBorders>
            <w:shd w:val="clear" w:color="auto" w:fill="auto"/>
            <w:vAlign w:val="center"/>
          </w:tcPr>
          <w:p w14:paraId="02D30436">
            <w:pPr>
              <w:widowControl/>
              <w:jc w:val="center"/>
              <w:rPr>
                <w:rFonts w:ascii="仿宋" w:hAnsi="仿宋" w:eastAsia="仿宋" w:cs="宋体"/>
                <w:b/>
                <w:bCs/>
                <w:color w:val="000000"/>
                <w:kern w:val="0"/>
                <w:sz w:val="15"/>
                <w:szCs w:val="15"/>
              </w:rPr>
            </w:pPr>
            <w:r>
              <w:rPr>
                <w:rFonts w:hint="eastAsia" w:ascii="仿宋" w:hAnsi="仿宋" w:eastAsia="仿宋" w:cs="宋体"/>
                <w:b/>
                <w:bCs/>
                <w:color w:val="000000"/>
                <w:kern w:val="0"/>
                <w:sz w:val="15"/>
                <w:szCs w:val="15"/>
              </w:rPr>
              <w:t>合计</w:t>
            </w:r>
          </w:p>
        </w:tc>
        <w:tc>
          <w:tcPr>
            <w:tcW w:w="992" w:type="dxa"/>
            <w:tcBorders>
              <w:top w:val="nil"/>
              <w:left w:val="nil"/>
              <w:bottom w:val="single" w:color="auto" w:sz="4" w:space="0"/>
              <w:right w:val="single" w:color="auto" w:sz="4" w:space="0"/>
            </w:tcBorders>
            <w:shd w:val="clear" w:color="auto" w:fill="auto"/>
            <w:noWrap/>
            <w:vAlign w:val="center"/>
          </w:tcPr>
          <w:p w14:paraId="34896F7C">
            <w:pPr>
              <w:widowControl/>
              <w:jc w:val="left"/>
              <w:rPr>
                <w:rFonts w:ascii="等线" w:hAnsi="等线" w:eastAsia="等线" w:cs="宋体"/>
                <w:b/>
                <w:bCs/>
                <w:color w:val="000000"/>
                <w:kern w:val="0"/>
                <w:sz w:val="22"/>
              </w:rPr>
            </w:pPr>
            <w:r>
              <w:rPr>
                <w:rFonts w:hint="eastAsia" w:ascii="等线" w:hAnsi="等线" w:eastAsia="等线" w:cs="宋体"/>
                <w:b/>
                <w:bCs/>
                <w:color w:val="000000"/>
                <w:kern w:val="0"/>
                <w:sz w:val="22"/>
              </w:rPr>
              <w:t>　</w:t>
            </w:r>
          </w:p>
        </w:tc>
        <w:tc>
          <w:tcPr>
            <w:tcW w:w="1276" w:type="dxa"/>
            <w:tcBorders>
              <w:top w:val="nil"/>
              <w:left w:val="nil"/>
              <w:bottom w:val="single" w:color="auto" w:sz="4" w:space="0"/>
              <w:right w:val="single" w:color="auto" w:sz="4" w:space="0"/>
            </w:tcBorders>
            <w:shd w:val="clear" w:color="000000" w:fill="FFFFFF"/>
            <w:noWrap/>
            <w:vAlign w:val="center"/>
          </w:tcPr>
          <w:p w14:paraId="76F7C640">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7,672,047.73</w:t>
            </w:r>
          </w:p>
        </w:tc>
        <w:tc>
          <w:tcPr>
            <w:tcW w:w="1275" w:type="dxa"/>
            <w:tcBorders>
              <w:top w:val="nil"/>
              <w:left w:val="nil"/>
              <w:bottom w:val="single" w:color="auto" w:sz="4" w:space="0"/>
              <w:right w:val="single" w:color="auto" w:sz="4" w:space="0"/>
            </w:tcBorders>
            <w:shd w:val="clear" w:color="000000" w:fill="FFFFFF"/>
            <w:noWrap/>
            <w:vAlign w:val="center"/>
          </w:tcPr>
          <w:p w14:paraId="5E209B6B">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6,966,972.98</w:t>
            </w:r>
          </w:p>
        </w:tc>
        <w:tc>
          <w:tcPr>
            <w:tcW w:w="1087" w:type="dxa"/>
            <w:tcBorders>
              <w:top w:val="nil"/>
              <w:left w:val="nil"/>
              <w:bottom w:val="single" w:color="auto" w:sz="4" w:space="0"/>
              <w:right w:val="single" w:color="auto" w:sz="4" w:space="0"/>
            </w:tcBorders>
            <w:shd w:val="clear" w:color="000000" w:fill="FFFFFF"/>
            <w:noWrap/>
            <w:vAlign w:val="center"/>
          </w:tcPr>
          <w:p w14:paraId="00226E03">
            <w:pPr>
              <w:widowControl/>
              <w:jc w:val="right"/>
              <w:rPr>
                <w:rFonts w:ascii="Arial Narrow" w:hAnsi="Arial Narrow" w:eastAsia="等线" w:cs="宋体"/>
                <w:b/>
                <w:bCs/>
                <w:color w:val="000000"/>
                <w:kern w:val="0"/>
                <w:sz w:val="15"/>
                <w:szCs w:val="15"/>
              </w:rPr>
            </w:pPr>
            <w:r>
              <w:rPr>
                <w:rFonts w:ascii="Arial Narrow" w:hAnsi="Arial Narrow" w:eastAsia="等线" w:cs="宋体"/>
                <w:b/>
                <w:bCs/>
                <w:color w:val="000000"/>
                <w:kern w:val="0"/>
                <w:sz w:val="15"/>
                <w:szCs w:val="15"/>
              </w:rPr>
              <w:t>90.81%</w:t>
            </w:r>
          </w:p>
        </w:tc>
      </w:tr>
    </w:tbl>
    <w:p w14:paraId="05208044">
      <w:pPr>
        <w:pStyle w:val="145"/>
        <w:jc w:val="left"/>
        <w:rPr>
          <w:rFonts w:ascii="仿宋_GB2312" w:hAnsi="仿宋" w:eastAsia="仿宋_GB2312"/>
          <w:kern w:val="30"/>
          <w:szCs w:val="21"/>
        </w:rPr>
      </w:pPr>
    </w:p>
    <w:p w14:paraId="17A8CA3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预算管理方面，富民一中制定了《富民一中财务管理制度》《富民一中经费管理使用制度》《富民一中内控业务流程》等管理办法</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对预算管理、资金管理、资产管理等内控事项作了规范，对于专项支出金额大于2000元的须校务会讨论通过方可支出。</w:t>
      </w:r>
    </w:p>
    <w:p w14:paraId="5C73845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政府采购方面，富民一中2</w:t>
      </w:r>
      <w:r>
        <w:rPr>
          <w:rFonts w:ascii="仿宋_GB2312" w:hAnsi="仿宋" w:eastAsia="仿宋_GB2312" w:cs="Times New Roman"/>
          <w:kern w:val="30"/>
          <w:sz w:val="30"/>
          <w:szCs w:val="30"/>
        </w:rPr>
        <w:t>023</w:t>
      </w:r>
      <w:r>
        <w:rPr>
          <w:rFonts w:hint="eastAsia" w:ascii="仿宋_GB2312" w:hAnsi="仿宋" w:eastAsia="仿宋_GB2312" w:cs="Times New Roman"/>
          <w:kern w:val="30"/>
          <w:sz w:val="30"/>
          <w:szCs w:val="30"/>
        </w:rPr>
        <w:t>年采购太阳能热水器，采购金额（合同金额36.58万元）超预算申报金额（35.00万元），并且采购资金直接计入当期费用，未登记资产账，不符合“严禁超预算安排支出”及“属于新增固定资产的应登记固定资产账”的规定。</w:t>
      </w:r>
    </w:p>
    <w:p w14:paraId="5C82888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资金管理方面，部分费用支出所附原始凭证不完整，如：2023年8月36#记账凭证，付学校参加云南省新高考新教材背景下教师专业化发展培训费84,320.00元，报销原始凭证中未附培训通知、实际参训人员签到表。不符合《云南省省级机关培训费管理办法》（云财行〔2017〕208 号）第十九条“报销培训费，综合定额范围内的，应当提供培训计划审批文件、培训通知、实际参训人员签到表以及培训机构出具的收款票据、费用明细等凭证”的规定。</w:t>
      </w:r>
    </w:p>
    <w:p w14:paraId="5B894815">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资产管理方面，富民一中按照行政事业单位固定资产管理办法的规定执行资产管理，经现场</w:t>
      </w:r>
      <w:r>
        <w:rPr>
          <w:rFonts w:ascii="仿宋_GB2312" w:hAnsi="仿宋" w:eastAsia="仿宋_GB2312" w:cs="Times New Roman"/>
          <w:kern w:val="30"/>
          <w:sz w:val="30"/>
          <w:szCs w:val="30"/>
        </w:rPr>
        <w:t>抽盘</w:t>
      </w:r>
      <w:r>
        <w:rPr>
          <w:rFonts w:hint="eastAsia" w:ascii="仿宋_GB2312" w:hAnsi="仿宋" w:eastAsia="仿宋_GB2312" w:cs="Times New Roman"/>
          <w:kern w:val="30"/>
          <w:sz w:val="30"/>
          <w:szCs w:val="30"/>
        </w:rPr>
        <w:t>部分固定资产</w:t>
      </w:r>
      <w:r>
        <w:rPr>
          <w:rFonts w:ascii="仿宋_GB2312" w:hAnsi="仿宋" w:eastAsia="仿宋_GB2312" w:cs="Times New Roman"/>
          <w:kern w:val="30"/>
          <w:sz w:val="30"/>
          <w:szCs w:val="30"/>
        </w:rPr>
        <w:t>，发现</w:t>
      </w:r>
      <w:r>
        <w:rPr>
          <w:rFonts w:hint="eastAsia" w:ascii="仿宋_GB2312" w:hAnsi="仿宋" w:eastAsia="仿宋_GB2312" w:cs="Times New Roman"/>
          <w:kern w:val="30"/>
          <w:sz w:val="30"/>
          <w:szCs w:val="30"/>
        </w:rPr>
        <w:t>存在部分资产闲置（66项）、盘亏（203项，主要为1974-1999年取得的打字机、田赛径赛设备等）、1部车辆已达报废年限未处置等情况，且实物资产未张贴标签，不利于后续的资产盘点与保管责任的落实</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应开展资产清查，对已报废的固定资产按流程及时进行处置。</w:t>
      </w:r>
    </w:p>
    <w:p w14:paraId="54167B4A">
      <w:pPr>
        <w:spacing w:line="590" w:lineRule="exact"/>
        <w:ind w:firstLine="624" w:firstLineChars="200"/>
        <w:outlineLvl w:val="1"/>
        <w:rPr>
          <w:rFonts w:ascii="楷体_GB2312" w:hAnsi="Times New Roman" w:eastAsia="楷体_GB2312" w:cs="Times New Roman"/>
          <w:spacing w:val="6"/>
          <w:kern w:val="0"/>
          <w:sz w:val="30"/>
          <w:szCs w:val="30"/>
        </w:rPr>
      </w:pPr>
      <w:bookmarkStart w:id="107" w:name="_Toc180163181"/>
      <w:bookmarkStart w:id="108" w:name="_Toc173402318"/>
      <w:bookmarkStart w:id="109" w:name="_Toc20279"/>
      <w:bookmarkStart w:id="110" w:name="_Toc173402210"/>
      <w:r>
        <w:rPr>
          <w:rFonts w:hint="eastAsia" w:ascii="楷体_GB2312" w:hAnsi="Times New Roman" w:eastAsia="楷体_GB2312" w:cs="Times New Roman"/>
          <w:spacing w:val="6"/>
          <w:kern w:val="0"/>
          <w:sz w:val="30"/>
          <w:szCs w:val="30"/>
        </w:rPr>
        <w:t>（三）</w:t>
      </w:r>
      <w:r>
        <w:rPr>
          <w:rFonts w:ascii="楷体_GB2312" w:hAnsi="Times New Roman" w:eastAsia="楷体_GB2312" w:cs="Times New Roman"/>
          <w:spacing w:val="6"/>
          <w:kern w:val="0"/>
          <w:sz w:val="30"/>
          <w:szCs w:val="30"/>
        </w:rPr>
        <w:t>产出情况分析</w:t>
      </w:r>
      <w:bookmarkEnd w:id="107"/>
      <w:bookmarkEnd w:id="108"/>
      <w:bookmarkEnd w:id="109"/>
      <w:bookmarkEnd w:id="110"/>
    </w:p>
    <w:p w14:paraId="5B3D726E">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用于考核</w:t>
      </w:r>
      <w:r>
        <w:rPr>
          <w:rFonts w:hint="eastAsia" w:ascii="仿宋_GB2312" w:hAnsi="仿宋" w:eastAsia="仿宋_GB2312" w:cs="Times New Roman"/>
          <w:kern w:val="30"/>
          <w:sz w:val="30"/>
          <w:szCs w:val="30"/>
        </w:rPr>
        <w:t>富民一中</w:t>
      </w:r>
      <w:r>
        <w:rPr>
          <w:rFonts w:ascii="仿宋_GB2312" w:hAnsi="仿宋" w:eastAsia="仿宋_GB2312" w:cs="Times New Roman"/>
          <w:kern w:val="30"/>
          <w:sz w:val="30"/>
          <w:szCs w:val="30"/>
        </w:rPr>
        <w:t>2023年部门履职的产出类指标共计</w:t>
      </w:r>
      <w:r>
        <w:rPr>
          <w:rFonts w:hint="eastAsia" w:ascii="仿宋_GB2312" w:hAnsi="仿宋" w:eastAsia="仿宋_GB2312" w:cs="Times New Roman"/>
          <w:kern w:val="30"/>
          <w:sz w:val="30"/>
          <w:szCs w:val="30"/>
        </w:rPr>
        <w:t>8</w:t>
      </w:r>
      <w:r>
        <w:rPr>
          <w:rFonts w:ascii="仿宋_GB2312" w:hAnsi="仿宋" w:eastAsia="仿宋_GB2312" w:cs="Times New Roman"/>
          <w:kern w:val="30"/>
          <w:sz w:val="30"/>
          <w:szCs w:val="30"/>
        </w:rPr>
        <w:t>项,</w:t>
      </w:r>
      <w:r>
        <w:rPr>
          <w:rFonts w:hint="eastAsia" w:ascii="仿宋_GB2312" w:hAnsi="仿宋" w:eastAsia="仿宋_GB2312" w:cs="Times New Roman"/>
          <w:kern w:val="30"/>
          <w:sz w:val="30"/>
          <w:szCs w:val="30"/>
        </w:rPr>
        <w:t>考核各项工作的履职</w:t>
      </w:r>
      <w:r>
        <w:rPr>
          <w:rFonts w:ascii="仿宋_GB2312" w:hAnsi="仿宋" w:eastAsia="仿宋_GB2312" w:cs="Times New Roman"/>
          <w:kern w:val="30"/>
          <w:sz w:val="30"/>
          <w:szCs w:val="30"/>
        </w:rPr>
        <w:t>完成情况，具体分析情况如下：</w:t>
      </w:r>
    </w:p>
    <w:p w14:paraId="40914D7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1.开展德育教育、举办德育论坛</w:t>
      </w:r>
    </w:p>
    <w:p w14:paraId="36584DC1">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德育管理方面，2023年富民一中举行德育论坛3场，给学生上抗挫折能力课、全员讲德育故事、思想疏导和引领，形成育人内容体系化。其次，举办多场德育活动，包括“成人仪式”“中高考誓师大会和送考活动”“红五月艺术活动”“书法绘画手工比赛”“金色十月合唱、朗诵比赛”“富中好声音”冬季田径运动会、“校长杯”足球、“黉学杯”篮球比赛等。</w:t>
      </w:r>
    </w:p>
    <w:p w14:paraId="1B3F66D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2.扩大办学规模、提升在校学生数量</w:t>
      </w:r>
    </w:p>
    <w:p w14:paraId="16DAC7F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在集团化办学政策范围内，富民一中2023年实现了200人二批次招生，生源质量有了较大改善。截至2023年秋季学期，学校共有在校学生2763人，其中：初中生844人、高中生1919人。</w:t>
      </w:r>
    </w:p>
    <w:p w14:paraId="650DE8B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3.实施教学改革、开展三新课程教研</w:t>
      </w:r>
    </w:p>
    <w:p w14:paraId="58983149">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依托国家级首批新课程新教材改革示范学校昆一中本部，推进富民一中三新课程改革，2023年组织参加昆一中三新课程教研20次、366人，积极探究三新教学模式改革，推广探究式、互动式、合作式教学模式，优化教学环节，优化课堂教学内容。</w:t>
      </w:r>
    </w:p>
    <w:p w14:paraId="2874F962">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4.新增开设校本选修课程</w:t>
      </w:r>
    </w:p>
    <w:p w14:paraId="19DB971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2023年秋季学期，新增开设校本选修课程16门，主要包括：</w:t>
      </w:r>
      <w:r>
        <w:rPr>
          <w:rFonts w:ascii="仿宋_GB2312" w:hAnsi="仿宋" w:eastAsia="仿宋_GB2312" w:cs="Times New Roman"/>
          <w:kern w:val="30"/>
          <w:sz w:val="30"/>
          <w:szCs w:val="30"/>
        </w:rPr>
        <w:t>朗诵演讲</w:t>
      </w:r>
      <w:r>
        <w:rPr>
          <w:rFonts w:hint="eastAsia" w:ascii="仿宋_GB2312" w:hAnsi="仿宋" w:eastAsia="仿宋_GB2312" w:cs="Times New Roman"/>
          <w:kern w:val="30"/>
          <w:sz w:val="30"/>
          <w:szCs w:val="30"/>
        </w:rPr>
        <w:t>、趣中悟理（物理）、化学与生活、诗词中的地理、滇史探秘、英文戏剧表演、生活中经济学等，供高一年级选修，以提高学习兴趣、拓展知识视野。</w:t>
      </w:r>
    </w:p>
    <w:p w14:paraId="51EEE928">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5.中考分数优秀率</w:t>
      </w:r>
    </w:p>
    <w:p w14:paraId="0C6FC77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2023年富民一中中考考生498人，成绩优秀率43.2%。</w:t>
      </w:r>
    </w:p>
    <w:p w14:paraId="148AB4A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6.高考一本率</w:t>
      </w:r>
    </w:p>
    <w:p w14:paraId="5773DFB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2023年富民一中高考考生586人，一本上线33人，一本率为5.62%，较2022年提升1.77个百分点，本科率达到64.23%，较2022年提升了20.87个百分点。</w:t>
      </w:r>
    </w:p>
    <w:p w14:paraId="243981C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7.困难学生补助认定、发放准确率</w:t>
      </w:r>
    </w:p>
    <w:p w14:paraId="2A9F2F8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初中生助学补助，2023年春季学期，享受困难补助学生数365人；2023年秋季学期，享受困难补助学生数266人。</w:t>
      </w:r>
    </w:p>
    <w:p w14:paraId="23645175">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高中生助学补助，2023年春季学期，享受高中助学金人数277人（一等52人、二等225人），家庭困难学生补助73人，建档立卡户学生补助14人；2023年秋季学期，享受高中助学金人数323人（一等72人、二等251人），家庭困难学生补助73人，建档立卡户学生补助20人。</w:t>
      </w:r>
    </w:p>
    <w:p w14:paraId="7E87267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上述补助均按流程进行认定、公示、发放。</w:t>
      </w:r>
    </w:p>
    <w:p w14:paraId="0C0F982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8.义务教育营养餐计划执行合规率</w:t>
      </w:r>
    </w:p>
    <w:p w14:paraId="2E4E0ABF">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根据农村义务教育学生营养改善计划政策要求，富民一中共有557名初中生享受该项政策，营养餐计划以直接发放就餐券（5元/人天）、学校购买餐食并免费给补助对象供应等形式实施，餐食供应由富民县教体局统一进行学校食堂大宗物资（米面油、蔬菜、肉类）采购，由中标供应商（云南星桥食品有限公司）统一供应。</w:t>
      </w:r>
    </w:p>
    <w:p w14:paraId="5AAD0B7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设有3个食堂，各食堂建立健全预防卫生保障机制，确保师生安全，完善了“购买—洗涤—浸泡—熟煮—保存”等流程，做到餐餐留样，谨防食物中毒，食堂工作人员持证上岗，并按规定进行定期健康检查。</w:t>
      </w:r>
    </w:p>
    <w:p w14:paraId="74AECB0D">
      <w:pPr>
        <w:spacing w:line="590" w:lineRule="exact"/>
        <w:ind w:firstLine="624" w:firstLineChars="200"/>
        <w:outlineLvl w:val="1"/>
        <w:rPr>
          <w:rFonts w:ascii="楷体_GB2312" w:hAnsi="Times New Roman" w:eastAsia="楷体_GB2312" w:cs="Times New Roman"/>
          <w:spacing w:val="6"/>
          <w:kern w:val="0"/>
          <w:sz w:val="30"/>
          <w:szCs w:val="30"/>
        </w:rPr>
      </w:pPr>
      <w:bookmarkStart w:id="111" w:name="_Toc173402211"/>
      <w:bookmarkStart w:id="112" w:name="_Toc180163182"/>
      <w:bookmarkStart w:id="113" w:name="_Toc173402319"/>
      <w:bookmarkStart w:id="114" w:name="_Toc18877"/>
      <w:r>
        <w:rPr>
          <w:rFonts w:ascii="楷体_GB2312" w:hAnsi="Times New Roman" w:eastAsia="楷体_GB2312" w:cs="Times New Roman"/>
          <w:spacing w:val="6"/>
          <w:kern w:val="0"/>
          <w:sz w:val="30"/>
          <w:szCs w:val="30"/>
        </w:rPr>
        <w:t>（四）效果情况分析</w:t>
      </w:r>
      <w:bookmarkEnd w:id="111"/>
      <w:bookmarkEnd w:id="112"/>
      <w:bookmarkEnd w:id="113"/>
      <w:bookmarkEnd w:id="114"/>
    </w:p>
    <w:p w14:paraId="0D93DE4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w:t>
      </w:r>
      <w:r>
        <w:rPr>
          <w:rFonts w:ascii="仿宋_GB2312" w:hAnsi="仿宋" w:eastAsia="仿宋_GB2312" w:cs="Times New Roman"/>
          <w:kern w:val="30"/>
          <w:sz w:val="30"/>
          <w:szCs w:val="30"/>
        </w:rPr>
        <w:t>.社会效益</w:t>
      </w:r>
    </w:p>
    <w:p w14:paraId="7FC28B05">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（1）一级三等高中办学水平评估通过率</w:t>
      </w:r>
    </w:p>
    <w:p w14:paraId="7C0C9B52">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2023年10月26日，昆明市教体局总督学带领评估专家组对富民县第一中学（昆一中富民学校）申报云南省一级三等普通高中进行市级综合评价，评价得分908分，基本达到云南省一级三等普通高中办学水平。</w:t>
      </w:r>
    </w:p>
    <w:p w14:paraId="18272E3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2023年11月14日，昆明市教育体育局发布《关于拟认定云南省一级三等学校（幼儿园）、昆明市现代教育示范学校的公示》，富民一中等3所高中拟认定云南省一级三等普通高中。</w:t>
      </w:r>
    </w:p>
    <w:p w14:paraId="483B697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（2）名师示范活动成绩</w:t>
      </w:r>
    </w:p>
    <w:p w14:paraId="5BE52721">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富民一中邀请了昆一中孙彪名师工作室、孙青名师工作室、张敏名师工作室、昆三中罗捷名师工作室到校开展名师示范课活动4次，组织昆一中九大学科名师教师到富民为师生开展高考复习备考指导工作，惠及了富民一中全校师生。</w:t>
      </w:r>
    </w:p>
    <w:p w14:paraId="685872CC">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（3）平安校园建设，安全事件发生次数</w:t>
      </w:r>
    </w:p>
    <w:p w14:paraId="46032D11">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学校定期举行安全知识讲座，安全应急演练，充分利用校会、国旗下讲话、宣传橱窗、LED电子屏、主题班会、1530安全教育等各种形式和宣传阵地开展安全宣传教育，强化安全检查。强化校舍、教育教学设施、食品卫生、管制刀具、危险物品等的安全检查和周边环境的综合治理，2023年富民一中校园安全事件发生次数为0次。</w:t>
      </w:r>
    </w:p>
    <w:p w14:paraId="3B623FD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（4）文体项目取得的成绩</w:t>
      </w:r>
    </w:p>
    <w:p w14:paraId="4A0D820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2023年，富民一中全面引入昆一中艺术部艺术培训管理体系，由昆一中艺术部派出优秀教师到富民任教，联合培养高一美术生26人，委托经开校区培养高二音乐舞蹈播音美术9人，同时艺术部捐赠的艺术中心也投入使用。</w:t>
      </w:r>
    </w:p>
    <w:p w14:paraId="6552859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在2023年3月组织的富民县中小学生田径运动会荣获初中组和高中组一等奖；2023年首次组队参加云南省第四届中小学生田径竞标赛，荣获一金二银二铜的成绩；2023年10月昆明市十二届民族运动会中，荣获2金（富民县2枚）7银2铜和体育道德风尚奖。</w:t>
      </w:r>
    </w:p>
    <w:p w14:paraId="538DBA19">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2.</w:t>
      </w:r>
      <w:r>
        <w:rPr>
          <w:rFonts w:hint="eastAsia" w:ascii="仿宋_GB2312" w:hAnsi="仿宋" w:eastAsia="仿宋_GB2312" w:cs="Times New Roman"/>
          <w:kern w:val="30"/>
          <w:sz w:val="30"/>
          <w:szCs w:val="30"/>
        </w:rPr>
        <w:t>可持续效益</w:t>
      </w:r>
    </w:p>
    <w:p w14:paraId="131C8499">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（1）培养名师及学科带头人</w:t>
      </w:r>
    </w:p>
    <w:p w14:paraId="610B6119">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为进一步提高学校教师队伍素质，2023年富民一中实施“名师工程”，为优秀教师成长搭建平台，培养昆明教学名师1人、昆明市教坛新秀3人、昆明市骨干教师2人、富民县学科带头人7人、富民县骨干教师9人。二是实施“青蓝工程”，为青年教师成长搭建平台，15名新教师和15名骨干教师组成师徒结对，11月2日完成了2023年青蓝工程新教师期中考核工作，选派两名青年教师到昆一中本部进行一学期跟岗学习。</w:t>
      </w:r>
    </w:p>
    <w:p w14:paraId="338FA3ED">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（2）建设学校特色品牌</w:t>
      </w:r>
    </w:p>
    <w:p w14:paraId="778E011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一是学校文化围绕校园内的“文庙”为中心，布局“四个”长廊建设，包括以党建引领的党建文化长廊、伟大精神浸润师生的中国精神文化长廊、以大学文化和精神为核心的励志文化长廊、以“师生优秀摄影绘画作品”为特色的风采文化长廊。</w:t>
      </w:r>
    </w:p>
    <w:p w14:paraId="546A2E2D">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二是为传承富民一中历史文化，设立“九峰书院”学部，实行小班制办学，树立用优秀的人培养优秀的人的理念，优化学校资源配置、优配硬件、优配师资、优选学生、优化课程、优化管理，培养优秀学生。</w:t>
      </w:r>
    </w:p>
    <w:p w14:paraId="05DFEF32">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（3）充分用好现有经费，优先保障学生生活和改善教育教学</w:t>
      </w:r>
    </w:p>
    <w:p w14:paraId="10226A6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按“优先保障学生生活，优先保障教育教学”的原则，2023年学校完成了宿舍24小时热水系统改造，保障了学生24小时热水使用。其次，采购8套智慧黑板、新建一个录播教室、改造提升校园广播系统。</w:t>
      </w:r>
    </w:p>
    <w:p w14:paraId="777507C3">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3.满意度</w:t>
      </w:r>
    </w:p>
    <w:p w14:paraId="312C5993">
      <w:pPr>
        <w:spacing w:line="579" w:lineRule="exact"/>
        <w:ind w:firstLine="600" w:firstLineChars="200"/>
        <w:rPr>
          <w:rFonts w:ascii="仿宋_GB2312" w:hAnsi="仿宋" w:eastAsia="仿宋_GB2312" w:cs="Times New Roman"/>
          <w:kern w:val="30"/>
          <w:sz w:val="30"/>
          <w:szCs w:val="30"/>
        </w:rPr>
      </w:pPr>
      <w:r>
        <w:rPr>
          <w:rFonts w:ascii="仿宋_GB2312" w:hAnsi="仿宋" w:eastAsia="仿宋_GB2312" w:cs="Times New Roman"/>
          <w:kern w:val="30"/>
          <w:sz w:val="30"/>
          <w:szCs w:val="30"/>
        </w:rPr>
        <w:t>根据问卷调查统计，</w:t>
      </w:r>
      <w:r>
        <w:rPr>
          <w:rFonts w:hint="eastAsia" w:ascii="仿宋_GB2312" w:hAnsi="仿宋" w:eastAsia="仿宋_GB2312" w:cs="Times New Roman"/>
          <w:kern w:val="30"/>
          <w:sz w:val="30"/>
          <w:szCs w:val="30"/>
        </w:rPr>
        <w:t>共回收满意度问卷97份，满意度综合得分97.79%。满意度问卷中对改善教学设施、关爱教师成长、加强教研活动等提出了建议。</w:t>
      </w:r>
    </w:p>
    <w:bookmarkEnd w:id="98"/>
    <w:p w14:paraId="16684895">
      <w:pPr>
        <w:spacing w:line="590" w:lineRule="exact"/>
        <w:ind w:firstLine="624" w:firstLineChars="200"/>
        <w:outlineLvl w:val="0"/>
        <w:rPr>
          <w:rFonts w:ascii="黑体" w:hAnsi="黑体" w:eastAsia="黑体" w:cs="宋体"/>
          <w:spacing w:val="6"/>
          <w:kern w:val="0"/>
          <w:sz w:val="30"/>
          <w:szCs w:val="30"/>
        </w:rPr>
      </w:pPr>
      <w:bookmarkStart w:id="115" w:name="_Toc180163183"/>
      <w:bookmarkStart w:id="116" w:name="_Toc12508"/>
      <w:bookmarkStart w:id="117" w:name="_Toc16934"/>
      <w:bookmarkStart w:id="118" w:name="_Toc173402212"/>
      <w:bookmarkStart w:id="119" w:name="_Toc173402320"/>
      <w:r>
        <w:rPr>
          <w:rFonts w:hint="eastAsia" w:ascii="黑体" w:hAnsi="黑体" w:eastAsia="黑体" w:cs="宋体"/>
          <w:spacing w:val="6"/>
          <w:kern w:val="0"/>
          <w:sz w:val="30"/>
          <w:szCs w:val="30"/>
        </w:rPr>
        <w:t>五</w:t>
      </w:r>
      <w:r>
        <w:rPr>
          <w:rFonts w:ascii="黑体" w:hAnsi="黑体" w:eastAsia="黑体" w:cs="宋体"/>
          <w:spacing w:val="6"/>
          <w:kern w:val="0"/>
          <w:sz w:val="30"/>
          <w:szCs w:val="30"/>
        </w:rPr>
        <w:t>、存在的</w:t>
      </w:r>
      <w:r>
        <w:rPr>
          <w:rFonts w:hint="eastAsia" w:ascii="黑体" w:hAnsi="黑体" w:eastAsia="黑体" w:cs="宋体"/>
          <w:spacing w:val="6"/>
          <w:kern w:val="0"/>
          <w:sz w:val="30"/>
          <w:szCs w:val="30"/>
        </w:rPr>
        <w:t>主要</w:t>
      </w:r>
      <w:r>
        <w:rPr>
          <w:rFonts w:ascii="黑体" w:hAnsi="黑体" w:eastAsia="黑体" w:cs="宋体"/>
          <w:spacing w:val="6"/>
          <w:kern w:val="0"/>
          <w:sz w:val="30"/>
          <w:szCs w:val="30"/>
        </w:rPr>
        <w:t>问题</w:t>
      </w:r>
      <w:bookmarkEnd w:id="115"/>
      <w:bookmarkEnd w:id="116"/>
      <w:bookmarkEnd w:id="117"/>
      <w:bookmarkEnd w:id="118"/>
      <w:bookmarkEnd w:id="119"/>
    </w:p>
    <w:p w14:paraId="3876242A">
      <w:pPr>
        <w:spacing w:line="590" w:lineRule="exact"/>
        <w:ind w:firstLine="624" w:firstLineChars="200"/>
        <w:outlineLvl w:val="1"/>
        <w:rPr>
          <w:rFonts w:ascii="楷体_GB2312" w:hAnsi="Times New Roman" w:eastAsia="楷体_GB2312" w:cs="Times New Roman"/>
          <w:spacing w:val="6"/>
          <w:kern w:val="0"/>
          <w:sz w:val="30"/>
          <w:szCs w:val="30"/>
        </w:rPr>
      </w:pPr>
      <w:bookmarkStart w:id="120" w:name="_Toc173402213"/>
      <w:bookmarkStart w:id="121" w:name="_Toc180163184"/>
      <w:bookmarkStart w:id="122" w:name="_Toc173402321"/>
      <w:bookmarkStart w:id="123" w:name="_Toc14088"/>
      <w:bookmarkStart w:id="124" w:name="_Toc1220"/>
      <w:bookmarkStart w:id="125" w:name="_Toc25395"/>
      <w:bookmarkStart w:id="126" w:name="_Toc31656"/>
      <w:bookmarkStart w:id="127" w:name="_Toc16742"/>
      <w:bookmarkStart w:id="128" w:name="_Toc24311"/>
      <w:bookmarkStart w:id="129" w:name="_Toc26499"/>
      <w:bookmarkStart w:id="130" w:name="_Toc14793"/>
      <w:bookmarkStart w:id="131" w:name="_Toc22564"/>
      <w:r>
        <w:rPr>
          <w:rFonts w:hint="eastAsia" w:ascii="楷体_GB2312" w:hAnsi="Times New Roman" w:eastAsia="楷体_GB2312" w:cs="Times New Roman"/>
          <w:spacing w:val="6"/>
          <w:kern w:val="0"/>
          <w:sz w:val="30"/>
          <w:szCs w:val="30"/>
        </w:rPr>
        <w:t>（一）预算管理存在的问题</w:t>
      </w:r>
      <w:bookmarkEnd w:id="120"/>
      <w:bookmarkEnd w:id="121"/>
      <w:bookmarkEnd w:id="122"/>
    </w:p>
    <w:p w14:paraId="38FCD12F">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整体绩效目标仅设立了校园数量指标，指标单一，缺少办学、教改、德育、教学实施、校园文化、教师队伍、平安校园建设等核心履职指标。指标设定不完整、细化程度不够，缺少质量指标、效益指标、可持续影响等指标。</w:t>
      </w:r>
    </w:p>
    <w:p w14:paraId="324D33E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部分年初结转结余项目存在资金冗余情况，如：富教通〔2020〕151号2020年第二批农村义务教育学生营养改善计划市级补助资金4.01万元、富教通〔2020〕138号2020年秋季学期义务教育家庭经济困难学生生活补助市级专项资金8.55万元、富教通〔2020〕159号2020年农村义务教育营养改善计划市级补助资金7.32万元，形成的结转资金到2023</w:t>
      </w:r>
      <w:r>
        <w:rPr>
          <w:rFonts w:ascii="仿宋_GB2312" w:hAnsi="仿宋" w:eastAsia="仿宋_GB2312" w:cs="Times New Roman"/>
          <w:kern w:val="30"/>
          <w:sz w:val="30"/>
          <w:szCs w:val="30"/>
        </w:rPr>
        <w:t>年仍未执行完毕，应对各类结转资金进行分类统计，对确数冗余资金、无法完成支付的，按要求退回财政。</w:t>
      </w:r>
    </w:p>
    <w:bookmarkEnd w:id="123"/>
    <w:bookmarkEnd w:id="124"/>
    <w:bookmarkEnd w:id="125"/>
    <w:bookmarkEnd w:id="126"/>
    <w:bookmarkEnd w:id="127"/>
    <w:bookmarkEnd w:id="128"/>
    <w:bookmarkEnd w:id="129"/>
    <w:p w14:paraId="44D1A872">
      <w:pPr>
        <w:spacing w:line="590" w:lineRule="exact"/>
        <w:ind w:firstLine="624" w:firstLineChars="200"/>
        <w:outlineLvl w:val="1"/>
        <w:rPr>
          <w:rFonts w:ascii="楷体_GB2312" w:hAnsi="Times New Roman" w:eastAsia="楷体_GB2312" w:cs="Times New Roman"/>
          <w:spacing w:val="6"/>
          <w:kern w:val="0"/>
          <w:sz w:val="30"/>
          <w:szCs w:val="30"/>
        </w:rPr>
      </w:pPr>
      <w:bookmarkStart w:id="132" w:name="_Toc10137"/>
      <w:bookmarkStart w:id="133" w:name="_Toc11447"/>
      <w:bookmarkStart w:id="134" w:name="_Toc23803"/>
      <w:bookmarkStart w:id="135" w:name="_Toc13006"/>
      <w:bookmarkStart w:id="136" w:name="_Toc173402214"/>
      <w:bookmarkStart w:id="137" w:name="_Toc173402322"/>
      <w:bookmarkStart w:id="138" w:name="_Toc20208"/>
      <w:bookmarkStart w:id="139" w:name="_Toc6556"/>
      <w:bookmarkStart w:id="140" w:name="_Toc180163185"/>
      <w:r>
        <w:rPr>
          <w:rFonts w:ascii="楷体_GB2312" w:hAnsi="Times New Roman" w:eastAsia="楷体_GB2312" w:cs="Times New Roman"/>
          <w:spacing w:val="6"/>
          <w:kern w:val="0"/>
          <w:sz w:val="30"/>
          <w:szCs w:val="30"/>
        </w:rPr>
        <w:t>（</w:t>
      </w:r>
      <w:r>
        <w:rPr>
          <w:rFonts w:hint="eastAsia" w:ascii="楷体_GB2312" w:hAnsi="Times New Roman" w:eastAsia="楷体_GB2312" w:cs="Times New Roman"/>
          <w:spacing w:val="6"/>
          <w:kern w:val="0"/>
          <w:sz w:val="30"/>
          <w:szCs w:val="30"/>
        </w:rPr>
        <w:t>二</w:t>
      </w:r>
      <w:r>
        <w:rPr>
          <w:rFonts w:ascii="楷体_GB2312" w:hAnsi="Times New Roman" w:eastAsia="楷体_GB2312" w:cs="Times New Roman"/>
          <w:spacing w:val="6"/>
          <w:kern w:val="0"/>
          <w:sz w:val="30"/>
          <w:szCs w:val="30"/>
        </w:rPr>
        <w:t>）</w:t>
      </w:r>
      <w:r>
        <w:rPr>
          <w:rFonts w:hint="eastAsia" w:ascii="楷体_GB2312" w:hAnsi="Times New Roman" w:eastAsia="楷体_GB2312" w:cs="Times New Roman"/>
          <w:spacing w:val="6"/>
          <w:kern w:val="0"/>
          <w:sz w:val="30"/>
          <w:szCs w:val="30"/>
        </w:rPr>
        <w:t>资金及资产管理方面存在</w:t>
      </w:r>
      <w:r>
        <w:rPr>
          <w:rFonts w:ascii="楷体_GB2312" w:hAnsi="Times New Roman" w:eastAsia="楷体_GB2312" w:cs="Times New Roman"/>
          <w:spacing w:val="6"/>
          <w:kern w:val="0"/>
          <w:sz w:val="30"/>
          <w:szCs w:val="30"/>
        </w:rPr>
        <w:t>的问题</w:t>
      </w:r>
      <w:bookmarkEnd w:id="132"/>
      <w:bookmarkEnd w:id="133"/>
      <w:bookmarkEnd w:id="134"/>
      <w:bookmarkEnd w:id="135"/>
      <w:bookmarkEnd w:id="136"/>
      <w:bookmarkEnd w:id="137"/>
      <w:bookmarkEnd w:id="138"/>
      <w:bookmarkEnd w:id="139"/>
      <w:bookmarkEnd w:id="140"/>
    </w:p>
    <w:p w14:paraId="5516F1AE">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1.采购管理不规范</w:t>
      </w:r>
    </w:p>
    <w:p w14:paraId="77D87D1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2023年采购太阳能热水器，采购金额（合同金额36.58万元）超预算申报金额（35.00万元），并且采购资金直接计入当期费用，未登记资产账，不符合预算管理“严禁超预算安排支出”及资产管理“属于新增固定资产的应登记固定资产账”的规定。</w:t>
      </w:r>
    </w:p>
    <w:p w14:paraId="0231EDB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2.资金支付原始凭证不完整</w:t>
      </w:r>
    </w:p>
    <w:p w14:paraId="0CA860B7">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部分费用支出所附原始凭证不完整，如：2023年8月36#记账凭证，付学校参加云南省新高考新教材背景下教师专业化发展培训费84,320.00元，报销原始凭证中未附培训通知、参训人员签到表等资料。不符合《云南省省级机关培训费管理办法》（云财行〔2017〕208 号）第十九条“报销培训费，综合定额范围内的，应当提供培训计划审批文件、培训通知、实际参训人员签到表以及培训机构出具的收款票据、费用明细等凭证”的规定。</w:t>
      </w:r>
    </w:p>
    <w:p w14:paraId="50CF198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3.固定资产管理不规范</w:t>
      </w:r>
    </w:p>
    <w:p w14:paraId="2EAF74C6">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富民一中按照行政事业单位固定资产管理办法的规定执行资产管理，经现场经抽盘部分固定资产，发现存在部分资产闲置（66项）、盘亏（203项，主要为1974-1999年取得的打字机、田赛径赛设备等）、车辆已达报废年限未处置等情况，且实物资产未张贴标签，不利于后续的资产盘点与保管责任的落实。应开展资产清查，对已报废的固定资产按流程及时进行处置。</w:t>
      </w:r>
    </w:p>
    <w:p w14:paraId="24CB4EBC">
      <w:pPr>
        <w:spacing w:line="590" w:lineRule="exact"/>
        <w:ind w:firstLine="624" w:firstLineChars="200"/>
        <w:outlineLvl w:val="1"/>
        <w:rPr>
          <w:rFonts w:ascii="楷体_GB2312" w:hAnsi="Times New Roman" w:eastAsia="楷体_GB2312" w:cs="Times New Roman"/>
          <w:spacing w:val="6"/>
          <w:kern w:val="0"/>
          <w:sz w:val="30"/>
          <w:szCs w:val="30"/>
        </w:rPr>
      </w:pPr>
      <w:bookmarkStart w:id="141" w:name="_Toc15037"/>
      <w:bookmarkStart w:id="142" w:name="_Toc173402215"/>
      <w:bookmarkStart w:id="143" w:name="_Toc13765"/>
      <w:bookmarkStart w:id="144" w:name="_Toc173402323"/>
      <w:bookmarkStart w:id="145" w:name="_Toc3183"/>
      <w:bookmarkStart w:id="146" w:name="_Toc28994"/>
      <w:bookmarkStart w:id="147" w:name="_Toc884"/>
      <w:bookmarkStart w:id="148" w:name="_Toc180163186"/>
      <w:r>
        <w:rPr>
          <w:rFonts w:ascii="楷体_GB2312" w:hAnsi="Times New Roman" w:eastAsia="楷体_GB2312" w:cs="Times New Roman"/>
          <w:spacing w:val="6"/>
          <w:kern w:val="0"/>
          <w:sz w:val="30"/>
          <w:szCs w:val="30"/>
        </w:rPr>
        <w:t>（</w:t>
      </w:r>
      <w:r>
        <w:rPr>
          <w:rFonts w:hint="eastAsia" w:ascii="楷体_GB2312" w:hAnsi="Times New Roman" w:eastAsia="楷体_GB2312" w:cs="Times New Roman"/>
          <w:spacing w:val="6"/>
          <w:kern w:val="0"/>
          <w:sz w:val="30"/>
          <w:szCs w:val="30"/>
        </w:rPr>
        <w:t>三</w:t>
      </w:r>
      <w:r>
        <w:rPr>
          <w:rFonts w:ascii="楷体_GB2312" w:hAnsi="Times New Roman" w:eastAsia="楷体_GB2312" w:cs="Times New Roman"/>
          <w:spacing w:val="6"/>
          <w:kern w:val="0"/>
          <w:sz w:val="30"/>
          <w:szCs w:val="30"/>
        </w:rPr>
        <w:t>）</w:t>
      </w:r>
      <w:bookmarkEnd w:id="141"/>
      <w:bookmarkEnd w:id="142"/>
      <w:bookmarkEnd w:id="143"/>
      <w:bookmarkEnd w:id="144"/>
      <w:bookmarkEnd w:id="145"/>
      <w:bookmarkEnd w:id="146"/>
      <w:bookmarkEnd w:id="147"/>
      <w:r>
        <w:rPr>
          <w:rFonts w:hint="eastAsia" w:ascii="楷体_GB2312" w:hAnsi="Times New Roman" w:eastAsia="楷体_GB2312" w:cs="Times New Roman"/>
          <w:spacing w:val="6"/>
          <w:kern w:val="0"/>
          <w:sz w:val="30"/>
          <w:szCs w:val="30"/>
        </w:rPr>
        <w:t>教学管理存在的问题</w:t>
      </w:r>
      <w:bookmarkEnd w:id="148"/>
    </w:p>
    <w:p w14:paraId="572DA5A5">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通过现场评价及满意度问卷，目前富民一中教学管理、特色品牌建设存在的问题如下：</w:t>
      </w:r>
    </w:p>
    <w:p w14:paraId="14794A41">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一是名师数量还较少，名师效应彰显不足。从名师的总量及梯次配置看，富民一中拥有昆明教学名师1人、昆明市教坛新秀3人、昆明市骨干教师2人、富民县学科带头人7人、富民县骨干教师9人，与200人的教职工队伍相比，数量较少，应加大名师培养及引进力度。</w:t>
      </w:r>
    </w:p>
    <w:p w14:paraId="452E3C6B">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二是学校品牌打造还处于初级阶段，需不断培育。富民一中经昆一中管理后，引进先进的办学管理理念，提升了教学成绩、中高考成绩，但与其他重点高中相比，品牌打造还处于初级阶段，需要不断提升教学管理水平。</w:t>
      </w:r>
    </w:p>
    <w:p w14:paraId="369BEF45">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三是一本上线率不高，教学成绩还有较大的提升空间。富民一中在2023年中高考中，比上年有了长足提升，但与名校相比，一本率、本科率还有较大差距，教学成绩还有一定的提升空间。</w:t>
      </w:r>
    </w:p>
    <w:p w14:paraId="3D741C2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四是教学设备设施需要进一步优化、完善。从满意度问卷来看，部分答卷人反映教学设备（如黑板）陈旧、损坏，需要更换，因此学校应加强教学设备管理、优化教学设备设施。</w:t>
      </w:r>
    </w:p>
    <w:p w14:paraId="79244F7B">
      <w:pPr>
        <w:spacing w:line="590" w:lineRule="exact"/>
        <w:ind w:firstLine="624" w:firstLineChars="200"/>
        <w:outlineLvl w:val="0"/>
        <w:rPr>
          <w:rFonts w:ascii="黑体" w:hAnsi="黑体" w:eastAsia="黑体" w:cs="宋体"/>
          <w:spacing w:val="6"/>
          <w:kern w:val="0"/>
          <w:sz w:val="30"/>
          <w:szCs w:val="30"/>
        </w:rPr>
      </w:pPr>
      <w:bookmarkStart w:id="149" w:name="_Toc173402216"/>
      <w:bookmarkStart w:id="150" w:name="_Toc180163187"/>
      <w:bookmarkStart w:id="151" w:name="_Toc173402324"/>
      <w:r>
        <w:rPr>
          <w:rFonts w:hint="eastAsia" w:ascii="黑体" w:hAnsi="黑体" w:eastAsia="黑体" w:cs="宋体"/>
          <w:spacing w:val="6"/>
          <w:kern w:val="0"/>
          <w:sz w:val="30"/>
          <w:szCs w:val="30"/>
        </w:rPr>
        <w:t>六</w:t>
      </w:r>
      <w:r>
        <w:rPr>
          <w:rFonts w:ascii="黑体" w:hAnsi="黑体" w:eastAsia="黑体" w:cs="宋体"/>
          <w:spacing w:val="6"/>
          <w:kern w:val="0"/>
          <w:sz w:val="30"/>
          <w:szCs w:val="30"/>
        </w:rPr>
        <w:t>、建议</w:t>
      </w:r>
      <w:bookmarkEnd w:id="130"/>
      <w:bookmarkEnd w:id="131"/>
      <w:bookmarkEnd w:id="149"/>
      <w:bookmarkEnd w:id="150"/>
      <w:bookmarkEnd w:id="151"/>
      <w:bookmarkStart w:id="152" w:name="_Toc29916"/>
    </w:p>
    <w:bookmarkEnd w:id="152"/>
    <w:p w14:paraId="5CA5A090">
      <w:pPr>
        <w:spacing w:line="590" w:lineRule="exact"/>
        <w:ind w:firstLine="624" w:firstLineChars="200"/>
        <w:outlineLvl w:val="1"/>
        <w:rPr>
          <w:rFonts w:ascii="楷体_GB2312" w:hAnsi="Times New Roman" w:eastAsia="楷体_GB2312" w:cs="Times New Roman"/>
          <w:spacing w:val="6"/>
          <w:kern w:val="0"/>
          <w:sz w:val="30"/>
          <w:szCs w:val="30"/>
        </w:rPr>
      </w:pPr>
      <w:bookmarkStart w:id="153" w:name="_Toc11166"/>
      <w:bookmarkStart w:id="154" w:name="_Toc22393"/>
      <w:bookmarkStart w:id="155" w:name="_Toc31905"/>
      <w:bookmarkStart w:id="156" w:name="_Toc26678"/>
      <w:bookmarkStart w:id="157" w:name="_Toc27252"/>
      <w:bookmarkStart w:id="158" w:name="_Toc32071"/>
      <w:bookmarkStart w:id="159" w:name="_Toc173402325"/>
      <w:bookmarkStart w:id="160" w:name="_Toc173402217"/>
      <w:bookmarkStart w:id="161" w:name="_Toc180163188"/>
      <w:bookmarkStart w:id="162" w:name="_Toc17100"/>
      <w:r>
        <w:rPr>
          <w:rFonts w:ascii="楷体_GB2312" w:hAnsi="Times New Roman" w:eastAsia="楷体_GB2312" w:cs="Times New Roman"/>
          <w:spacing w:val="6"/>
          <w:kern w:val="0"/>
          <w:sz w:val="30"/>
          <w:szCs w:val="30"/>
        </w:rPr>
        <w:t>（一）</w:t>
      </w:r>
      <w:bookmarkEnd w:id="153"/>
      <w:bookmarkEnd w:id="154"/>
      <w:bookmarkEnd w:id="155"/>
      <w:bookmarkEnd w:id="156"/>
      <w:bookmarkEnd w:id="157"/>
      <w:bookmarkEnd w:id="158"/>
      <w:r>
        <w:rPr>
          <w:rFonts w:hint="eastAsia" w:ascii="楷体_GB2312" w:hAnsi="Times New Roman" w:eastAsia="楷体_GB2312" w:cs="Times New Roman"/>
          <w:spacing w:val="6"/>
          <w:kern w:val="0"/>
          <w:sz w:val="30"/>
          <w:szCs w:val="30"/>
        </w:rPr>
        <w:t>加强预算管理</w:t>
      </w:r>
      <w:bookmarkEnd w:id="159"/>
      <w:bookmarkEnd w:id="160"/>
      <w:r>
        <w:rPr>
          <w:rFonts w:hint="eastAsia" w:ascii="楷体_GB2312" w:hAnsi="Times New Roman" w:eastAsia="楷体_GB2312" w:cs="Times New Roman"/>
          <w:spacing w:val="6"/>
          <w:kern w:val="0"/>
          <w:sz w:val="30"/>
          <w:szCs w:val="30"/>
        </w:rPr>
        <w:t>、提高预算执行率</w:t>
      </w:r>
      <w:bookmarkEnd w:id="161"/>
    </w:p>
    <w:p w14:paraId="2093DBF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按部门职能职责及年度重点工作任务，提炼部门整体绩效指标，并赋予合理的指标值，指标值的设定应具备合理性、前瞻性。</w:t>
      </w:r>
    </w:p>
    <w:p w14:paraId="5500D060">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年度预算编制时执行“全口径”预算编制原则。在申报年度预算时，科学研判资金来源，将一般公共预算、政府性基金预算、财政专户管理资金收入、单位资金收入、其他收入、上年度结转结余资金等全部收入来源纳入部门预算，达到预算编制“项目合法合规、内容全面完整、数字真实准确”的总要求。</w:t>
      </w:r>
    </w:p>
    <w:bookmarkEnd w:id="162"/>
    <w:p w14:paraId="5F389C40">
      <w:pPr>
        <w:spacing w:line="590" w:lineRule="exact"/>
        <w:ind w:firstLine="624" w:firstLineChars="200"/>
        <w:outlineLvl w:val="1"/>
        <w:rPr>
          <w:rFonts w:ascii="楷体_GB2312" w:hAnsi="Times New Roman" w:eastAsia="楷体_GB2312" w:cs="Times New Roman"/>
          <w:spacing w:val="6"/>
          <w:kern w:val="0"/>
          <w:sz w:val="30"/>
          <w:szCs w:val="30"/>
        </w:rPr>
      </w:pPr>
      <w:bookmarkStart w:id="163" w:name="_Toc27242"/>
      <w:bookmarkStart w:id="164" w:name="_Toc11205"/>
      <w:bookmarkStart w:id="165" w:name="_Toc173402218"/>
      <w:bookmarkStart w:id="166" w:name="_Toc10266"/>
      <w:bookmarkStart w:id="167" w:name="_Toc25637"/>
      <w:bookmarkStart w:id="168" w:name="_Toc173402326"/>
      <w:bookmarkStart w:id="169" w:name="_Toc30082"/>
      <w:bookmarkStart w:id="170" w:name="_Toc9463"/>
      <w:bookmarkStart w:id="171" w:name="_Toc180163189"/>
      <w:r>
        <w:rPr>
          <w:rFonts w:ascii="楷体_GB2312" w:hAnsi="Times New Roman" w:eastAsia="楷体_GB2312" w:cs="Times New Roman"/>
          <w:spacing w:val="6"/>
          <w:kern w:val="0"/>
          <w:sz w:val="30"/>
          <w:szCs w:val="30"/>
        </w:rPr>
        <w:t>（</w:t>
      </w:r>
      <w:r>
        <w:rPr>
          <w:rFonts w:hint="eastAsia" w:ascii="楷体_GB2312" w:hAnsi="Times New Roman" w:eastAsia="楷体_GB2312" w:cs="Times New Roman"/>
          <w:spacing w:val="6"/>
          <w:kern w:val="0"/>
          <w:sz w:val="30"/>
          <w:szCs w:val="30"/>
        </w:rPr>
        <w:t>二</w:t>
      </w:r>
      <w:r>
        <w:rPr>
          <w:rFonts w:ascii="楷体_GB2312" w:hAnsi="Times New Roman" w:eastAsia="楷体_GB2312" w:cs="Times New Roman"/>
          <w:spacing w:val="6"/>
          <w:kern w:val="0"/>
          <w:sz w:val="30"/>
          <w:szCs w:val="30"/>
        </w:rPr>
        <w:t>）</w:t>
      </w:r>
      <w:bookmarkEnd w:id="163"/>
      <w:r>
        <w:rPr>
          <w:rFonts w:ascii="楷体_GB2312" w:hAnsi="Times New Roman" w:eastAsia="楷体_GB2312" w:cs="Times New Roman"/>
          <w:spacing w:val="6"/>
          <w:kern w:val="0"/>
          <w:sz w:val="30"/>
          <w:szCs w:val="30"/>
        </w:rPr>
        <w:t>建立健全</w:t>
      </w:r>
      <w:r>
        <w:rPr>
          <w:rFonts w:hint="eastAsia" w:ascii="楷体_GB2312" w:hAnsi="Times New Roman" w:eastAsia="楷体_GB2312" w:cs="Times New Roman"/>
          <w:spacing w:val="6"/>
          <w:kern w:val="0"/>
          <w:sz w:val="30"/>
          <w:szCs w:val="30"/>
        </w:rPr>
        <w:t>财务</w:t>
      </w:r>
      <w:r>
        <w:rPr>
          <w:rFonts w:ascii="楷体_GB2312" w:hAnsi="Times New Roman" w:eastAsia="楷体_GB2312" w:cs="Times New Roman"/>
          <w:spacing w:val="6"/>
          <w:kern w:val="0"/>
          <w:sz w:val="30"/>
          <w:szCs w:val="30"/>
        </w:rPr>
        <w:t>内控制度，提高</w:t>
      </w:r>
      <w:r>
        <w:rPr>
          <w:rFonts w:hint="eastAsia" w:ascii="楷体_GB2312" w:hAnsi="Times New Roman" w:eastAsia="楷体_GB2312" w:cs="Times New Roman"/>
          <w:spacing w:val="6"/>
          <w:kern w:val="0"/>
          <w:sz w:val="30"/>
          <w:szCs w:val="30"/>
        </w:rPr>
        <w:t>资金及资产</w:t>
      </w:r>
      <w:r>
        <w:rPr>
          <w:rFonts w:ascii="楷体_GB2312" w:hAnsi="Times New Roman" w:eastAsia="楷体_GB2312" w:cs="Times New Roman"/>
          <w:spacing w:val="6"/>
          <w:kern w:val="0"/>
          <w:sz w:val="30"/>
          <w:szCs w:val="30"/>
        </w:rPr>
        <w:t>管理水平</w:t>
      </w:r>
      <w:bookmarkEnd w:id="164"/>
      <w:bookmarkEnd w:id="165"/>
      <w:bookmarkEnd w:id="166"/>
      <w:bookmarkEnd w:id="167"/>
      <w:bookmarkEnd w:id="168"/>
      <w:bookmarkEnd w:id="169"/>
      <w:bookmarkEnd w:id="170"/>
      <w:bookmarkEnd w:id="171"/>
    </w:p>
    <w:p w14:paraId="2F6E533A">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1</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建立健全内部控制制度。严格按照《行政事业单位内部控制规范（试行）》（财会〔</w:t>
      </w:r>
      <w:r>
        <w:rPr>
          <w:rFonts w:ascii="仿宋_GB2312" w:hAnsi="仿宋" w:eastAsia="仿宋_GB2312" w:cs="Times New Roman"/>
          <w:kern w:val="30"/>
          <w:sz w:val="30"/>
          <w:szCs w:val="30"/>
        </w:rPr>
        <w:t>2012〕21号）、《财政部关于全面推进行政事业单位内部控制建设的指导意见》（财会〔2015〕24号）、《云南省行政事业单位内部控制建设基本指引》（云财会〔2020〕43号）等法规文件的要求，健全内控体系建设，补充完善、修订与实际不相符的内控管理制度，提升内控管理的规范性，降低各类经济风险。</w:t>
      </w:r>
    </w:p>
    <w:p w14:paraId="0A61CC43">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2</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针对会计核算不规范的问题，建议严格按照《政府会计制度》的有关规定，加强会计核算，全面、清晰的反映单位财务信息，保证会计信息质量。针对采购太阳能未计入固定资产的情况，举一反三，查找类似事项，将形成资产但费用化的经济事项，补登固定资产账，新增资产卡片，将资产纳入固定资产管理范围，保证学校资产的完整及有效使用。</w:t>
      </w:r>
    </w:p>
    <w:p w14:paraId="29F8041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3</w:t>
      </w:r>
      <w:r>
        <w:rPr>
          <w:rFonts w:ascii="仿宋_GB2312" w:hAnsi="仿宋" w:eastAsia="仿宋_GB2312" w:cs="Times New Roman"/>
          <w:kern w:val="30"/>
          <w:sz w:val="30"/>
          <w:szCs w:val="30"/>
        </w:rPr>
        <w:t>.</w:t>
      </w:r>
      <w:r>
        <w:rPr>
          <w:rFonts w:hint="eastAsia" w:ascii="仿宋_GB2312" w:hAnsi="仿宋" w:eastAsia="仿宋_GB2312" w:cs="Times New Roman"/>
          <w:kern w:val="30"/>
          <w:sz w:val="30"/>
          <w:szCs w:val="30"/>
        </w:rPr>
        <w:t>规范和加强固定资产管理。根据《云南省行政事业单位国有资产管理办法》（云政办规〔2020〕3号）对固定资产管理的要求，加强固定资产日常管理工作，张贴资产标签，定期进行资产盘点，做好资产使用调剂，落实实物资产保管责任，对报废资产及时处置，保证固定资产的安全完整和有效使用。</w:t>
      </w:r>
    </w:p>
    <w:p w14:paraId="074FCE1F">
      <w:pPr>
        <w:spacing w:line="590" w:lineRule="exact"/>
        <w:ind w:firstLine="624" w:firstLineChars="200"/>
        <w:outlineLvl w:val="1"/>
        <w:rPr>
          <w:rFonts w:ascii="楷体_GB2312" w:hAnsi="Times New Roman" w:eastAsia="楷体_GB2312" w:cs="Times New Roman"/>
          <w:spacing w:val="6"/>
          <w:kern w:val="0"/>
          <w:sz w:val="30"/>
          <w:szCs w:val="30"/>
        </w:rPr>
      </w:pPr>
      <w:bookmarkStart w:id="172" w:name="_Toc173402219"/>
      <w:bookmarkStart w:id="173" w:name="_Toc658"/>
      <w:bookmarkStart w:id="174" w:name="_Toc26828"/>
      <w:bookmarkStart w:id="175" w:name="_Toc173402327"/>
      <w:bookmarkStart w:id="176" w:name="_Toc16861"/>
      <w:bookmarkStart w:id="177" w:name="_Toc1569"/>
      <w:bookmarkStart w:id="178" w:name="_Toc28153"/>
      <w:bookmarkStart w:id="179" w:name="_Toc180163190"/>
      <w:bookmarkStart w:id="180" w:name="_Toc10989"/>
      <w:bookmarkStart w:id="181" w:name="_Toc15332"/>
      <w:bookmarkStart w:id="182" w:name="_Toc32501"/>
      <w:r>
        <w:rPr>
          <w:rFonts w:ascii="楷体_GB2312" w:hAnsi="Times New Roman" w:eastAsia="楷体_GB2312" w:cs="Times New Roman"/>
          <w:spacing w:val="6"/>
          <w:kern w:val="0"/>
          <w:sz w:val="30"/>
          <w:szCs w:val="30"/>
        </w:rPr>
        <w:t>（</w:t>
      </w:r>
      <w:r>
        <w:rPr>
          <w:rFonts w:hint="eastAsia" w:ascii="楷体_GB2312" w:hAnsi="Times New Roman" w:eastAsia="楷体_GB2312" w:cs="Times New Roman"/>
          <w:spacing w:val="6"/>
          <w:kern w:val="0"/>
          <w:sz w:val="30"/>
          <w:szCs w:val="30"/>
        </w:rPr>
        <w:t>三</w:t>
      </w:r>
      <w:r>
        <w:rPr>
          <w:rFonts w:ascii="楷体_GB2312" w:hAnsi="Times New Roman" w:eastAsia="楷体_GB2312" w:cs="Times New Roman"/>
          <w:spacing w:val="6"/>
          <w:kern w:val="0"/>
          <w:sz w:val="30"/>
          <w:szCs w:val="30"/>
        </w:rPr>
        <w:t>）</w:t>
      </w:r>
      <w:bookmarkEnd w:id="172"/>
      <w:bookmarkEnd w:id="173"/>
      <w:bookmarkEnd w:id="174"/>
      <w:bookmarkEnd w:id="175"/>
      <w:bookmarkEnd w:id="176"/>
      <w:bookmarkEnd w:id="177"/>
      <w:bookmarkEnd w:id="178"/>
      <w:r>
        <w:rPr>
          <w:rFonts w:hint="eastAsia" w:ascii="楷体_GB2312" w:hAnsi="Times New Roman" w:eastAsia="楷体_GB2312" w:cs="Times New Roman"/>
          <w:spacing w:val="6"/>
          <w:kern w:val="0"/>
          <w:sz w:val="30"/>
          <w:szCs w:val="30"/>
        </w:rPr>
        <w:t>以昆一中委托管理为契机，实施名师工程，打造富民一中特色品牌</w:t>
      </w:r>
      <w:bookmarkEnd w:id="179"/>
    </w:p>
    <w:bookmarkEnd w:id="180"/>
    <w:bookmarkEnd w:id="181"/>
    <w:bookmarkEnd w:id="182"/>
    <w:p w14:paraId="4D9C358D">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在昆一中委托管理的基础上，富民一中办学不断取得新突破，2023年通过一级三等高中的验收，为打造富民一中特色品牌，不断提升学校知名度，相关建议如下：</w:t>
      </w:r>
    </w:p>
    <w:p w14:paraId="0C366EF4">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一是继续实施“名师工程”，培养富民一中自己的名师，二是引进名师。</w:t>
      </w:r>
    </w:p>
    <w:p w14:paraId="748FBB3E">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二是突出“九峰书院”办学特色，提高优质学生的综合素质，提升尖子生的高考成绩。</w:t>
      </w:r>
    </w:p>
    <w:p w14:paraId="1F8A7FB9">
      <w:pPr>
        <w:spacing w:line="579" w:lineRule="exact"/>
        <w:ind w:firstLine="600" w:firstLineChars="200"/>
        <w:rPr>
          <w:rFonts w:ascii="仿宋_GB2312" w:hAnsi="仿宋" w:eastAsia="仿宋_GB2312" w:cs="Times New Roman"/>
          <w:kern w:val="30"/>
          <w:sz w:val="30"/>
          <w:szCs w:val="30"/>
        </w:rPr>
      </w:pPr>
      <w:r>
        <w:rPr>
          <w:rFonts w:hint="eastAsia" w:ascii="仿宋_GB2312" w:hAnsi="仿宋" w:eastAsia="仿宋_GB2312" w:cs="Times New Roman"/>
          <w:kern w:val="30"/>
          <w:sz w:val="30"/>
          <w:szCs w:val="30"/>
        </w:rPr>
        <w:t>三是不断提升学校软硬件建设，完善学校教学、生活等实施，提升教学体验感。</w:t>
      </w:r>
    </w:p>
    <w:p w14:paraId="47A89EDA">
      <w:pPr>
        <w:spacing w:line="590" w:lineRule="exact"/>
        <w:ind w:firstLine="624" w:firstLineChars="200"/>
        <w:outlineLvl w:val="0"/>
        <w:rPr>
          <w:rFonts w:ascii="黑体" w:hAnsi="黑体" w:eastAsia="黑体" w:cs="宋体"/>
          <w:spacing w:val="6"/>
          <w:kern w:val="0"/>
          <w:sz w:val="30"/>
          <w:szCs w:val="30"/>
        </w:rPr>
      </w:pPr>
      <w:bookmarkStart w:id="183" w:name="_Toc180163191"/>
      <w:bookmarkStart w:id="184" w:name="_Toc173402220"/>
      <w:bookmarkStart w:id="185" w:name="_Toc173402328"/>
      <w:bookmarkStart w:id="186" w:name="_Toc111207876"/>
      <w:r>
        <w:rPr>
          <w:rFonts w:hint="eastAsia" w:ascii="黑体" w:hAnsi="黑体" w:eastAsia="黑体" w:cs="宋体"/>
          <w:spacing w:val="6"/>
          <w:kern w:val="0"/>
          <w:sz w:val="30"/>
          <w:szCs w:val="30"/>
        </w:rPr>
        <w:t>七</w:t>
      </w:r>
      <w:r>
        <w:rPr>
          <w:rFonts w:ascii="黑体" w:hAnsi="黑体" w:eastAsia="黑体" w:cs="宋体"/>
          <w:spacing w:val="6"/>
          <w:kern w:val="0"/>
          <w:sz w:val="30"/>
          <w:szCs w:val="30"/>
        </w:rPr>
        <w:t>、其他需要说明的情况</w:t>
      </w:r>
      <w:bookmarkEnd w:id="183"/>
      <w:bookmarkEnd w:id="184"/>
      <w:bookmarkEnd w:id="185"/>
      <w:bookmarkEnd w:id="186"/>
    </w:p>
    <w:p w14:paraId="00FA530D">
      <w:pPr>
        <w:spacing w:line="590" w:lineRule="exact"/>
        <w:ind w:firstLine="624" w:firstLineChars="200"/>
        <w:rPr>
          <w:rFonts w:ascii="仿宋_GB2312" w:hAnsi="仿宋" w:eastAsia="仿宋_GB2312" w:cs="Times New Roman"/>
          <w:spacing w:val="6"/>
          <w:kern w:val="0"/>
          <w:sz w:val="30"/>
          <w:szCs w:val="30"/>
        </w:rPr>
      </w:pPr>
      <w:r>
        <w:rPr>
          <w:rFonts w:hint="eastAsia" w:ascii="仿宋_GB2312" w:hAnsi="仿宋" w:eastAsia="仿宋_GB2312" w:cs="Times New Roman"/>
          <w:spacing w:val="6"/>
          <w:kern w:val="0"/>
          <w:sz w:val="30"/>
          <w:szCs w:val="30"/>
        </w:rPr>
        <w:t>无。</w:t>
      </w:r>
    </w:p>
    <w:p w14:paraId="61A0DABC">
      <w:pPr>
        <w:spacing w:line="600" w:lineRule="exact"/>
        <w:ind w:left="420" w:leftChars="200"/>
        <w:rPr>
          <w:rFonts w:ascii="仿宋_GB2312" w:hAnsi="Arial Narrow" w:eastAsia="仿宋_GB2312" w:cs="Arial Narrow"/>
          <w:color w:val="000000" w:themeColor="text1"/>
          <w:kern w:val="30"/>
          <w:sz w:val="30"/>
          <w:szCs w:val="30"/>
        </w:rPr>
      </w:pPr>
    </w:p>
    <w:p w14:paraId="1622E58B">
      <w:pPr>
        <w:spacing w:line="590" w:lineRule="exact"/>
        <w:ind w:firstLine="624" w:firstLineChars="200"/>
        <w:rPr>
          <w:rFonts w:ascii="仿宋_GB2312" w:hAnsi="仿宋" w:eastAsia="仿宋_GB2312" w:cs="Times New Roman"/>
          <w:spacing w:val="6"/>
          <w:kern w:val="0"/>
          <w:sz w:val="30"/>
          <w:szCs w:val="30"/>
        </w:rPr>
      </w:pPr>
      <w:r>
        <w:rPr>
          <w:rFonts w:hint="eastAsia" w:ascii="仿宋_GB2312" w:hAnsi="仿宋" w:eastAsia="仿宋_GB2312" w:cs="Times New Roman"/>
          <w:spacing w:val="6"/>
          <w:kern w:val="0"/>
          <w:sz w:val="30"/>
          <w:szCs w:val="30"/>
        </w:rPr>
        <w:t>附件：</w:t>
      </w:r>
    </w:p>
    <w:p w14:paraId="6FFE9643">
      <w:pPr>
        <w:spacing w:line="590" w:lineRule="exact"/>
        <w:ind w:firstLine="624" w:firstLineChars="200"/>
        <w:rPr>
          <w:rFonts w:ascii="仿宋_GB2312" w:hAnsi="仿宋" w:eastAsia="仿宋_GB2312" w:cs="Times New Roman"/>
          <w:spacing w:val="6"/>
          <w:kern w:val="0"/>
          <w:sz w:val="30"/>
          <w:szCs w:val="30"/>
        </w:rPr>
      </w:pPr>
      <w:r>
        <w:rPr>
          <w:rFonts w:hint="eastAsia" w:ascii="仿宋_GB2312" w:hAnsi="仿宋" w:eastAsia="仿宋_GB2312" w:cs="Times New Roman"/>
          <w:spacing w:val="6"/>
          <w:kern w:val="0"/>
          <w:sz w:val="30"/>
          <w:szCs w:val="30"/>
        </w:rPr>
        <w:t>1.绩效目标表</w:t>
      </w:r>
    </w:p>
    <w:p w14:paraId="7FB8A18F">
      <w:pPr>
        <w:spacing w:line="590" w:lineRule="exact"/>
        <w:ind w:firstLine="624" w:firstLineChars="200"/>
        <w:rPr>
          <w:rFonts w:ascii="仿宋_GB2312" w:hAnsi="仿宋" w:eastAsia="仿宋_GB2312" w:cs="Times New Roman"/>
          <w:spacing w:val="6"/>
          <w:kern w:val="0"/>
          <w:sz w:val="30"/>
          <w:szCs w:val="30"/>
        </w:rPr>
      </w:pPr>
      <w:r>
        <w:rPr>
          <w:rFonts w:hint="eastAsia" w:ascii="仿宋_GB2312" w:hAnsi="仿宋" w:eastAsia="仿宋_GB2312" w:cs="Times New Roman"/>
          <w:spacing w:val="6"/>
          <w:kern w:val="0"/>
          <w:sz w:val="30"/>
          <w:szCs w:val="30"/>
        </w:rPr>
        <w:t>2.绩效评价指标体系及评分表</w:t>
      </w:r>
    </w:p>
    <w:p w14:paraId="6ED556F3">
      <w:pPr>
        <w:spacing w:line="590" w:lineRule="exact"/>
        <w:ind w:firstLine="624" w:firstLineChars="200"/>
        <w:rPr>
          <w:rFonts w:ascii="仿宋_GB2312" w:hAnsi="仿宋" w:eastAsia="仿宋_GB2312" w:cs="Times New Roman"/>
          <w:spacing w:val="6"/>
          <w:kern w:val="0"/>
          <w:sz w:val="30"/>
          <w:szCs w:val="30"/>
        </w:rPr>
      </w:pPr>
      <w:r>
        <w:rPr>
          <w:rFonts w:hint="eastAsia" w:ascii="仿宋_GB2312" w:hAnsi="仿宋" w:eastAsia="仿宋_GB2312" w:cs="Times New Roman"/>
          <w:spacing w:val="6"/>
          <w:kern w:val="0"/>
          <w:sz w:val="30"/>
          <w:szCs w:val="30"/>
        </w:rPr>
        <w:t>3.意见反馈表（部门）</w:t>
      </w:r>
    </w:p>
    <w:sectPr>
      <w:pgSz w:w="11906" w:h="16838"/>
      <w:pgMar w:top="1587" w:right="1474" w:bottom="1587" w:left="1531" w:header="851" w:footer="992" w:gutter="0"/>
      <w:pgNumType w:fmt="numberInDash"/>
      <w:cols w:space="0" w:num="1"/>
      <w:docGrid w:type="linesAndChars" w:linePitch="3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Narrow">
    <w:altName w:val="Arial"/>
    <w:panose1 w:val="020B0606020202030204"/>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宋体+FPEF">
    <w:altName w:val="方正舒体"/>
    <w:panose1 w:val="00000000000000000000"/>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3D47F291">
    <w:panose1 w:val="020B0604020202020204"/>
    <w:charset w:val="00"/>
    <w:family w:val="auto"/>
    <w:pitch w:val="default"/>
    <w:sig w:usb0="00000001"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KSOF722E2DD2">
    <w:panose1 w:val="020B070402020202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A5FB">
    <w:pPr>
      <w:pStyle w:val="55"/>
      <w:jc w:val="right"/>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7E6DE">
    <w:pPr>
      <w:pStyle w:val="55"/>
      <w:jc w:val="right"/>
      <w:rPr>
        <w:rFonts w:ascii="仿宋" w:hAnsi="仿宋" w:eastAsia="仿宋"/>
        <w:sz w:val="28"/>
        <w:szCs w:val="28"/>
      </w:rPr>
    </w:pPr>
    <w:r>
      <w:rPr>
        <w:rStyle w:val="91"/>
        <w:rFonts w:hint="eastAsia" w:ascii="仿宋" w:hAnsi="仿宋" w:eastAsia="仿宋"/>
        <w:sz w:val="28"/>
        <w:szCs w:val="28"/>
      </w:rPr>
      <w:t xml:space="preserve">— </w:t>
    </w:r>
    <w:r>
      <w:rPr>
        <w:rFonts w:ascii="仿宋" w:hAnsi="仿宋" w:eastAsia="仿宋"/>
        <w:sz w:val="28"/>
        <w:szCs w:val="28"/>
      </w:rPr>
      <w:fldChar w:fldCharType="begin"/>
    </w:r>
    <w:r>
      <w:rPr>
        <w:rStyle w:val="91"/>
        <w:rFonts w:ascii="仿宋" w:hAnsi="仿宋" w:eastAsia="仿宋"/>
        <w:sz w:val="28"/>
        <w:szCs w:val="28"/>
      </w:rPr>
      <w:instrText xml:space="preserve">PAGE   \* MERGEFORMAT</w:instrText>
    </w:r>
    <w:r>
      <w:rPr>
        <w:rFonts w:ascii="仿宋" w:hAnsi="仿宋" w:eastAsia="仿宋"/>
        <w:sz w:val="28"/>
        <w:szCs w:val="28"/>
      </w:rPr>
      <w:fldChar w:fldCharType="separate"/>
    </w:r>
    <w:r>
      <w:rPr>
        <w:rStyle w:val="91"/>
        <w:rFonts w:ascii="仿宋" w:hAnsi="仿宋" w:eastAsia="仿宋"/>
        <w:sz w:val="28"/>
        <w:szCs w:val="28"/>
        <w:lang w:val="zh-CN"/>
      </w:rPr>
      <w:t>1</w:t>
    </w:r>
    <w:r>
      <w:rPr>
        <w:rFonts w:ascii="仿宋" w:hAnsi="仿宋" w:eastAsia="仿宋"/>
        <w:sz w:val="28"/>
        <w:szCs w:val="28"/>
      </w:rPr>
      <w:fldChar w:fldCharType="end"/>
    </w:r>
    <w:r>
      <w:rPr>
        <w:rStyle w:val="91"/>
        <w:rFonts w:hint="eastAsia" w:ascii="仿宋" w:hAnsi="仿宋" w:eastAsia="仿宋"/>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0DDE9B">
    <w:pPr>
      <w:pStyle w:val="55"/>
      <w:jc w:val="center"/>
    </w:pPr>
    <w:r>
      <w:pict>
        <v:shape id="文本框 1"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v:path/>
          <v:fill on="f" focussize="0,0"/>
          <v:stroke on="f" weight="0.5pt" joinstyle="miter"/>
          <v:imagedata o:title=""/>
          <o:lock v:ext="edit"/>
          <v:textbox inset="0mm,0mm,0mm,0mm" style="mso-fit-shape-to-text:t;">
            <w:txbxContent>
              <w:p w14:paraId="3CC77192">
                <w:pPr>
                  <w:pStyle w:val="55"/>
                  <w:rPr>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ascii="仿宋" w:hAnsi="仿宋" w:eastAsia="仿宋" w:cs="仿宋"/>
                    <w:sz w:val="28"/>
                    <w:szCs w:val="28"/>
                  </w:rPr>
                  <w:t>- 17 -</w:t>
                </w:r>
                <w:r>
                  <w:rPr>
                    <w:rFonts w:hint="eastAsia" w:ascii="仿宋" w:hAnsi="仿宋" w:eastAsia="仿宋" w:cs="仿宋"/>
                    <w:sz w:val="28"/>
                    <w:szCs w:val="28"/>
                  </w:rPr>
                  <w:fldChar w:fldCharType="end"/>
                </w:r>
              </w:p>
            </w:txbxContent>
          </v:textbox>
        </v:shape>
      </w:pict>
    </w:r>
  </w:p>
  <w:p w14:paraId="52F7E077">
    <w:pPr>
      <w:pStyle w:val="5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BDAB0">
    <w:pPr>
      <w:pStyle w:val="55"/>
    </w:pPr>
    <w:r>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v:path/>
          <v:fill on="f" focussize="0,0"/>
          <v:stroke on="f" weight="0.5pt" joinstyle="miter"/>
          <v:imagedata o:title=""/>
          <o:lock v:ext="edit"/>
          <v:textbox inset="0mm,0mm,0mm,0mm" style="mso-fit-shape-to-text:t;">
            <w:txbxContent>
              <w:p w14:paraId="531A5781">
                <w:pPr>
                  <w:pStyle w:val="55"/>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- 16 -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bullet"/>
      <w:pStyle w:val="46"/>
      <w:lvlText w:val=""/>
      <w:lvlJc w:val="left"/>
      <w:pPr>
        <w:tabs>
          <w:tab w:val="left" w:pos="2040"/>
        </w:tabs>
        <w:ind w:left="2040" w:hanging="360"/>
      </w:pPr>
      <w:rPr>
        <w:rFonts w:hint="default" w:ascii="Wingdings" w:hAnsi="Wingdings"/>
      </w:rPr>
    </w:lvl>
  </w:abstractNum>
  <w:abstractNum w:abstractNumId="1">
    <w:nsid w:val="00000002"/>
    <w:multiLevelType w:val="singleLevel"/>
    <w:tmpl w:val="00000002"/>
    <w:lvl w:ilvl="0" w:tentative="0">
      <w:start w:val="1"/>
      <w:numFmt w:val="bullet"/>
      <w:pStyle w:val="61"/>
      <w:lvlText w:val=""/>
      <w:lvlJc w:val="left"/>
      <w:pPr>
        <w:tabs>
          <w:tab w:val="left" w:pos="1620"/>
        </w:tabs>
        <w:ind w:left="1620" w:hanging="360"/>
      </w:pPr>
      <w:rPr>
        <w:rFonts w:hint="default" w:ascii="Wingdings" w:hAnsi="Wingdings"/>
      </w:rPr>
    </w:lvl>
  </w:abstractNum>
  <w:abstractNum w:abstractNumId="2">
    <w:nsid w:val="00000003"/>
    <w:multiLevelType w:val="singleLevel"/>
    <w:tmpl w:val="00000003"/>
    <w:lvl w:ilvl="0" w:tentative="0">
      <w:start w:val="1"/>
      <w:numFmt w:val="bullet"/>
      <w:pStyle w:val="25"/>
      <w:lvlText w:val=""/>
      <w:lvlJc w:val="left"/>
      <w:pPr>
        <w:tabs>
          <w:tab w:val="left" w:pos="780"/>
        </w:tabs>
        <w:ind w:left="780" w:hanging="360"/>
      </w:pPr>
      <w:rPr>
        <w:rFonts w:hint="default" w:ascii="Wingdings" w:hAnsi="Wingdings"/>
      </w:rPr>
    </w:lvl>
  </w:abstractNum>
  <w:abstractNum w:abstractNumId="3">
    <w:nsid w:val="0000000F"/>
    <w:multiLevelType w:val="singleLevel"/>
    <w:tmpl w:val="0000000F"/>
    <w:lvl w:ilvl="0" w:tentative="0">
      <w:start w:val="1"/>
      <w:numFmt w:val="decimal"/>
      <w:pStyle w:val="20"/>
      <w:lvlText w:val="%1."/>
      <w:lvlJc w:val="left"/>
      <w:pPr>
        <w:tabs>
          <w:tab w:val="left" w:pos="360"/>
        </w:tabs>
        <w:ind w:left="360" w:hanging="360"/>
      </w:pPr>
    </w:lvl>
  </w:abstractNum>
  <w:abstractNum w:abstractNumId="4">
    <w:nsid w:val="00000010"/>
    <w:multiLevelType w:val="singleLevel"/>
    <w:tmpl w:val="00000010"/>
    <w:lvl w:ilvl="0" w:tentative="0">
      <w:start w:val="1"/>
      <w:numFmt w:val="bullet"/>
      <w:pStyle w:val="21"/>
      <w:lvlText w:val=""/>
      <w:lvlJc w:val="left"/>
      <w:pPr>
        <w:tabs>
          <w:tab w:val="left" w:pos="360"/>
        </w:tabs>
        <w:ind w:left="360" w:hanging="360"/>
      </w:pPr>
      <w:rPr>
        <w:rFonts w:hint="default" w:ascii="Wingdings" w:hAnsi="Wingdings"/>
      </w:rPr>
    </w:lvl>
  </w:abstractNum>
  <w:abstractNum w:abstractNumId="5">
    <w:nsid w:val="00000011"/>
    <w:multiLevelType w:val="singleLevel"/>
    <w:tmpl w:val="00000011"/>
    <w:lvl w:ilvl="0" w:tentative="0">
      <w:start w:val="1"/>
      <w:numFmt w:val="decimal"/>
      <w:pStyle w:val="53"/>
      <w:lvlText w:val="%1."/>
      <w:lvlJc w:val="left"/>
      <w:pPr>
        <w:tabs>
          <w:tab w:val="left" w:pos="780"/>
        </w:tabs>
        <w:ind w:left="780" w:hanging="360"/>
      </w:pPr>
    </w:lvl>
  </w:abstractNum>
  <w:abstractNum w:abstractNumId="6">
    <w:nsid w:val="00000012"/>
    <w:multiLevelType w:val="singleLevel"/>
    <w:tmpl w:val="00000012"/>
    <w:lvl w:ilvl="0" w:tentative="0">
      <w:start w:val="1"/>
      <w:numFmt w:val="decimal"/>
      <w:pStyle w:val="35"/>
      <w:lvlText w:val="%1."/>
      <w:lvlJc w:val="left"/>
      <w:pPr>
        <w:tabs>
          <w:tab w:val="left" w:pos="1620"/>
        </w:tabs>
        <w:ind w:left="1620" w:hanging="360"/>
      </w:pPr>
    </w:lvl>
  </w:abstractNum>
  <w:abstractNum w:abstractNumId="7">
    <w:nsid w:val="00000013"/>
    <w:multiLevelType w:val="singleLevel"/>
    <w:tmpl w:val="00000013"/>
    <w:lvl w:ilvl="0" w:tentative="0">
      <w:start w:val="1"/>
      <w:numFmt w:val="decimal"/>
      <w:pStyle w:val="19"/>
      <w:lvlText w:val="%1."/>
      <w:lvlJc w:val="left"/>
      <w:pPr>
        <w:tabs>
          <w:tab w:val="left" w:pos="1200"/>
        </w:tabs>
        <w:ind w:left="1200" w:hanging="360"/>
      </w:pPr>
    </w:lvl>
  </w:abstractNum>
  <w:abstractNum w:abstractNumId="8">
    <w:nsid w:val="00000014"/>
    <w:multiLevelType w:val="singleLevel"/>
    <w:tmpl w:val="00000014"/>
    <w:lvl w:ilvl="0" w:tentative="0">
      <w:start w:val="1"/>
      <w:numFmt w:val="bullet"/>
      <w:pStyle w:val="32"/>
      <w:lvlText w:val=""/>
      <w:lvlJc w:val="left"/>
      <w:pPr>
        <w:tabs>
          <w:tab w:val="left" w:pos="1200"/>
        </w:tabs>
        <w:ind w:left="1200" w:hanging="360"/>
      </w:pPr>
      <w:rPr>
        <w:rFonts w:hint="default" w:ascii="Wingdings" w:hAnsi="Wingdings"/>
      </w:rPr>
    </w:lvl>
  </w:abstractNum>
  <w:abstractNum w:abstractNumId="9">
    <w:nsid w:val="56B5359F"/>
    <w:multiLevelType w:val="singleLevel"/>
    <w:tmpl w:val="56B5359F"/>
    <w:lvl w:ilvl="0" w:tentative="0">
      <w:start w:val="1"/>
      <w:numFmt w:val="decimal"/>
      <w:pStyle w:val="16"/>
      <w:lvlText w:val="%1."/>
      <w:lvlJc w:val="left"/>
      <w:pPr>
        <w:tabs>
          <w:tab w:val="left" w:pos="2040"/>
        </w:tabs>
        <w:ind w:left="2040" w:hanging="360"/>
      </w:pPr>
    </w:lvl>
  </w:abstractNum>
  <w:abstractNum w:abstractNumId="10">
    <w:nsid w:val="64B66EA1"/>
    <w:multiLevelType w:val="singleLevel"/>
    <w:tmpl w:val="64B66EA1"/>
    <w:lvl w:ilvl="0" w:tentative="0">
      <w:start w:val="1"/>
      <w:numFmt w:val="decimal"/>
      <w:pStyle w:val="52"/>
      <w:lvlText w:val="%1."/>
      <w:lvlJc w:val="left"/>
      <w:pPr>
        <w:tabs>
          <w:tab w:val="left" w:pos="2040"/>
        </w:tabs>
        <w:ind w:left="2040" w:hanging="360"/>
      </w:pPr>
    </w:lvl>
  </w:abstractNum>
  <w:num w:numId="1">
    <w:abstractNumId w:val="9"/>
  </w:num>
  <w:num w:numId="2">
    <w:abstractNumId w:val="7"/>
  </w:num>
  <w:num w:numId="3">
    <w:abstractNumId w:val="3"/>
  </w:num>
  <w:num w:numId="4">
    <w:abstractNumId w:val="4"/>
  </w:num>
  <w:num w:numId="5">
    <w:abstractNumId w:val="2"/>
  </w:num>
  <w:num w:numId="6">
    <w:abstractNumId w:val="8"/>
  </w:num>
  <w:num w:numId="7">
    <w:abstractNumId w:val="6"/>
  </w:num>
  <w:num w:numId="8">
    <w:abstractNumId w:val="0"/>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evenAndOddHeaders w:val="1"/>
  <w:drawingGridHorizontalSpacing w:val="105"/>
  <w:drawingGridVerticalSpacing w:val="154"/>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ljYTNiYjU0Y2Y3ODBjMWNkMzdjYjBjNGVmZWJlMDMifQ=="/>
  </w:docVars>
  <w:rsids>
    <w:rsidRoot w:val="001C68B1"/>
    <w:rsid w:val="00003FA4"/>
    <w:rsid w:val="00007EAC"/>
    <w:rsid w:val="00012EC9"/>
    <w:rsid w:val="00023B83"/>
    <w:rsid w:val="00025C5A"/>
    <w:rsid w:val="00026C95"/>
    <w:rsid w:val="00027E1C"/>
    <w:rsid w:val="00030595"/>
    <w:rsid w:val="00031719"/>
    <w:rsid w:val="00033E6B"/>
    <w:rsid w:val="00035036"/>
    <w:rsid w:val="0003666F"/>
    <w:rsid w:val="00037450"/>
    <w:rsid w:val="00045A42"/>
    <w:rsid w:val="000503A0"/>
    <w:rsid w:val="000506DE"/>
    <w:rsid w:val="00055341"/>
    <w:rsid w:val="00056946"/>
    <w:rsid w:val="0006096D"/>
    <w:rsid w:val="000619AF"/>
    <w:rsid w:val="0006236B"/>
    <w:rsid w:val="00062EE1"/>
    <w:rsid w:val="000641D8"/>
    <w:rsid w:val="00064AEE"/>
    <w:rsid w:val="000662C5"/>
    <w:rsid w:val="000668EE"/>
    <w:rsid w:val="00070103"/>
    <w:rsid w:val="00072049"/>
    <w:rsid w:val="00072572"/>
    <w:rsid w:val="0007273D"/>
    <w:rsid w:val="000731D0"/>
    <w:rsid w:val="00074B7E"/>
    <w:rsid w:val="00074FBD"/>
    <w:rsid w:val="00076DB6"/>
    <w:rsid w:val="00080FA6"/>
    <w:rsid w:val="00085654"/>
    <w:rsid w:val="00087068"/>
    <w:rsid w:val="0009232E"/>
    <w:rsid w:val="000947BC"/>
    <w:rsid w:val="0009592B"/>
    <w:rsid w:val="00095C97"/>
    <w:rsid w:val="000972E7"/>
    <w:rsid w:val="0009735C"/>
    <w:rsid w:val="00097821"/>
    <w:rsid w:val="00097F09"/>
    <w:rsid w:val="000A18E3"/>
    <w:rsid w:val="000A642C"/>
    <w:rsid w:val="000B0322"/>
    <w:rsid w:val="000B217B"/>
    <w:rsid w:val="000B342E"/>
    <w:rsid w:val="000B6EF5"/>
    <w:rsid w:val="000B70AE"/>
    <w:rsid w:val="000B7DA5"/>
    <w:rsid w:val="000C0F5E"/>
    <w:rsid w:val="000C43B9"/>
    <w:rsid w:val="000C523B"/>
    <w:rsid w:val="000C662C"/>
    <w:rsid w:val="000D03A8"/>
    <w:rsid w:val="000D0C5B"/>
    <w:rsid w:val="000D0EC4"/>
    <w:rsid w:val="000D0F30"/>
    <w:rsid w:val="000D2090"/>
    <w:rsid w:val="000D740B"/>
    <w:rsid w:val="000D7932"/>
    <w:rsid w:val="000D7C45"/>
    <w:rsid w:val="000E11DA"/>
    <w:rsid w:val="000E1BE9"/>
    <w:rsid w:val="000E3C60"/>
    <w:rsid w:val="000F0628"/>
    <w:rsid w:val="000F1248"/>
    <w:rsid w:val="000F2876"/>
    <w:rsid w:val="000F5749"/>
    <w:rsid w:val="000F5899"/>
    <w:rsid w:val="000F7AE5"/>
    <w:rsid w:val="000F7CB2"/>
    <w:rsid w:val="001007BF"/>
    <w:rsid w:val="00100FF0"/>
    <w:rsid w:val="00102B21"/>
    <w:rsid w:val="00105BF9"/>
    <w:rsid w:val="00106915"/>
    <w:rsid w:val="00110664"/>
    <w:rsid w:val="00114F04"/>
    <w:rsid w:val="00116E76"/>
    <w:rsid w:val="00117B86"/>
    <w:rsid w:val="001306CC"/>
    <w:rsid w:val="00132ECE"/>
    <w:rsid w:val="00136632"/>
    <w:rsid w:val="00144A81"/>
    <w:rsid w:val="0014648D"/>
    <w:rsid w:val="00151853"/>
    <w:rsid w:val="00151B9F"/>
    <w:rsid w:val="00151FEC"/>
    <w:rsid w:val="0015485A"/>
    <w:rsid w:val="00154E3A"/>
    <w:rsid w:val="00155A7C"/>
    <w:rsid w:val="00155FA4"/>
    <w:rsid w:val="001600C3"/>
    <w:rsid w:val="00161E4A"/>
    <w:rsid w:val="001636C3"/>
    <w:rsid w:val="00163C85"/>
    <w:rsid w:val="00164BDF"/>
    <w:rsid w:val="00166F94"/>
    <w:rsid w:val="001742CB"/>
    <w:rsid w:val="00182D31"/>
    <w:rsid w:val="00184E6E"/>
    <w:rsid w:val="00191B14"/>
    <w:rsid w:val="00193F7F"/>
    <w:rsid w:val="00194654"/>
    <w:rsid w:val="001979DC"/>
    <w:rsid w:val="001A245B"/>
    <w:rsid w:val="001A4AD8"/>
    <w:rsid w:val="001B0D9A"/>
    <w:rsid w:val="001B20C2"/>
    <w:rsid w:val="001B4166"/>
    <w:rsid w:val="001B49CB"/>
    <w:rsid w:val="001B5FC1"/>
    <w:rsid w:val="001C1C52"/>
    <w:rsid w:val="001C4297"/>
    <w:rsid w:val="001C5A9B"/>
    <w:rsid w:val="001C5E99"/>
    <w:rsid w:val="001C68B1"/>
    <w:rsid w:val="001C74A7"/>
    <w:rsid w:val="001D2522"/>
    <w:rsid w:val="001D2DDC"/>
    <w:rsid w:val="001D315A"/>
    <w:rsid w:val="001D5065"/>
    <w:rsid w:val="001E050C"/>
    <w:rsid w:val="001E0E98"/>
    <w:rsid w:val="001E3F9A"/>
    <w:rsid w:val="001F142B"/>
    <w:rsid w:val="001F5F7D"/>
    <w:rsid w:val="001F7779"/>
    <w:rsid w:val="001F7C8E"/>
    <w:rsid w:val="00206DF0"/>
    <w:rsid w:val="00207307"/>
    <w:rsid w:val="00210898"/>
    <w:rsid w:val="00210B11"/>
    <w:rsid w:val="00210C32"/>
    <w:rsid w:val="00211DDC"/>
    <w:rsid w:val="00213743"/>
    <w:rsid w:val="00215BD2"/>
    <w:rsid w:val="00220FC4"/>
    <w:rsid w:val="002225BE"/>
    <w:rsid w:val="00222B1E"/>
    <w:rsid w:val="002248E4"/>
    <w:rsid w:val="00225DFD"/>
    <w:rsid w:val="00227817"/>
    <w:rsid w:val="00230281"/>
    <w:rsid w:val="00230F37"/>
    <w:rsid w:val="00235BD8"/>
    <w:rsid w:val="00236306"/>
    <w:rsid w:val="00236D3A"/>
    <w:rsid w:val="002405C9"/>
    <w:rsid w:val="00241997"/>
    <w:rsid w:val="00247832"/>
    <w:rsid w:val="00254BD8"/>
    <w:rsid w:val="002608FD"/>
    <w:rsid w:val="00260B05"/>
    <w:rsid w:val="00260DBE"/>
    <w:rsid w:val="0026453C"/>
    <w:rsid w:val="0026480E"/>
    <w:rsid w:val="00267800"/>
    <w:rsid w:val="00267B30"/>
    <w:rsid w:val="002730D8"/>
    <w:rsid w:val="00274FD1"/>
    <w:rsid w:val="00280A32"/>
    <w:rsid w:val="0028105B"/>
    <w:rsid w:val="0028243D"/>
    <w:rsid w:val="002830D6"/>
    <w:rsid w:val="00283E02"/>
    <w:rsid w:val="002840F1"/>
    <w:rsid w:val="00292BEE"/>
    <w:rsid w:val="00296669"/>
    <w:rsid w:val="002A0056"/>
    <w:rsid w:val="002A170E"/>
    <w:rsid w:val="002A1F36"/>
    <w:rsid w:val="002A3F7D"/>
    <w:rsid w:val="002A4D40"/>
    <w:rsid w:val="002A5BD6"/>
    <w:rsid w:val="002A6D4D"/>
    <w:rsid w:val="002B130D"/>
    <w:rsid w:val="002B4563"/>
    <w:rsid w:val="002B4FD5"/>
    <w:rsid w:val="002B552C"/>
    <w:rsid w:val="002B7249"/>
    <w:rsid w:val="002B78F5"/>
    <w:rsid w:val="002C512F"/>
    <w:rsid w:val="002C553A"/>
    <w:rsid w:val="002D3C1F"/>
    <w:rsid w:val="002D3DFC"/>
    <w:rsid w:val="002D5DC9"/>
    <w:rsid w:val="002D6FD7"/>
    <w:rsid w:val="002E0E09"/>
    <w:rsid w:val="002E100A"/>
    <w:rsid w:val="002E2365"/>
    <w:rsid w:val="002E3567"/>
    <w:rsid w:val="002F1643"/>
    <w:rsid w:val="002F5B93"/>
    <w:rsid w:val="002F7DE9"/>
    <w:rsid w:val="00303D20"/>
    <w:rsid w:val="003069FF"/>
    <w:rsid w:val="00312DAB"/>
    <w:rsid w:val="00313D37"/>
    <w:rsid w:val="00315253"/>
    <w:rsid w:val="00316011"/>
    <w:rsid w:val="00316F5E"/>
    <w:rsid w:val="00320DFB"/>
    <w:rsid w:val="003211A6"/>
    <w:rsid w:val="0032185E"/>
    <w:rsid w:val="00326EE7"/>
    <w:rsid w:val="0032789E"/>
    <w:rsid w:val="00330D36"/>
    <w:rsid w:val="00334A9B"/>
    <w:rsid w:val="00335EBE"/>
    <w:rsid w:val="00336744"/>
    <w:rsid w:val="00337D2F"/>
    <w:rsid w:val="003409D1"/>
    <w:rsid w:val="00340A17"/>
    <w:rsid w:val="00340FD4"/>
    <w:rsid w:val="0034148C"/>
    <w:rsid w:val="00343114"/>
    <w:rsid w:val="00343F49"/>
    <w:rsid w:val="00344983"/>
    <w:rsid w:val="003475DA"/>
    <w:rsid w:val="003508C9"/>
    <w:rsid w:val="00353567"/>
    <w:rsid w:val="00353E04"/>
    <w:rsid w:val="00354E22"/>
    <w:rsid w:val="00355E77"/>
    <w:rsid w:val="00356C4C"/>
    <w:rsid w:val="00360805"/>
    <w:rsid w:val="003610B6"/>
    <w:rsid w:val="00365F21"/>
    <w:rsid w:val="0036687A"/>
    <w:rsid w:val="00367AD0"/>
    <w:rsid w:val="00367BB8"/>
    <w:rsid w:val="00367D7C"/>
    <w:rsid w:val="003715B0"/>
    <w:rsid w:val="00373D42"/>
    <w:rsid w:val="003824A5"/>
    <w:rsid w:val="0038556E"/>
    <w:rsid w:val="00387A37"/>
    <w:rsid w:val="0039064D"/>
    <w:rsid w:val="00390CCB"/>
    <w:rsid w:val="003925C4"/>
    <w:rsid w:val="003966CA"/>
    <w:rsid w:val="003A01A7"/>
    <w:rsid w:val="003A0D95"/>
    <w:rsid w:val="003A4C21"/>
    <w:rsid w:val="003B0D2B"/>
    <w:rsid w:val="003B532D"/>
    <w:rsid w:val="003B75BE"/>
    <w:rsid w:val="003C1C20"/>
    <w:rsid w:val="003C21B6"/>
    <w:rsid w:val="003C262A"/>
    <w:rsid w:val="003C4C07"/>
    <w:rsid w:val="003C4DC1"/>
    <w:rsid w:val="003D2E49"/>
    <w:rsid w:val="003E0D86"/>
    <w:rsid w:val="003E407F"/>
    <w:rsid w:val="003E4F08"/>
    <w:rsid w:val="003E63DA"/>
    <w:rsid w:val="003E64C6"/>
    <w:rsid w:val="003E6E7B"/>
    <w:rsid w:val="003F03CC"/>
    <w:rsid w:val="003F2BD7"/>
    <w:rsid w:val="003F4479"/>
    <w:rsid w:val="003F67F4"/>
    <w:rsid w:val="003F6BC5"/>
    <w:rsid w:val="004024E9"/>
    <w:rsid w:val="004028ED"/>
    <w:rsid w:val="00407CA3"/>
    <w:rsid w:val="00421C75"/>
    <w:rsid w:val="00423CDA"/>
    <w:rsid w:val="00426E82"/>
    <w:rsid w:val="004319FA"/>
    <w:rsid w:val="00432ADD"/>
    <w:rsid w:val="00434299"/>
    <w:rsid w:val="00434701"/>
    <w:rsid w:val="004347CD"/>
    <w:rsid w:val="00435988"/>
    <w:rsid w:val="004372ED"/>
    <w:rsid w:val="004377EC"/>
    <w:rsid w:val="00437A34"/>
    <w:rsid w:val="00442631"/>
    <w:rsid w:val="00442763"/>
    <w:rsid w:val="00445087"/>
    <w:rsid w:val="004452C6"/>
    <w:rsid w:val="004459D7"/>
    <w:rsid w:val="00452683"/>
    <w:rsid w:val="00455340"/>
    <w:rsid w:val="00456619"/>
    <w:rsid w:val="004568C9"/>
    <w:rsid w:val="004627CE"/>
    <w:rsid w:val="0046397B"/>
    <w:rsid w:val="00463CD4"/>
    <w:rsid w:val="00463FB5"/>
    <w:rsid w:val="004661C4"/>
    <w:rsid w:val="004668CE"/>
    <w:rsid w:val="00466996"/>
    <w:rsid w:val="0046739B"/>
    <w:rsid w:val="00472B69"/>
    <w:rsid w:val="004741DB"/>
    <w:rsid w:val="00476B21"/>
    <w:rsid w:val="00481C9F"/>
    <w:rsid w:val="00481F0D"/>
    <w:rsid w:val="004833B2"/>
    <w:rsid w:val="00483CDE"/>
    <w:rsid w:val="00485813"/>
    <w:rsid w:val="00490D97"/>
    <w:rsid w:val="00492BAB"/>
    <w:rsid w:val="00494630"/>
    <w:rsid w:val="0049619F"/>
    <w:rsid w:val="004A2B6B"/>
    <w:rsid w:val="004A68E3"/>
    <w:rsid w:val="004B1418"/>
    <w:rsid w:val="004B5B40"/>
    <w:rsid w:val="004B74F9"/>
    <w:rsid w:val="004B773E"/>
    <w:rsid w:val="004B7D5D"/>
    <w:rsid w:val="004C3CF0"/>
    <w:rsid w:val="004C4B53"/>
    <w:rsid w:val="004C77EB"/>
    <w:rsid w:val="004D000E"/>
    <w:rsid w:val="004D2EBC"/>
    <w:rsid w:val="004D4D3E"/>
    <w:rsid w:val="004D6EF0"/>
    <w:rsid w:val="004E30E1"/>
    <w:rsid w:val="004E484D"/>
    <w:rsid w:val="004E7096"/>
    <w:rsid w:val="004F65FF"/>
    <w:rsid w:val="00500B43"/>
    <w:rsid w:val="00501955"/>
    <w:rsid w:val="00504A6E"/>
    <w:rsid w:val="0051487F"/>
    <w:rsid w:val="00517282"/>
    <w:rsid w:val="005173FD"/>
    <w:rsid w:val="00526EE3"/>
    <w:rsid w:val="0053224A"/>
    <w:rsid w:val="00534182"/>
    <w:rsid w:val="0053655D"/>
    <w:rsid w:val="00536DF7"/>
    <w:rsid w:val="00537C98"/>
    <w:rsid w:val="00542CE2"/>
    <w:rsid w:val="005446AE"/>
    <w:rsid w:val="00545AAC"/>
    <w:rsid w:val="00545AEE"/>
    <w:rsid w:val="00546454"/>
    <w:rsid w:val="005467D7"/>
    <w:rsid w:val="0054795A"/>
    <w:rsid w:val="005523B7"/>
    <w:rsid w:val="00553445"/>
    <w:rsid w:val="00557766"/>
    <w:rsid w:val="0056116A"/>
    <w:rsid w:val="00563413"/>
    <w:rsid w:val="0056435A"/>
    <w:rsid w:val="00564756"/>
    <w:rsid w:val="005674F9"/>
    <w:rsid w:val="00570C56"/>
    <w:rsid w:val="005722BB"/>
    <w:rsid w:val="00576116"/>
    <w:rsid w:val="00577004"/>
    <w:rsid w:val="00580F7F"/>
    <w:rsid w:val="00584B3B"/>
    <w:rsid w:val="005850A1"/>
    <w:rsid w:val="005852E4"/>
    <w:rsid w:val="00585FB0"/>
    <w:rsid w:val="00586EC3"/>
    <w:rsid w:val="005923FC"/>
    <w:rsid w:val="00593EA5"/>
    <w:rsid w:val="0059617D"/>
    <w:rsid w:val="00596786"/>
    <w:rsid w:val="005A3161"/>
    <w:rsid w:val="005A6683"/>
    <w:rsid w:val="005A7043"/>
    <w:rsid w:val="005B25C5"/>
    <w:rsid w:val="005B2BAD"/>
    <w:rsid w:val="005B5711"/>
    <w:rsid w:val="005B5739"/>
    <w:rsid w:val="005B61AD"/>
    <w:rsid w:val="005C205B"/>
    <w:rsid w:val="005C5450"/>
    <w:rsid w:val="005C553E"/>
    <w:rsid w:val="005C7071"/>
    <w:rsid w:val="005D332F"/>
    <w:rsid w:val="005D3D6B"/>
    <w:rsid w:val="005D6B5D"/>
    <w:rsid w:val="005D7F40"/>
    <w:rsid w:val="005E0955"/>
    <w:rsid w:val="005E34D2"/>
    <w:rsid w:val="005E681A"/>
    <w:rsid w:val="005F1295"/>
    <w:rsid w:val="005F1885"/>
    <w:rsid w:val="00600C69"/>
    <w:rsid w:val="0060128D"/>
    <w:rsid w:val="00603CDD"/>
    <w:rsid w:val="00603E64"/>
    <w:rsid w:val="00603F7B"/>
    <w:rsid w:val="00605471"/>
    <w:rsid w:val="00605641"/>
    <w:rsid w:val="006061EC"/>
    <w:rsid w:val="0060639F"/>
    <w:rsid w:val="0060651B"/>
    <w:rsid w:val="006104FE"/>
    <w:rsid w:val="00610CFB"/>
    <w:rsid w:val="006112E3"/>
    <w:rsid w:val="0061248E"/>
    <w:rsid w:val="0061299F"/>
    <w:rsid w:val="00613228"/>
    <w:rsid w:val="00615308"/>
    <w:rsid w:val="0061554D"/>
    <w:rsid w:val="00622251"/>
    <w:rsid w:val="006248BA"/>
    <w:rsid w:val="00624976"/>
    <w:rsid w:val="00624D8F"/>
    <w:rsid w:val="00627569"/>
    <w:rsid w:val="00630259"/>
    <w:rsid w:val="00632237"/>
    <w:rsid w:val="00634132"/>
    <w:rsid w:val="00637577"/>
    <w:rsid w:val="00637844"/>
    <w:rsid w:val="00640FAC"/>
    <w:rsid w:val="00641226"/>
    <w:rsid w:val="00643ED4"/>
    <w:rsid w:val="00652C0F"/>
    <w:rsid w:val="00654FCF"/>
    <w:rsid w:val="006556C3"/>
    <w:rsid w:val="00661950"/>
    <w:rsid w:val="00662999"/>
    <w:rsid w:val="0067010A"/>
    <w:rsid w:val="006730F7"/>
    <w:rsid w:val="00681248"/>
    <w:rsid w:val="00681999"/>
    <w:rsid w:val="006863EC"/>
    <w:rsid w:val="0068769D"/>
    <w:rsid w:val="00687826"/>
    <w:rsid w:val="00693234"/>
    <w:rsid w:val="006940CD"/>
    <w:rsid w:val="00696BDF"/>
    <w:rsid w:val="00697204"/>
    <w:rsid w:val="00697965"/>
    <w:rsid w:val="006A1816"/>
    <w:rsid w:val="006A5EC5"/>
    <w:rsid w:val="006A6108"/>
    <w:rsid w:val="006A6D71"/>
    <w:rsid w:val="006B0DD6"/>
    <w:rsid w:val="006B2541"/>
    <w:rsid w:val="006B25B5"/>
    <w:rsid w:val="006B2702"/>
    <w:rsid w:val="006B4941"/>
    <w:rsid w:val="006B4C40"/>
    <w:rsid w:val="006C133E"/>
    <w:rsid w:val="006C2A3B"/>
    <w:rsid w:val="006C31BD"/>
    <w:rsid w:val="006C46E2"/>
    <w:rsid w:val="006C49FE"/>
    <w:rsid w:val="006C52A2"/>
    <w:rsid w:val="006D6456"/>
    <w:rsid w:val="006E0157"/>
    <w:rsid w:val="006E3BD7"/>
    <w:rsid w:val="006E3C47"/>
    <w:rsid w:val="006E3F55"/>
    <w:rsid w:val="006E66F7"/>
    <w:rsid w:val="006E6E68"/>
    <w:rsid w:val="006F185F"/>
    <w:rsid w:val="006F35CE"/>
    <w:rsid w:val="006F5755"/>
    <w:rsid w:val="006F5D74"/>
    <w:rsid w:val="00704FDD"/>
    <w:rsid w:val="0070629F"/>
    <w:rsid w:val="007065A9"/>
    <w:rsid w:val="00710C88"/>
    <w:rsid w:val="007119AC"/>
    <w:rsid w:val="007165A0"/>
    <w:rsid w:val="00717928"/>
    <w:rsid w:val="00721EB3"/>
    <w:rsid w:val="00722ED4"/>
    <w:rsid w:val="007233DC"/>
    <w:rsid w:val="00732C8F"/>
    <w:rsid w:val="00733348"/>
    <w:rsid w:val="00736E3B"/>
    <w:rsid w:val="00737E8A"/>
    <w:rsid w:val="00743CBE"/>
    <w:rsid w:val="00744887"/>
    <w:rsid w:val="0074592E"/>
    <w:rsid w:val="00747408"/>
    <w:rsid w:val="007475C2"/>
    <w:rsid w:val="00747681"/>
    <w:rsid w:val="00752CF7"/>
    <w:rsid w:val="00753050"/>
    <w:rsid w:val="007531F6"/>
    <w:rsid w:val="00753F01"/>
    <w:rsid w:val="00755CE8"/>
    <w:rsid w:val="00760F5F"/>
    <w:rsid w:val="00766944"/>
    <w:rsid w:val="007709C9"/>
    <w:rsid w:val="0077377B"/>
    <w:rsid w:val="00774FA1"/>
    <w:rsid w:val="00786EA3"/>
    <w:rsid w:val="00790873"/>
    <w:rsid w:val="00795387"/>
    <w:rsid w:val="00795895"/>
    <w:rsid w:val="007A024E"/>
    <w:rsid w:val="007A36B5"/>
    <w:rsid w:val="007A4051"/>
    <w:rsid w:val="007A42A1"/>
    <w:rsid w:val="007A454F"/>
    <w:rsid w:val="007A59B1"/>
    <w:rsid w:val="007A65B6"/>
    <w:rsid w:val="007A68C3"/>
    <w:rsid w:val="007B18DC"/>
    <w:rsid w:val="007B2D4C"/>
    <w:rsid w:val="007C033C"/>
    <w:rsid w:val="007C21EF"/>
    <w:rsid w:val="007C3B69"/>
    <w:rsid w:val="007C6978"/>
    <w:rsid w:val="007C7159"/>
    <w:rsid w:val="007C79D2"/>
    <w:rsid w:val="007D10B5"/>
    <w:rsid w:val="007D2AFC"/>
    <w:rsid w:val="007D3371"/>
    <w:rsid w:val="007D5483"/>
    <w:rsid w:val="007D5B92"/>
    <w:rsid w:val="007D65B9"/>
    <w:rsid w:val="007D6EED"/>
    <w:rsid w:val="007D7B1F"/>
    <w:rsid w:val="007E17E3"/>
    <w:rsid w:val="007E2CDE"/>
    <w:rsid w:val="007E3021"/>
    <w:rsid w:val="007E304A"/>
    <w:rsid w:val="007E4C40"/>
    <w:rsid w:val="007F2C72"/>
    <w:rsid w:val="007F6F88"/>
    <w:rsid w:val="008017D0"/>
    <w:rsid w:val="008023D3"/>
    <w:rsid w:val="00803BF2"/>
    <w:rsid w:val="0080637E"/>
    <w:rsid w:val="008134CD"/>
    <w:rsid w:val="008136FD"/>
    <w:rsid w:val="0081614F"/>
    <w:rsid w:val="00821C2C"/>
    <w:rsid w:val="00822277"/>
    <w:rsid w:val="00823965"/>
    <w:rsid w:val="008264ED"/>
    <w:rsid w:val="0082790C"/>
    <w:rsid w:val="00827C65"/>
    <w:rsid w:val="008305F9"/>
    <w:rsid w:val="00832368"/>
    <w:rsid w:val="008325DB"/>
    <w:rsid w:val="00833C3B"/>
    <w:rsid w:val="0083467A"/>
    <w:rsid w:val="00835454"/>
    <w:rsid w:val="008416E6"/>
    <w:rsid w:val="00845CF9"/>
    <w:rsid w:val="0084669F"/>
    <w:rsid w:val="00846F7D"/>
    <w:rsid w:val="00850D88"/>
    <w:rsid w:val="008513E2"/>
    <w:rsid w:val="00851C72"/>
    <w:rsid w:val="00851E10"/>
    <w:rsid w:val="008564F7"/>
    <w:rsid w:val="0085652B"/>
    <w:rsid w:val="0086078A"/>
    <w:rsid w:val="00860831"/>
    <w:rsid w:val="00860B1D"/>
    <w:rsid w:val="00862D39"/>
    <w:rsid w:val="00866CA8"/>
    <w:rsid w:val="008717D6"/>
    <w:rsid w:val="00872E29"/>
    <w:rsid w:val="008736EC"/>
    <w:rsid w:val="008749D5"/>
    <w:rsid w:val="0087523E"/>
    <w:rsid w:val="00876394"/>
    <w:rsid w:val="008815FD"/>
    <w:rsid w:val="00883337"/>
    <w:rsid w:val="00894A62"/>
    <w:rsid w:val="0089512F"/>
    <w:rsid w:val="008A0D0F"/>
    <w:rsid w:val="008A591D"/>
    <w:rsid w:val="008A743A"/>
    <w:rsid w:val="008B1F37"/>
    <w:rsid w:val="008B2442"/>
    <w:rsid w:val="008B3FEE"/>
    <w:rsid w:val="008C0B51"/>
    <w:rsid w:val="008C293B"/>
    <w:rsid w:val="008C46A6"/>
    <w:rsid w:val="008C6917"/>
    <w:rsid w:val="008D0F27"/>
    <w:rsid w:val="008D3F7B"/>
    <w:rsid w:val="008E03CF"/>
    <w:rsid w:val="008E15E1"/>
    <w:rsid w:val="008E3E20"/>
    <w:rsid w:val="008E48EC"/>
    <w:rsid w:val="008E4A97"/>
    <w:rsid w:val="008E4E3D"/>
    <w:rsid w:val="008F0949"/>
    <w:rsid w:val="008F0BDD"/>
    <w:rsid w:val="008F2B0D"/>
    <w:rsid w:val="008F3805"/>
    <w:rsid w:val="008F59D8"/>
    <w:rsid w:val="0091004E"/>
    <w:rsid w:val="00910E1D"/>
    <w:rsid w:val="00915095"/>
    <w:rsid w:val="00915D09"/>
    <w:rsid w:val="00923963"/>
    <w:rsid w:val="009334DE"/>
    <w:rsid w:val="009400A8"/>
    <w:rsid w:val="00940691"/>
    <w:rsid w:val="00942152"/>
    <w:rsid w:val="00944D33"/>
    <w:rsid w:val="009456AA"/>
    <w:rsid w:val="009473F2"/>
    <w:rsid w:val="00950EA1"/>
    <w:rsid w:val="00951FD3"/>
    <w:rsid w:val="0096069F"/>
    <w:rsid w:val="00960777"/>
    <w:rsid w:val="0096147C"/>
    <w:rsid w:val="00961A7F"/>
    <w:rsid w:val="00962C44"/>
    <w:rsid w:val="009648C9"/>
    <w:rsid w:val="009653C6"/>
    <w:rsid w:val="0097043F"/>
    <w:rsid w:val="0097104A"/>
    <w:rsid w:val="009718E7"/>
    <w:rsid w:val="00974B15"/>
    <w:rsid w:val="009762EB"/>
    <w:rsid w:val="00976C83"/>
    <w:rsid w:val="00981449"/>
    <w:rsid w:val="0098313A"/>
    <w:rsid w:val="009861F6"/>
    <w:rsid w:val="00987572"/>
    <w:rsid w:val="00987AD0"/>
    <w:rsid w:val="00991E7D"/>
    <w:rsid w:val="009958C3"/>
    <w:rsid w:val="0099702F"/>
    <w:rsid w:val="009A51AA"/>
    <w:rsid w:val="009A5562"/>
    <w:rsid w:val="009A5BE8"/>
    <w:rsid w:val="009A6852"/>
    <w:rsid w:val="009B3014"/>
    <w:rsid w:val="009B3038"/>
    <w:rsid w:val="009B3E74"/>
    <w:rsid w:val="009B5870"/>
    <w:rsid w:val="009C3E14"/>
    <w:rsid w:val="009C4FE8"/>
    <w:rsid w:val="009C7965"/>
    <w:rsid w:val="009D03DC"/>
    <w:rsid w:val="009D0465"/>
    <w:rsid w:val="009D0649"/>
    <w:rsid w:val="009D1667"/>
    <w:rsid w:val="009D2344"/>
    <w:rsid w:val="009D3CBF"/>
    <w:rsid w:val="009D5F93"/>
    <w:rsid w:val="009D7BFC"/>
    <w:rsid w:val="009E34FD"/>
    <w:rsid w:val="009E7BB8"/>
    <w:rsid w:val="009F0B77"/>
    <w:rsid w:val="009F2B07"/>
    <w:rsid w:val="009F3709"/>
    <w:rsid w:val="009F4A30"/>
    <w:rsid w:val="009F51C3"/>
    <w:rsid w:val="009F77D1"/>
    <w:rsid w:val="00A0086B"/>
    <w:rsid w:val="00A02482"/>
    <w:rsid w:val="00A0296F"/>
    <w:rsid w:val="00A02A74"/>
    <w:rsid w:val="00A05118"/>
    <w:rsid w:val="00A0576B"/>
    <w:rsid w:val="00A0582A"/>
    <w:rsid w:val="00A06355"/>
    <w:rsid w:val="00A10240"/>
    <w:rsid w:val="00A1269E"/>
    <w:rsid w:val="00A14FAE"/>
    <w:rsid w:val="00A15F6E"/>
    <w:rsid w:val="00A171F7"/>
    <w:rsid w:val="00A22FAB"/>
    <w:rsid w:val="00A2323E"/>
    <w:rsid w:val="00A2416C"/>
    <w:rsid w:val="00A2526F"/>
    <w:rsid w:val="00A25D54"/>
    <w:rsid w:val="00A30A34"/>
    <w:rsid w:val="00A3429E"/>
    <w:rsid w:val="00A34513"/>
    <w:rsid w:val="00A369D4"/>
    <w:rsid w:val="00A37751"/>
    <w:rsid w:val="00A41369"/>
    <w:rsid w:val="00A4227E"/>
    <w:rsid w:val="00A4479A"/>
    <w:rsid w:val="00A46011"/>
    <w:rsid w:val="00A50D3F"/>
    <w:rsid w:val="00A51842"/>
    <w:rsid w:val="00A52E3F"/>
    <w:rsid w:val="00A54148"/>
    <w:rsid w:val="00A5419A"/>
    <w:rsid w:val="00A55608"/>
    <w:rsid w:val="00A56928"/>
    <w:rsid w:val="00A61960"/>
    <w:rsid w:val="00A66258"/>
    <w:rsid w:val="00A6676B"/>
    <w:rsid w:val="00A71C36"/>
    <w:rsid w:val="00A71D66"/>
    <w:rsid w:val="00A758BE"/>
    <w:rsid w:val="00A83B41"/>
    <w:rsid w:val="00A9118F"/>
    <w:rsid w:val="00A953CE"/>
    <w:rsid w:val="00A96280"/>
    <w:rsid w:val="00AA27D7"/>
    <w:rsid w:val="00AA4A48"/>
    <w:rsid w:val="00AA4D71"/>
    <w:rsid w:val="00AA656D"/>
    <w:rsid w:val="00AA79FC"/>
    <w:rsid w:val="00AA7E81"/>
    <w:rsid w:val="00AB0F28"/>
    <w:rsid w:val="00AB417B"/>
    <w:rsid w:val="00AB4F5B"/>
    <w:rsid w:val="00AB5FA8"/>
    <w:rsid w:val="00AB6CEA"/>
    <w:rsid w:val="00AC12D4"/>
    <w:rsid w:val="00AC1DFF"/>
    <w:rsid w:val="00AC236C"/>
    <w:rsid w:val="00AC3400"/>
    <w:rsid w:val="00AC3F3D"/>
    <w:rsid w:val="00AC57F9"/>
    <w:rsid w:val="00AC58D7"/>
    <w:rsid w:val="00AD369D"/>
    <w:rsid w:val="00AD4236"/>
    <w:rsid w:val="00AD6207"/>
    <w:rsid w:val="00AD7135"/>
    <w:rsid w:val="00AD7BE9"/>
    <w:rsid w:val="00AE3418"/>
    <w:rsid w:val="00AE35BA"/>
    <w:rsid w:val="00AE3FDC"/>
    <w:rsid w:val="00AF2474"/>
    <w:rsid w:val="00AF6C2A"/>
    <w:rsid w:val="00B02AD0"/>
    <w:rsid w:val="00B06058"/>
    <w:rsid w:val="00B07007"/>
    <w:rsid w:val="00B12C7C"/>
    <w:rsid w:val="00B14340"/>
    <w:rsid w:val="00B143BA"/>
    <w:rsid w:val="00B148FF"/>
    <w:rsid w:val="00B15A55"/>
    <w:rsid w:val="00B15B15"/>
    <w:rsid w:val="00B1689E"/>
    <w:rsid w:val="00B20F1E"/>
    <w:rsid w:val="00B21421"/>
    <w:rsid w:val="00B23055"/>
    <w:rsid w:val="00B23BA8"/>
    <w:rsid w:val="00B24644"/>
    <w:rsid w:val="00B32B4B"/>
    <w:rsid w:val="00B32B6A"/>
    <w:rsid w:val="00B35E97"/>
    <w:rsid w:val="00B368D9"/>
    <w:rsid w:val="00B4272E"/>
    <w:rsid w:val="00B4546B"/>
    <w:rsid w:val="00B45866"/>
    <w:rsid w:val="00B47AAD"/>
    <w:rsid w:val="00B5166C"/>
    <w:rsid w:val="00B533A1"/>
    <w:rsid w:val="00B53FA5"/>
    <w:rsid w:val="00B540A4"/>
    <w:rsid w:val="00B5665A"/>
    <w:rsid w:val="00B567C1"/>
    <w:rsid w:val="00B56A39"/>
    <w:rsid w:val="00B60A82"/>
    <w:rsid w:val="00B61F3A"/>
    <w:rsid w:val="00B6256D"/>
    <w:rsid w:val="00B632E6"/>
    <w:rsid w:val="00B662A5"/>
    <w:rsid w:val="00B674E0"/>
    <w:rsid w:val="00B7511C"/>
    <w:rsid w:val="00B76EF8"/>
    <w:rsid w:val="00B77AAC"/>
    <w:rsid w:val="00B800DA"/>
    <w:rsid w:val="00B80653"/>
    <w:rsid w:val="00B86FC0"/>
    <w:rsid w:val="00B9151E"/>
    <w:rsid w:val="00B94791"/>
    <w:rsid w:val="00B94AA8"/>
    <w:rsid w:val="00B96F73"/>
    <w:rsid w:val="00BA3536"/>
    <w:rsid w:val="00BA4631"/>
    <w:rsid w:val="00BA4EF0"/>
    <w:rsid w:val="00BA65A4"/>
    <w:rsid w:val="00BA7141"/>
    <w:rsid w:val="00BB1B31"/>
    <w:rsid w:val="00BB25D1"/>
    <w:rsid w:val="00BB385B"/>
    <w:rsid w:val="00BB4D2D"/>
    <w:rsid w:val="00BB508A"/>
    <w:rsid w:val="00BB52E0"/>
    <w:rsid w:val="00BB55A8"/>
    <w:rsid w:val="00BB56D5"/>
    <w:rsid w:val="00BC4F25"/>
    <w:rsid w:val="00BC553A"/>
    <w:rsid w:val="00BC5AE7"/>
    <w:rsid w:val="00BC5B36"/>
    <w:rsid w:val="00BC5BC1"/>
    <w:rsid w:val="00BC6A7F"/>
    <w:rsid w:val="00BC6F07"/>
    <w:rsid w:val="00BD0D51"/>
    <w:rsid w:val="00BD110D"/>
    <w:rsid w:val="00BD3096"/>
    <w:rsid w:val="00BD43E8"/>
    <w:rsid w:val="00BD441D"/>
    <w:rsid w:val="00BD4D94"/>
    <w:rsid w:val="00BE04A3"/>
    <w:rsid w:val="00BE33D8"/>
    <w:rsid w:val="00BE4BB1"/>
    <w:rsid w:val="00BE6D6A"/>
    <w:rsid w:val="00BE7A42"/>
    <w:rsid w:val="00BF1E61"/>
    <w:rsid w:val="00BF2C90"/>
    <w:rsid w:val="00BF4D1B"/>
    <w:rsid w:val="00C04EAD"/>
    <w:rsid w:val="00C0729C"/>
    <w:rsid w:val="00C10569"/>
    <w:rsid w:val="00C11D8B"/>
    <w:rsid w:val="00C127CE"/>
    <w:rsid w:val="00C12AA2"/>
    <w:rsid w:val="00C17E55"/>
    <w:rsid w:val="00C22615"/>
    <w:rsid w:val="00C2303A"/>
    <w:rsid w:val="00C256DB"/>
    <w:rsid w:val="00C30F40"/>
    <w:rsid w:val="00C33C15"/>
    <w:rsid w:val="00C347D7"/>
    <w:rsid w:val="00C34C88"/>
    <w:rsid w:val="00C35B90"/>
    <w:rsid w:val="00C35BB3"/>
    <w:rsid w:val="00C36E8D"/>
    <w:rsid w:val="00C37844"/>
    <w:rsid w:val="00C43D41"/>
    <w:rsid w:val="00C43DB0"/>
    <w:rsid w:val="00C44E97"/>
    <w:rsid w:val="00C46316"/>
    <w:rsid w:val="00C46F8B"/>
    <w:rsid w:val="00C52171"/>
    <w:rsid w:val="00C60A20"/>
    <w:rsid w:val="00C708FB"/>
    <w:rsid w:val="00C7187F"/>
    <w:rsid w:val="00C7229E"/>
    <w:rsid w:val="00C73489"/>
    <w:rsid w:val="00C7471A"/>
    <w:rsid w:val="00C80901"/>
    <w:rsid w:val="00C841F9"/>
    <w:rsid w:val="00C84FB4"/>
    <w:rsid w:val="00C87EF9"/>
    <w:rsid w:val="00C90D2F"/>
    <w:rsid w:val="00C91D12"/>
    <w:rsid w:val="00C92AF2"/>
    <w:rsid w:val="00C941EA"/>
    <w:rsid w:val="00C945BE"/>
    <w:rsid w:val="00C94AF9"/>
    <w:rsid w:val="00C95D3F"/>
    <w:rsid w:val="00C97C34"/>
    <w:rsid w:val="00CA1971"/>
    <w:rsid w:val="00CA2D4A"/>
    <w:rsid w:val="00CA3FDD"/>
    <w:rsid w:val="00CA4EB7"/>
    <w:rsid w:val="00CA5F3C"/>
    <w:rsid w:val="00CA5F88"/>
    <w:rsid w:val="00CB41CC"/>
    <w:rsid w:val="00CC0A24"/>
    <w:rsid w:val="00CC0FAF"/>
    <w:rsid w:val="00CC6531"/>
    <w:rsid w:val="00CC7C55"/>
    <w:rsid w:val="00CD3DC8"/>
    <w:rsid w:val="00CD5525"/>
    <w:rsid w:val="00CD6F54"/>
    <w:rsid w:val="00CD7FA3"/>
    <w:rsid w:val="00CE0F10"/>
    <w:rsid w:val="00CE11DA"/>
    <w:rsid w:val="00CE137D"/>
    <w:rsid w:val="00CE22FB"/>
    <w:rsid w:val="00CE28FD"/>
    <w:rsid w:val="00CE6938"/>
    <w:rsid w:val="00CF0434"/>
    <w:rsid w:val="00CF1665"/>
    <w:rsid w:val="00D0209E"/>
    <w:rsid w:val="00D03643"/>
    <w:rsid w:val="00D04EA0"/>
    <w:rsid w:val="00D07317"/>
    <w:rsid w:val="00D104E6"/>
    <w:rsid w:val="00D12026"/>
    <w:rsid w:val="00D200C1"/>
    <w:rsid w:val="00D223D8"/>
    <w:rsid w:val="00D23199"/>
    <w:rsid w:val="00D24D70"/>
    <w:rsid w:val="00D30DE5"/>
    <w:rsid w:val="00D32FF0"/>
    <w:rsid w:val="00D34630"/>
    <w:rsid w:val="00D37A2D"/>
    <w:rsid w:val="00D4214A"/>
    <w:rsid w:val="00D4311D"/>
    <w:rsid w:val="00D432F6"/>
    <w:rsid w:val="00D43DE3"/>
    <w:rsid w:val="00D44FC9"/>
    <w:rsid w:val="00D47C73"/>
    <w:rsid w:val="00D51ADA"/>
    <w:rsid w:val="00D53B45"/>
    <w:rsid w:val="00D5435C"/>
    <w:rsid w:val="00D55D05"/>
    <w:rsid w:val="00D5615D"/>
    <w:rsid w:val="00D56E78"/>
    <w:rsid w:val="00D60CCE"/>
    <w:rsid w:val="00D61C5A"/>
    <w:rsid w:val="00D6351E"/>
    <w:rsid w:val="00D65924"/>
    <w:rsid w:val="00D67A90"/>
    <w:rsid w:val="00D67ECC"/>
    <w:rsid w:val="00D703EC"/>
    <w:rsid w:val="00D711A3"/>
    <w:rsid w:val="00D71A66"/>
    <w:rsid w:val="00D73662"/>
    <w:rsid w:val="00D7453E"/>
    <w:rsid w:val="00D746AA"/>
    <w:rsid w:val="00D7600B"/>
    <w:rsid w:val="00D76594"/>
    <w:rsid w:val="00D76799"/>
    <w:rsid w:val="00D81AA2"/>
    <w:rsid w:val="00D81B44"/>
    <w:rsid w:val="00D84E37"/>
    <w:rsid w:val="00D8525F"/>
    <w:rsid w:val="00D870B1"/>
    <w:rsid w:val="00D91F5C"/>
    <w:rsid w:val="00D9499E"/>
    <w:rsid w:val="00D94E56"/>
    <w:rsid w:val="00DA2C63"/>
    <w:rsid w:val="00DA3A35"/>
    <w:rsid w:val="00DA4B68"/>
    <w:rsid w:val="00DA5FFF"/>
    <w:rsid w:val="00DA6FF1"/>
    <w:rsid w:val="00DA70AD"/>
    <w:rsid w:val="00DA73C2"/>
    <w:rsid w:val="00DB4C31"/>
    <w:rsid w:val="00DB7041"/>
    <w:rsid w:val="00DB7971"/>
    <w:rsid w:val="00DB7B41"/>
    <w:rsid w:val="00DC17C9"/>
    <w:rsid w:val="00DC7FC1"/>
    <w:rsid w:val="00DD18C2"/>
    <w:rsid w:val="00DD2119"/>
    <w:rsid w:val="00DD3623"/>
    <w:rsid w:val="00DD7922"/>
    <w:rsid w:val="00DE1D6A"/>
    <w:rsid w:val="00DE275D"/>
    <w:rsid w:val="00DE499B"/>
    <w:rsid w:val="00DF081F"/>
    <w:rsid w:val="00DF0FAE"/>
    <w:rsid w:val="00DF1BD0"/>
    <w:rsid w:val="00DF1C1A"/>
    <w:rsid w:val="00DF3150"/>
    <w:rsid w:val="00DF37FE"/>
    <w:rsid w:val="00DF685B"/>
    <w:rsid w:val="00E06A00"/>
    <w:rsid w:val="00E06B93"/>
    <w:rsid w:val="00E075C3"/>
    <w:rsid w:val="00E106D4"/>
    <w:rsid w:val="00E10742"/>
    <w:rsid w:val="00E1105D"/>
    <w:rsid w:val="00E1236A"/>
    <w:rsid w:val="00E124CD"/>
    <w:rsid w:val="00E1278D"/>
    <w:rsid w:val="00E1467E"/>
    <w:rsid w:val="00E2227A"/>
    <w:rsid w:val="00E232ED"/>
    <w:rsid w:val="00E25209"/>
    <w:rsid w:val="00E2575E"/>
    <w:rsid w:val="00E27547"/>
    <w:rsid w:val="00E27C85"/>
    <w:rsid w:val="00E35077"/>
    <w:rsid w:val="00E36240"/>
    <w:rsid w:val="00E379FA"/>
    <w:rsid w:val="00E37B40"/>
    <w:rsid w:val="00E37EE9"/>
    <w:rsid w:val="00E41410"/>
    <w:rsid w:val="00E43E42"/>
    <w:rsid w:val="00E46686"/>
    <w:rsid w:val="00E47B14"/>
    <w:rsid w:val="00E50DF9"/>
    <w:rsid w:val="00E570BE"/>
    <w:rsid w:val="00E613F9"/>
    <w:rsid w:val="00E6258A"/>
    <w:rsid w:val="00E66A01"/>
    <w:rsid w:val="00E71E5D"/>
    <w:rsid w:val="00E73CC5"/>
    <w:rsid w:val="00E76522"/>
    <w:rsid w:val="00E766B6"/>
    <w:rsid w:val="00E8096E"/>
    <w:rsid w:val="00E81183"/>
    <w:rsid w:val="00E84ED1"/>
    <w:rsid w:val="00E92B42"/>
    <w:rsid w:val="00E95530"/>
    <w:rsid w:val="00E95DA4"/>
    <w:rsid w:val="00E9695D"/>
    <w:rsid w:val="00E96B5D"/>
    <w:rsid w:val="00EA2049"/>
    <w:rsid w:val="00EA37EC"/>
    <w:rsid w:val="00EA6C9F"/>
    <w:rsid w:val="00EA7D8C"/>
    <w:rsid w:val="00EB1DAD"/>
    <w:rsid w:val="00EB32D7"/>
    <w:rsid w:val="00EB45CD"/>
    <w:rsid w:val="00EB5CAF"/>
    <w:rsid w:val="00EB5D11"/>
    <w:rsid w:val="00EC07A6"/>
    <w:rsid w:val="00EC764C"/>
    <w:rsid w:val="00ED1C3A"/>
    <w:rsid w:val="00ED23AE"/>
    <w:rsid w:val="00ED4BC4"/>
    <w:rsid w:val="00ED4FC3"/>
    <w:rsid w:val="00ED71AD"/>
    <w:rsid w:val="00EE0C6F"/>
    <w:rsid w:val="00EE18EB"/>
    <w:rsid w:val="00EE291A"/>
    <w:rsid w:val="00EE407E"/>
    <w:rsid w:val="00EE4758"/>
    <w:rsid w:val="00EE47A9"/>
    <w:rsid w:val="00EE60CE"/>
    <w:rsid w:val="00EE6DFA"/>
    <w:rsid w:val="00EF074F"/>
    <w:rsid w:val="00EF4898"/>
    <w:rsid w:val="00EF575C"/>
    <w:rsid w:val="00EF7424"/>
    <w:rsid w:val="00F005A9"/>
    <w:rsid w:val="00F00B22"/>
    <w:rsid w:val="00F02C25"/>
    <w:rsid w:val="00F03C6B"/>
    <w:rsid w:val="00F052DE"/>
    <w:rsid w:val="00F0796D"/>
    <w:rsid w:val="00F14446"/>
    <w:rsid w:val="00F14D57"/>
    <w:rsid w:val="00F159A1"/>
    <w:rsid w:val="00F164A5"/>
    <w:rsid w:val="00F176BC"/>
    <w:rsid w:val="00F208C8"/>
    <w:rsid w:val="00F24CB2"/>
    <w:rsid w:val="00F25269"/>
    <w:rsid w:val="00F25B95"/>
    <w:rsid w:val="00F2786C"/>
    <w:rsid w:val="00F30DE1"/>
    <w:rsid w:val="00F33797"/>
    <w:rsid w:val="00F346F2"/>
    <w:rsid w:val="00F357C1"/>
    <w:rsid w:val="00F362E1"/>
    <w:rsid w:val="00F424E4"/>
    <w:rsid w:val="00F453C0"/>
    <w:rsid w:val="00F45D7C"/>
    <w:rsid w:val="00F51478"/>
    <w:rsid w:val="00F52204"/>
    <w:rsid w:val="00F603DD"/>
    <w:rsid w:val="00F62712"/>
    <w:rsid w:val="00F63111"/>
    <w:rsid w:val="00F65160"/>
    <w:rsid w:val="00F702C8"/>
    <w:rsid w:val="00F7037F"/>
    <w:rsid w:val="00F70E14"/>
    <w:rsid w:val="00F71779"/>
    <w:rsid w:val="00F72E9F"/>
    <w:rsid w:val="00F73160"/>
    <w:rsid w:val="00F74F18"/>
    <w:rsid w:val="00F75F2F"/>
    <w:rsid w:val="00F76118"/>
    <w:rsid w:val="00F7666B"/>
    <w:rsid w:val="00F76E8D"/>
    <w:rsid w:val="00F810D5"/>
    <w:rsid w:val="00F81EB4"/>
    <w:rsid w:val="00F8292B"/>
    <w:rsid w:val="00F855C1"/>
    <w:rsid w:val="00F86A74"/>
    <w:rsid w:val="00F91A3F"/>
    <w:rsid w:val="00F9557B"/>
    <w:rsid w:val="00F95F0E"/>
    <w:rsid w:val="00F96FA7"/>
    <w:rsid w:val="00FA0827"/>
    <w:rsid w:val="00FA0993"/>
    <w:rsid w:val="00FA1EC4"/>
    <w:rsid w:val="00FA71F3"/>
    <w:rsid w:val="00FB2DFE"/>
    <w:rsid w:val="00FB4051"/>
    <w:rsid w:val="00FB4FAE"/>
    <w:rsid w:val="00FB5E56"/>
    <w:rsid w:val="00FB79E3"/>
    <w:rsid w:val="00FC3063"/>
    <w:rsid w:val="00FC69AC"/>
    <w:rsid w:val="00FD227B"/>
    <w:rsid w:val="00FD5488"/>
    <w:rsid w:val="00FD6DDA"/>
    <w:rsid w:val="00FD7031"/>
    <w:rsid w:val="00FE2120"/>
    <w:rsid w:val="00FE4278"/>
    <w:rsid w:val="00FE4C50"/>
    <w:rsid w:val="00FE577A"/>
    <w:rsid w:val="00FE5BD1"/>
    <w:rsid w:val="00FE6DFA"/>
    <w:rsid w:val="00FF0568"/>
    <w:rsid w:val="00FF11BE"/>
    <w:rsid w:val="00FF1D1D"/>
    <w:rsid w:val="00FF28C6"/>
    <w:rsid w:val="00FF5032"/>
    <w:rsid w:val="00FF5C2F"/>
    <w:rsid w:val="00FF6178"/>
    <w:rsid w:val="010164DF"/>
    <w:rsid w:val="011753BF"/>
    <w:rsid w:val="01272AE3"/>
    <w:rsid w:val="01505581"/>
    <w:rsid w:val="01646BA1"/>
    <w:rsid w:val="01B9341B"/>
    <w:rsid w:val="01F33442"/>
    <w:rsid w:val="01F87B13"/>
    <w:rsid w:val="020035F7"/>
    <w:rsid w:val="021674E3"/>
    <w:rsid w:val="02306162"/>
    <w:rsid w:val="02324151"/>
    <w:rsid w:val="0236335D"/>
    <w:rsid w:val="023A5A46"/>
    <w:rsid w:val="02525B2B"/>
    <w:rsid w:val="026A6FD1"/>
    <w:rsid w:val="027D62B2"/>
    <w:rsid w:val="0292688D"/>
    <w:rsid w:val="02BE0793"/>
    <w:rsid w:val="02DD7E2B"/>
    <w:rsid w:val="030202B5"/>
    <w:rsid w:val="03107BB9"/>
    <w:rsid w:val="03250D48"/>
    <w:rsid w:val="032D3FF9"/>
    <w:rsid w:val="0339433A"/>
    <w:rsid w:val="033E2BAF"/>
    <w:rsid w:val="03402E66"/>
    <w:rsid w:val="038E0F73"/>
    <w:rsid w:val="039F032D"/>
    <w:rsid w:val="03AB378E"/>
    <w:rsid w:val="03AF3948"/>
    <w:rsid w:val="03B45984"/>
    <w:rsid w:val="03C649D4"/>
    <w:rsid w:val="03FC4045"/>
    <w:rsid w:val="04014DCD"/>
    <w:rsid w:val="040E4A50"/>
    <w:rsid w:val="041E361D"/>
    <w:rsid w:val="042C2C6A"/>
    <w:rsid w:val="0449681A"/>
    <w:rsid w:val="04775F37"/>
    <w:rsid w:val="047C014D"/>
    <w:rsid w:val="048A3D84"/>
    <w:rsid w:val="04AC0125"/>
    <w:rsid w:val="04BA6E6D"/>
    <w:rsid w:val="04D33976"/>
    <w:rsid w:val="04D47DC9"/>
    <w:rsid w:val="04D52C2D"/>
    <w:rsid w:val="04DA4AF1"/>
    <w:rsid w:val="04FA578C"/>
    <w:rsid w:val="052A3D23"/>
    <w:rsid w:val="053239E3"/>
    <w:rsid w:val="05616669"/>
    <w:rsid w:val="057C22D3"/>
    <w:rsid w:val="05A715DD"/>
    <w:rsid w:val="05BC0B24"/>
    <w:rsid w:val="060A5F89"/>
    <w:rsid w:val="061A7A98"/>
    <w:rsid w:val="0620542E"/>
    <w:rsid w:val="06384696"/>
    <w:rsid w:val="063A3637"/>
    <w:rsid w:val="064B38A1"/>
    <w:rsid w:val="066905C9"/>
    <w:rsid w:val="06AB317A"/>
    <w:rsid w:val="06BA2B32"/>
    <w:rsid w:val="06BA4286"/>
    <w:rsid w:val="06C11063"/>
    <w:rsid w:val="06C349BD"/>
    <w:rsid w:val="06CC4E15"/>
    <w:rsid w:val="06DC2025"/>
    <w:rsid w:val="06E012DF"/>
    <w:rsid w:val="073667E6"/>
    <w:rsid w:val="07394D11"/>
    <w:rsid w:val="07505522"/>
    <w:rsid w:val="076B0225"/>
    <w:rsid w:val="077E5CAD"/>
    <w:rsid w:val="0784762D"/>
    <w:rsid w:val="07861477"/>
    <w:rsid w:val="079330B3"/>
    <w:rsid w:val="07A76E16"/>
    <w:rsid w:val="07DC0760"/>
    <w:rsid w:val="080C742C"/>
    <w:rsid w:val="08154B64"/>
    <w:rsid w:val="08171A22"/>
    <w:rsid w:val="08194BAC"/>
    <w:rsid w:val="082736B2"/>
    <w:rsid w:val="08375EDB"/>
    <w:rsid w:val="083E22AA"/>
    <w:rsid w:val="08512766"/>
    <w:rsid w:val="085B7157"/>
    <w:rsid w:val="086062AC"/>
    <w:rsid w:val="08B733F9"/>
    <w:rsid w:val="08D21E73"/>
    <w:rsid w:val="08D32286"/>
    <w:rsid w:val="08D84B34"/>
    <w:rsid w:val="09067CB9"/>
    <w:rsid w:val="09102AAF"/>
    <w:rsid w:val="09571FB0"/>
    <w:rsid w:val="095B2DAA"/>
    <w:rsid w:val="096B4234"/>
    <w:rsid w:val="099931C6"/>
    <w:rsid w:val="099D7082"/>
    <w:rsid w:val="09A90C5B"/>
    <w:rsid w:val="09AD03A9"/>
    <w:rsid w:val="09E32263"/>
    <w:rsid w:val="09FD66D9"/>
    <w:rsid w:val="0A122986"/>
    <w:rsid w:val="0A2E2CE3"/>
    <w:rsid w:val="0A5F7E36"/>
    <w:rsid w:val="0AC311E0"/>
    <w:rsid w:val="0AC75724"/>
    <w:rsid w:val="0AD37FA3"/>
    <w:rsid w:val="0B123CFC"/>
    <w:rsid w:val="0B366628"/>
    <w:rsid w:val="0B374A54"/>
    <w:rsid w:val="0B68215D"/>
    <w:rsid w:val="0B6F0AEF"/>
    <w:rsid w:val="0B826FFE"/>
    <w:rsid w:val="0B8A5A8E"/>
    <w:rsid w:val="0C1100FF"/>
    <w:rsid w:val="0C5A1D8A"/>
    <w:rsid w:val="0C5D5A5C"/>
    <w:rsid w:val="0C9C003E"/>
    <w:rsid w:val="0CC322D5"/>
    <w:rsid w:val="0CE10673"/>
    <w:rsid w:val="0CE20AE9"/>
    <w:rsid w:val="0CFA569D"/>
    <w:rsid w:val="0CFF3E81"/>
    <w:rsid w:val="0D0E44D0"/>
    <w:rsid w:val="0D184B7F"/>
    <w:rsid w:val="0D21123C"/>
    <w:rsid w:val="0D441E2F"/>
    <w:rsid w:val="0D847B6A"/>
    <w:rsid w:val="0D997287"/>
    <w:rsid w:val="0D9C2186"/>
    <w:rsid w:val="0DCC3295"/>
    <w:rsid w:val="0DCF04EF"/>
    <w:rsid w:val="0DF659EE"/>
    <w:rsid w:val="0DFD0FB1"/>
    <w:rsid w:val="0E0A1691"/>
    <w:rsid w:val="0E2E0C89"/>
    <w:rsid w:val="0E643902"/>
    <w:rsid w:val="0E6D28B8"/>
    <w:rsid w:val="0E7840D4"/>
    <w:rsid w:val="0E854481"/>
    <w:rsid w:val="0E894B41"/>
    <w:rsid w:val="0E963B01"/>
    <w:rsid w:val="0EC768D6"/>
    <w:rsid w:val="0F0C5367"/>
    <w:rsid w:val="0F4646F5"/>
    <w:rsid w:val="0F520020"/>
    <w:rsid w:val="0F787D3F"/>
    <w:rsid w:val="0F8108D8"/>
    <w:rsid w:val="0F91415D"/>
    <w:rsid w:val="0F95649C"/>
    <w:rsid w:val="0FB230BD"/>
    <w:rsid w:val="0FC435FA"/>
    <w:rsid w:val="0FCD5AF6"/>
    <w:rsid w:val="100E1475"/>
    <w:rsid w:val="1013697F"/>
    <w:rsid w:val="10332CBF"/>
    <w:rsid w:val="103A670E"/>
    <w:rsid w:val="105502B8"/>
    <w:rsid w:val="105B69AA"/>
    <w:rsid w:val="10654E7F"/>
    <w:rsid w:val="1084194B"/>
    <w:rsid w:val="109729F1"/>
    <w:rsid w:val="10D66437"/>
    <w:rsid w:val="11162AA2"/>
    <w:rsid w:val="11495383"/>
    <w:rsid w:val="11556B40"/>
    <w:rsid w:val="115F7818"/>
    <w:rsid w:val="1167027B"/>
    <w:rsid w:val="11A00CAD"/>
    <w:rsid w:val="11B51DF7"/>
    <w:rsid w:val="11D53137"/>
    <w:rsid w:val="11D96132"/>
    <w:rsid w:val="11E71D64"/>
    <w:rsid w:val="122C45EC"/>
    <w:rsid w:val="12455B8C"/>
    <w:rsid w:val="124D22BB"/>
    <w:rsid w:val="1257696C"/>
    <w:rsid w:val="12656FC3"/>
    <w:rsid w:val="12974820"/>
    <w:rsid w:val="1299771C"/>
    <w:rsid w:val="12C577F4"/>
    <w:rsid w:val="12E1088E"/>
    <w:rsid w:val="12EE1CB2"/>
    <w:rsid w:val="13215200"/>
    <w:rsid w:val="135B3578"/>
    <w:rsid w:val="135E6BD7"/>
    <w:rsid w:val="136462F3"/>
    <w:rsid w:val="13887F0D"/>
    <w:rsid w:val="13A25790"/>
    <w:rsid w:val="13C35BB5"/>
    <w:rsid w:val="13DE0D48"/>
    <w:rsid w:val="13F04CD9"/>
    <w:rsid w:val="140E7208"/>
    <w:rsid w:val="14147A90"/>
    <w:rsid w:val="14200859"/>
    <w:rsid w:val="144B29A7"/>
    <w:rsid w:val="1494635E"/>
    <w:rsid w:val="14C27118"/>
    <w:rsid w:val="14C51E1E"/>
    <w:rsid w:val="14E820B9"/>
    <w:rsid w:val="14F75EB3"/>
    <w:rsid w:val="15086DDB"/>
    <w:rsid w:val="15254337"/>
    <w:rsid w:val="15283D13"/>
    <w:rsid w:val="153E6884"/>
    <w:rsid w:val="154A27CA"/>
    <w:rsid w:val="155567BB"/>
    <w:rsid w:val="15633672"/>
    <w:rsid w:val="1569643B"/>
    <w:rsid w:val="156B7125"/>
    <w:rsid w:val="157446FE"/>
    <w:rsid w:val="15BC0C9D"/>
    <w:rsid w:val="15C56BE4"/>
    <w:rsid w:val="15CF618B"/>
    <w:rsid w:val="16200FEC"/>
    <w:rsid w:val="164C655A"/>
    <w:rsid w:val="16671B36"/>
    <w:rsid w:val="16804ADE"/>
    <w:rsid w:val="16963699"/>
    <w:rsid w:val="16A43EE4"/>
    <w:rsid w:val="16B7195C"/>
    <w:rsid w:val="171D29D5"/>
    <w:rsid w:val="1728317E"/>
    <w:rsid w:val="173A1E3F"/>
    <w:rsid w:val="1783565F"/>
    <w:rsid w:val="179E5654"/>
    <w:rsid w:val="17D65393"/>
    <w:rsid w:val="17F04394"/>
    <w:rsid w:val="17FC1BD7"/>
    <w:rsid w:val="18123796"/>
    <w:rsid w:val="182774ED"/>
    <w:rsid w:val="182B0F33"/>
    <w:rsid w:val="1866511D"/>
    <w:rsid w:val="187A548E"/>
    <w:rsid w:val="187A6677"/>
    <w:rsid w:val="18A77146"/>
    <w:rsid w:val="18AC5CCF"/>
    <w:rsid w:val="18B11CBA"/>
    <w:rsid w:val="18B84A89"/>
    <w:rsid w:val="18D44DF3"/>
    <w:rsid w:val="192118CF"/>
    <w:rsid w:val="197879D7"/>
    <w:rsid w:val="19814196"/>
    <w:rsid w:val="198274FC"/>
    <w:rsid w:val="19BE4C27"/>
    <w:rsid w:val="19C65B8A"/>
    <w:rsid w:val="19C73424"/>
    <w:rsid w:val="19DF3970"/>
    <w:rsid w:val="1A0F1D68"/>
    <w:rsid w:val="1A297D46"/>
    <w:rsid w:val="1A321A0C"/>
    <w:rsid w:val="1A5E3355"/>
    <w:rsid w:val="1B00175D"/>
    <w:rsid w:val="1B077E45"/>
    <w:rsid w:val="1B2231A3"/>
    <w:rsid w:val="1B351711"/>
    <w:rsid w:val="1B363A41"/>
    <w:rsid w:val="1B3C25A5"/>
    <w:rsid w:val="1B441D3C"/>
    <w:rsid w:val="1B6E4793"/>
    <w:rsid w:val="1B9B6306"/>
    <w:rsid w:val="1BB016C6"/>
    <w:rsid w:val="1BBB0EFC"/>
    <w:rsid w:val="1C0B79EA"/>
    <w:rsid w:val="1C18794D"/>
    <w:rsid w:val="1C19633E"/>
    <w:rsid w:val="1C481279"/>
    <w:rsid w:val="1C5E6F22"/>
    <w:rsid w:val="1C80715D"/>
    <w:rsid w:val="1CB03C0C"/>
    <w:rsid w:val="1CB91237"/>
    <w:rsid w:val="1CD65265"/>
    <w:rsid w:val="1CDC4AEE"/>
    <w:rsid w:val="1CE060AD"/>
    <w:rsid w:val="1D081836"/>
    <w:rsid w:val="1D6419AE"/>
    <w:rsid w:val="1D8B4326"/>
    <w:rsid w:val="1DA95F39"/>
    <w:rsid w:val="1DDF28D2"/>
    <w:rsid w:val="1DEF5F38"/>
    <w:rsid w:val="1E000613"/>
    <w:rsid w:val="1E036392"/>
    <w:rsid w:val="1E106799"/>
    <w:rsid w:val="1E18795D"/>
    <w:rsid w:val="1E230160"/>
    <w:rsid w:val="1E3B26C0"/>
    <w:rsid w:val="1E3E299B"/>
    <w:rsid w:val="1E636AD7"/>
    <w:rsid w:val="1E8C4A14"/>
    <w:rsid w:val="1EB40D41"/>
    <w:rsid w:val="1EC8164D"/>
    <w:rsid w:val="1F171B91"/>
    <w:rsid w:val="1F1B52EC"/>
    <w:rsid w:val="1F2925C6"/>
    <w:rsid w:val="1F3A2D89"/>
    <w:rsid w:val="1F545E37"/>
    <w:rsid w:val="1F58451B"/>
    <w:rsid w:val="1F5F4A0F"/>
    <w:rsid w:val="1FA509AD"/>
    <w:rsid w:val="1FBA5FAE"/>
    <w:rsid w:val="1FD97CDF"/>
    <w:rsid w:val="1FED67F2"/>
    <w:rsid w:val="2021187A"/>
    <w:rsid w:val="202E5F5B"/>
    <w:rsid w:val="20737F17"/>
    <w:rsid w:val="20945A0A"/>
    <w:rsid w:val="209C1E22"/>
    <w:rsid w:val="20A07482"/>
    <w:rsid w:val="20A35216"/>
    <w:rsid w:val="20D12B8E"/>
    <w:rsid w:val="20FE60D4"/>
    <w:rsid w:val="20FF7A63"/>
    <w:rsid w:val="21277023"/>
    <w:rsid w:val="21366CC4"/>
    <w:rsid w:val="21427AC3"/>
    <w:rsid w:val="21443357"/>
    <w:rsid w:val="21503B49"/>
    <w:rsid w:val="216442B3"/>
    <w:rsid w:val="216E3B91"/>
    <w:rsid w:val="218200D8"/>
    <w:rsid w:val="21972520"/>
    <w:rsid w:val="21A705CA"/>
    <w:rsid w:val="21A7695A"/>
    <w:rsid w:val="21AD615C"/>
    <w:rsid w:val="21CF1BE3"/>
    <w:rsid w:val="21D31714"/>
    <w:rsid w:val="21D91B1E"/>
    <w:rsid w:val="21EB7F82"/>
    <w:rsid w:val="21FF1AC3"/>
    <w:rsid w:val="22012D0A"/>
    <w:rsid w:val="222F49D8"/>
    <w:rsid w:val="22307A77"/>
    <w:rsid w:val="224A00B2"/>
    <w:rsid w:val="22C92F5A"/>
    <w:rsid w:val="22D1433F"/>
    <w:rsid w:val="22D33069"/>
    <w:rsid w:val="22F26918"/>
    <w:rsid w:val="22F556D6"/>
    <w:rsid w:val="23402B9C"/>
    <w:rsid w:val="234A11EC"/>
    <w:rsid w:val="237406F3"/>
    <w:rsid w:val="23876A25"/>
    <w:rsid w:val="23A00377"/>
    <w:rsid w:val="23C121B6"/>
    <w:rsid w:val="23C819DF"/>
    <w:rsid w:val="23CE61DB"/>
    <w:rsid w:val="23E6576F"/>
    <w:rsid w:val="23E74510"/>
    <w:rsid w:val="24044C79"/>
    <w:rsid w:val="24157B60"/>
    <w:rsid w:val="241B6D45"/>
    <w:rsid w:val="24230056"/>
    <w:rsid w:val="24565C58"/>
    <w:rsid w:val="246C3E39"/>
    <w:rsid w:val="24734D4D"/>
    <w:rsid w:val="248A1000"/>
    <w:rsid w:val="24AD0523"/>
    <w:rsid w:val="24AE7878"/>
    <w:rsid w:val="24C03C5E"/>
    <w:rsid w:val="24E07ECD"/>
    <w:rsid w:val="24EB05D7"/>
    <w:rsid w:val="24ED1981"/>
    <w:rsid w:val="24F84DC3"/>
    <w:rsid w:val="250F7D9A"/>
    <w:rsid w:val="251A35A9"/>
    <w:rsid w:val="251C7410"/>
    <w:rsid w:val="252552C4"/>
    <w:rsid w:val="254A19FA"/>
    <w:rsid w:val="25554D58"/>
    <w:rsid w:val="2564005E"/>
    <w:rsid w:val="257C45B5"/>
    <w:rsid w:val="257C6AFF"/>
    <w:rsid w:val="25A026AC"/>
    <w:rsid w:val="25C347AD"/>
    <w:rsid w:val="25D918CA"/>
    <w:rsid w:val="25F862FB"/>
    <w:rsid w:val="266403F6"/>
    <w:rsid w:val="26687706"/>
    <w:rsid w:val="268B5886"/>
    <w:rsid w:val="26B01F53"/>
    <w:rsid w:val="26E35D43"/>
    <w:rsid w:val="26F51200"/>
    <w:rsid w:val="27103748"/>
    <w:rsid w:val="27157DF5"/>
    <w:rsid w:val="27171D26"/>
    <w:rsid w:val="273477B0"/>
    <w:rsid w:val="27406608"/>
    <w:rsid w:val="274C1F80"/>
    <w:rsid w:val="27861F9A"/>
    <w:rsid w:val="279101D9"/>
    <w:rsid w:val="27997D01"/>
    <w:rsid w:val="27C04BEE"/>
    <w:rsid w:val="27DE2BB4"/>
    <w:rsid w:val="283934BA"/>
    <w:rsid w:val="284A4A9C"/>
    <w:rsid w:val="284C08F5"/>
    <w:rsid w:val="285A5B3C"/>
    <w:rsid w:val="28817456"/>
    <w:rsid w:val="28B26133"/>
    <w:rsid w:val="28CB00C0"/>
    <w:rsid w:val="28E77605"/>
    <w:rsid w:val="28FD6C6D"/>
    <w:rsid w:val="2907125C"/>
    <w:rsid w:val="29073410"/>
    <w:rsid w:val="291C0061"/>
    <w:rsid w:val="29203B56"/>
    <w:rsid w:val="29474116"/>
    <w:rsid w:val="29552AA7"/>
    <w:rsid w:val="29650339"/>
    <w:rsid w:val="297126C2"/>
    <w:rsid w:val="297774AD"/>
    <w:rsid w:val="298D287B"/>
    <w:rsid w:val="299A2D8F"/>
    <w:rsid w:val="299E356E"/>
    <w:rsid w:val="29BB7652"/>
    <w:rsid w:val="29BC7B86"/>
    <w:rsid w:val="29C73D38"/>
    <w:rsid w:val="2A04701F"/>
    <w:rsid w:val="2A267364"/>
    <w:rsid w:val="2A272B33"/>
    <w:rsid w:val="2A52248F"/>
    <w:rsid w:val="2A786924"/>
    <w:rsid w:val="2A922664"/>
    <w:rsid w:val="2A961EEA"/>
    <w:rsid w:val="2AD308E4"/>
    <w:rsid w:val="2ADE1F42"/>
    <w:rsid w:val="2B12230A"/>
    <w:rsid w:val="2B4D6745"/>
    <w:rsid w:val="2B515CD9"/>
    <w:rsid w:val="2B5A0EA5"/>
    <w:rsid w:val="2B686AA4"/>
    <w:rsid w:val="2B6B72C6"/>
    <w:rsid w:val="2B7C75CA"/>
    <w:rsid w:val="2B865FC8"/>
    <w:rsid w:val="2B8B5497"/>
    <w:rsid w:val="2B941779"/>
    <w:rsid w:val="2BAD6965"/>
    <w:rsid w:val="2BD82228"/>
    <w:rsid w:val="2C050B51"/>
    <w:rsid w:val="2C196306"/>
    <w:rsid w:val="2C4D432B"/>
    <w:rsid w:val="2C7E29F1"/>
    <w:rsid w:val="2C8B58C7"/>
    <w:rsid w:val="2C8F4B64"/>
    <w:rsid w:val="2CAB0EF2"/>
    <w:rsid w:val="2CC44066"/>
    <w:rsid w:val="2CEE4A5B"/>
    <w:rsid w:val="2D1977EB"/>
    <w:rsid w:val="2D3616D7"/>
    <w:rsid w:val="2D4C0960"/>
    <w:rsid w:val="2D575BD1"/>
    <w:rsid w:val="2D5B1A08"/>
    <w:rsid w:val="2D8779A6"/>
    <w:rsid w:val="2D9B07F4"/>
    <w:rsid w:val="2DE92380"/>
    <w:rsid w:val="2DF9533F"/>
    <w:rsid w:val="2E080F0E"/>
    <w:rsid w:val="2E415287"/>
    <w:rsid w:val="2E4B1BAE"/>
    <w:rsid w:val="2E4C5B33"/>
    <w:rsid w:val="2E661AE3"/>
    <w:rsid w:val="2E76209A"/>
    <w:rsid w:val="2E7F5818"/>
    <w:rsid w:val="2E907BA9"/>
    <w:rsid w:val="2ED26038"/>
    <w:rsid w:val="2EE61216"/>
    <w:rsid w:val="2EFE1F94"/>
    <w:rsid w:val="2F2B7C04"/>
    <w:rsid w:val="2F5E4C9B"/>
    <w:rsid w:val="2F6F1AD9"/>
    <w:rsid w:val="2F7160BD"/>
    <w:rsid w:val="2F7C522D"/>
    <w:rsid w:val="2FA02A1E"/>
    <w:rsid w:val="2FB23427"/>
    <w:rsid w:val="2FE470AB"/>
    <w:rsid w:val="30182E5C"/>
    <w:rsid w:val="305316AD"/>
    <w:rsid w:val="307C640E"/>
    <w:rsid w:val="30822D41"/>
    <w:rsid w:val="309C5A7A"/>
    <w:rsid w:val="30A741FE"/>
    <w:rsid w:val="30B159BB"/>
    <w:rsid w:val="30C34A0D"/>
    <w:rsid w:val="30C920C5"/>
    <w:rsid w:val="30DD692D"/>
    <w:rsid w:val="30F331C3"/>
    <w:rsid w:val="30F614C4"/>
    <w:rsid w:val="30F919F8"/>
    <w:rsid w:val="31125243"/>
    <w:rsid w:val="31230E8E"/>
    <w:rsid w:val="3126544C"/>
    <w:rsid w:val="31273029"/>
    <w:rsid w:val="313F7201"/>
    <w:rsid w:val="315D7B3A"/>
    <w:rsid w:val="31717419"/>
    <w:rsid w:val="31747513"/>
    <w:rsid w:val="31802FD6"/>
    <w:rsid w:val="31862B46"/>
    <w:rsid w:val="31E1129A"/>
    <w:rsid w:val="320A66A5"/>
    <w:rsid w:val="320B2B91"/>
    <w:rsid w:val="320F680F"/>
    <w:rsid w:val="32262A68"/>
    <w:rsid w:val="324D3F11"/>
    <w:rsid w:val="3260330B"/>
    <w:rsid w:val="3262274A"/>
    <w:rsid w:val="32741CD3"/>
    <w:rsid w:val="32827B35"/>
    <w:rsid w:val="32990C22"/>
    <w:rsid w:val="32C05133"/>
    <w:rsid w:val="32D735AE"/>
    <w:rsid w:val="330465E9"/>
    <w:rsid w:val="335E0EFE"/>
    <w:rsid w:val="33757174"/>
    <w:rsid w:val="337B630F"/>
    <w:rsid w:val="338100A8"/>
    <w:rsid w:val="33A532C6"/>
    <w:rsid w:val="33B1718F"/>
    <w:rsid w:val="33BD1FB1"/>
    <w:rsid w:val="33C17545"/>
    <w:rsid w:val="33D26D1E"/>
    <w:rsid w:val="340B4D69"/>
    <w:rsid w:val="34106BCB"/>
    <w:rsid w:val="341E4DF8"/>
    <w:rsid w:val="342A1E30"/>
    <w:rsid w:val="343161FE"/>
    <w:rsid w:val="34380BB2"/>
    <w:rsid w:val="34EC6F54"/>
    <w:rsid w:val="34F33800"/>
    <w:rsid w:val="34F36598"/>
    <w:rsid w:val="3517662E"/>
    <w:rsid w:val="351A1E37"/>
    <w:rsid w:val="351D66ED"/>
    <w:rsid w:val="35351250"/>
    <w:rsid w:val="35483D82"/>
    <w:rsid w:val="354D2A2C"/>
    <w:rsid w:val="3585641E"/>
    <w:rsid w:val="35A01CE0"/>
    <w:rsid w:val="35A215AD"/>
    <w:rsid w:val="35BA7145"/>
    <w:rsid w:val="35C265D8"/>
    <w:rsid w:val="35E6661E"/>
    <w:rsid w:val="35FE3BB6"/>
    <w:rsid w:val="3618310C"/>
    <w:rsid w:val="36414295"/>
    <w:rsid w:val="3684561A"/>
    <w:rsid w:val="36864F2F"/>
    <w:rsid w:val="3690781C"/>
    <w:rsid w:val="369C3675"/>
    <w:rsid w:val="36B57F23"/>
    <w:rsid w:val="36BD23FE"/>
    <w:rsid w:val="36CF08A9"/>
    <w:rsid w:val="36D27DD5"/>
    <w:rsid w:val="36E02DEF"/>
    <w:rsid w:val="36E20145"/>
    <w:rsid w:val="36E83017"/>
    <w:rsid w:val="36EF76E5"/>
    <w:rsid w:val="36FB70F6"/>
    <w:rsid w:val="36FF2C5A"/>
    <w:rsid w:val="37152E82"/>
    <w:rsid w:val="374119CE"/>
    <w:rsid w:val="37760D00"/>
    <w:rsid w:val="377E370B"/>
    <w:rsid w:val="37803714"/>
    <w:rsid w:val="3789319F"/>
    <w:rsid w:val="37B328A2"/>
    <w:rsid w:val="37B912AE"/>
    <w:rsid w:val="37BE30A5"/>
    <w:rsid w:val="37CF6682"/>
    <w:rsid w:val="38237FAE"/>
    <w:rsid w:val="38273AD4"/>
    <w:rsid w:val="384B0136"/>
    <w:rsid w:val="384F3DF3"/>
    <w:rsid w:val="3872449A"/>
    <w:rsid w:val="387A1A21"/>
    <w:rsid w:val="38875EE3"/>
    <w:rsid w:val="389A5BBC"/>
    <w:rsid w:val="389D7C67"/>
    <w:rsid w:val="38A578C3"/>
    <w:rsid w:val="38BB042D"/>
    <w:rsid w:val="38C97A8A"/>
    <w:rsid w:val="38CC5E86"/>
    <w:rsid w:val="38D8456F"/>
    <w:rsid w:val="38DC11DF"/>
    <w:rsid w:val="38E6066A"/>
    <w:rsid w:val="38F21F9F"/>
    <w:rsid w:val="390F78F5"/>
    <w:rsid w:val="393172D4"/>
    <w:rsid w:val="394A221B"/>
    <w:rsid w:val="3964656E"/>
    <w:rsid w:val="396C237E"/>
    <w:rsid w:val="399818A0"/>
    <w:rsid w:val="399861C5"/>
    <w:rsid w:val="399B0CB6"/>
    <w:rsid w:val="39AC3CDE"/>
    <w:rsid w:val="39D16A2C"/>
    <w:rsid w:val="3A180260"/>
    <w:rsid w:val="3A2C7D5F"/>
    <w:rsid w:val="3A34355F"/>
    <w:rsid w:val="3AB418EE"/>
    <w:rsid w:val="3ABB0FB4"/>
    <w:rsid w:val="3ADC4948"/>
    <w:rsid w:val="3AF35243"/>
    <w:rsid w:val="3B052E64"/>
    <w:rsid w:val="3B58764D"/>
    <w:rsid w:val="3B5A1EC1"/>
    <w:rsid w:val="3B5D456B"/>
    <w:rsid w:val="3B660F09"/>
    <w:rsid w:val="3B772AA4"/>
    <w:rsid w:val="3B7F3C11"/>
    <w:rsid w:val="3B8E70F4"/>
    <w:rsid w:val="3BB07B85"/>
    <w:rsid w:val="3BB73DD5"/>
    <w:rsid w:val="3BFE1EFE"/>
    <w:rsid w:val="3C0E4D3E"/>
    <w:rsid w:val="3C184627"/>
    <w:rsid w:val="3C1E0636"/>
    <w:rsid w:val="3C327B4A"/>
    <w:rsid w:val="3C367779"/>
    <w:rsid w:val="3C5912FE"/>
    <w:rsid w:val="3C896B06"/>
    <w:rsid w:val="3CD25EFB"/>
    <w:rsid w:val="3CD808F5"/>
    <w:rsid w:val="3CE41672"/>
    <w:rsid w:val="3CE5086F"/>
    <w:rsid w:val="3CE71B9F"/>
    <w:rsid w:val="3CFA27A5"/>
    <w:rsid w:val="3D342BA1"/>
    <w:rsid w:val="3D490768"/>
    <w:rsid w:val="3D64796E"/>
    <w:rsid w:val="3D7151CB"/>
    <w:rsid w:val="3D8628AB"/>
    <w:rsid w:val="3DA678D6"/>
    <w:rsid w:val="3DB464DD"/>
    <w:rsid w:val="3DC37A0F"/>
    <w:rsid w:val="3DE642F9"/>
    <w:rsid w:val="3DE6670B"/>
    <w:rsid w:val="3DF03A55"/>
    <w:rsid w:val="3DF138BA"/>
    <w:rsid w:val="3E1901D2"/>
    <w:rsid w:val="3E2D6D77"/>
    <w:rsid w:val="3E383BBC"/>
    <w:rsid w:val="3E3E3679"/>
    <w:rsid w:val="3E624405"/>
    <w:rsid w:val="3E7B471E"/>
    <w:rsid w:val="3EA414F9"/>
    <w:rsid w:val="3EA71B03"/>
    <w:rsid w:val="3EBA1007"/>
    <w:rsid w:val="3EC25B56"/>
    <w:rsid w:val="3EEA6B4F"/>
    <w:rsid w:val="3EFF7F20"/>
    <w:rsid w:val="3F04749D"/>
    <w:rsid w:val="3F235240"/>
    <w:rsid w:val="3F2E076C"/>
    <w:rsid w:val="3F450A8D"/>
    <w:rsid w:val="3F5A6204"/>
    <w:rsid w:val="3F6A148C"/>
    <w:rsid w:val="3F76594B"/>
    <w:rsid w:val="3F887EE1"/>
    <w:rsid w:val="3FA47F22"/>
    <w:rsid w:val="3FBB3EA7"/>
    <w:rsid w:val="3FDE4D21"/>
    <w:rsid w:val="3FED1A8F"/>
    <w:rsid w:val="3FF62E70"/>
    <w:rsid w:val="400405F5"/>
    <w:rsid w:val="400A1F57"/>
    <w:rsid w:val="40356978"/>
    <w:rsid w:val="403A617F"/>
    <w:rsid w:val="4045663F"/>
    <w:rsid w:val="405F7C79"/>
    <w:rsid w:val="406A0BA8"/>
    <w:rsid w:val="407C463B"/>
    <w:rsid w:val="40831AF8"/>
    <w:rsid w:val="409071DB"/>
    <w:rsid w:val="40945E9C"/>
    <w:rsid w:val="40D97792"/>
    <w:rsid w:val="411C3143"/>
    <w:rsid w:val="4172183C"/>
    <w:rsid w:val="41973826"/>
    <w:rsid w:val="419B050B"/>
    <w:rsid w:val="41A05323"/>
    <w:rsid w:val="41C3650C"/>
    <w:rsid w:val="41CA0441"/>
    <w:rsid w:val="4207416E"/>
    <w:rsid w:val="421050DD"/>
    <w:rsid w:val="42262A8A"/>
    <w:rsid w:val="424D45D8"/>
    <w:rsid w:val="42582170"/>
    <w:rsid w:val="425B39A6"/>
    <w:rsid w:val="428A4031"/>
    <w:rsid w:val="42A02CD9"/>
    <w:rsid w:val="42D53EF1"/>
    <w:rsid w:val="42D74AAC"/>
    <w:rsid w:val="42DC731D"/>
    <w:rsid w:val="42DE6F13"/>
    <w:rsid w:val="42E372F7"/>
    <w:rsid w:val="42FF6FE9"/>
    <w:rsid w:val="43076410"/>
    <w:rsid w:val="431C0F4F"/>
    <w:rsid w:val="431D1F89"/>
    <w:rsid w:val="43285700"/>
    <w:rsid w:val="43590727"/>
    <w:rsid w:val="435D0C92"/>
    <w:rsid w:val="438F661B"/>
    <w:rsid w:val="43A5273F"/>
    <w:rsid w:val="43AA1E2D"/>
    <w:rsid w:val="43C45544"/>
    <w:rsid w:val="43CE6D5A"/>
    <w:rsid w:val="44032B09"/>
    <w:rsid w:val="44230F0E"/>
    <w:rsid w:val="442E38E7"/>
    <w:rsid w:val="443F0BCF"/>
    <w:rsid w:val="44520DB8"/>
    <w:rsid w:val="445440EE"/>
    <w:rsid w:val="448871A9"/>
    <w:rsid w:val="44C25C2A"/>
    <w:rsid w:val="44D537DF"/>
    <w:rsid w:val="44E80C83"/>
    <w:rsid w:val="45137060"/>
    <w:rsid w:val="452E2002"/>
    <w:rsid w:val="458A34FF"/>
    <w:rsid w:val="45AE40FC"/>
    <w:rsid w:val="45B84615"/>
    <w:rsid w:val="45BC2DDC"/>
    <w:rsid w:val="45C05905"/>
    <w:rsid w:val="45E3323F"/>
    <w:rsid w:val="45E62BC1"/>
    <w:rsid w:val="46126B62"/>
    <w:rsid w:val="46452171"/>
    <w:rsid w:val="4683059B"/>
    <w:rsid w:val="468D34C4"/>
    <w:rsid w:val="469411BC"/>
    <w:rsid w:val="46AB6B69"/>
    <w:rsid w:val="46B070DF"/>
    <w:rsid w:val="46BE55EB"/>
    <w:rsid w:val="46C058E2"/>
    <w:rsid w:val="46C82208"/>
    <w:rsid w:val="47194628"/>
    <w:rsid w:val="473C79AE"/>
    <w:rsid w:val="477B3F0D"/>
    <w:rsid w:val="477C3B69"/>
    <w:rsid w:val="47B46E39"/>
    <w:rsid w:val="47C961A1"/>
    <w:rsid w:val="47D3500A"/>
    <w:rsid w:val="47DD3731"/>
    <w:rsid w:val="47E32E09"/>
    <w:rsid w:val="47F35481"/>
    <w:rsid w:val="48151D77"/>
    <w:rsid w:val="48407664"/>
    <w:rsid w:val="485D105F"/>
    <w:rsid w:val="489666D7"/>
    <w:rsid w:val="489F04CD"/>
    <w:rsid w:val="48A60C4B"/>
    <w:rsid w:val="48B65251"/>
    <w:rsid w:val="48CA768B"/>
    <w:rsid w:val="48DA16F5"/>
    <w:rsid w:val="48E41817"/>
    <w:rsid w:val="48E46FBE"/>
    <w:rsid w:val="48F80295"/>
    <w:rsid w:val="49204305"/>
    <w:rsid w:val="49272966"/>
    <w:rsid w:val="49377D0A"/>
    <w:rsid w:val="49407FF8"/>
    <w:rsid w:val="494F5A12"/>
    <w:rsid w:val="49803E37"/>
    <w:rsid w:val="49B04D70"/>
    <w:rsid w:val="49C25346"/>
    <w:rsid w:val="49C263F7"/>
    <w:rsid w:val="49D91C0A"/>
    <w:rsid w:val="49F2731A"/>
    <w:rsid w:val="4A13794F"/>
    <w:rsid w:val="4A2747AB"/>
    <w:rsid w:val="4A2D0F77"/>
    <w:rsid w:val="4A4A0765"/>
    <w:rsid w:val="4A5D4BFD"/>
    <w:rsid w:val="4A9F6598"/>
    <w:rsid w:val="4AF07569"/>
    <w:rsid w:val="4B4B0161"/>
    <w:rsid w:val="4B4E4C70"/>
    <w:rsid w:val="4B5F56F3"/>
    <w:rsid w:val="4B686DB6"/>
    <w:rsid w:val="4B6D0DE0"/>
    <w:rsid w:val="4B700B12"/>
    <w:rsid w:val="4B8771CF"/>
    <w:rsid w:val="4BCC4C08"/>
    <w:rsid w:val="4C20618D"/>
    <w:rsid w:val="4C2A77F3"/>
    <w:rsid w:val="4C2A7C4B"/>
    <w:rsid w:val="4C347753"/>
    <w:rsid w:val="4C46711D"/>
    <w:rsid w:val="4C79383D"/>
    <w:rsid w:val="4CC92AE4"/>
    <w:rsid w:val="4CDC0516"/>
    <w:rsid w:val="4CE46471"/>
    <w:rsid w:val="4CF01727"/>
    <w:rsid w:val="4CF661EA"/>
    <w:rsid w:val="4D102C51"/>
    <w:rsid w:val="4D1F423B"/>
    <w:rsid w:val="4D3030ED"/>
    <w:rsid w:val="4D547BE4"/>
    <w:rsid w:val="4D6C53E6"/>
    <w:rsid w:val="4D6D7C52"/>
    <w:rsid w:val="4D757BB8"/>
    <w:rsid w:val="4D8964C4"/>
    <w:rsid w:val="4D9A08AD"/>
    <w:rsid w:val="4DBE5B95"/>
    <w:rsid w:val="4DDA1A9E"/>
    <w:rsid w:val="4DEA1E12"/>
    <w:rsid w:val="4E1458CD"/>
    <w:rsid w:val="4E3137BB"/>
    <w:rsid w:val="4E4313BF"/>
    <w:rsid w:val="4E461586"/>
    <w:rsid w:val="4E4F3C9E"/>
    <w:rsid w:val="4E5E1004"/>
    <w:rsid w:val="4E62099C"/>
    <w:rsid w:val="4E657460"/>
    <w:rsid w:val="4E7702E7"/>
    <w:rsid w:val="4E966494"/>
    <w:rsid w:val="4E990A4D"/>
    <w:rsid w:val="4EBA772D"/>
    <w:rsid w:val="4EE12B67"/>
    <w:rsid w:val="4EEF6A8D"/>
    <w:rsid w:val="4F02323C"/>
    <w:rsid w:val="4F16570E"/>
    <w:rsid w:val="4F48270A"/>
    <w:rsid w:val="4FA94AFA"/>
    <w:rsid w:val="4FD012A5"/>
    <w:rsid w:val="4FD2616A"/>
    <w:rsid w:val="4FDA0EF6"/>
    <w:rsid w:val="500347BC"/>
    <w:rsid w:val="501A115E"/>
    <w:rsid w:val="50212524"/>
    <w:rsid w:val="50326236"/>
    <w:rsid w:val="5039034B"/>
    <w:rsid w:val="5039566B"/>
    <w:rsid w:val="506A7E61"/>
    <w:rsid w:val="50725E2A"/>
    <w:rsid w:val="507745BE"/>
    <w:rsid w:val="507A2CD6"/>
    <w:rsid w:val="50A64F04"/>
    <w:rsid w:val="50CA1C83"/>
    <w:rsid w:val="50E800A1"/>
    <w:rsid w:val="51036517"/>
    <w:rsid w:val="510939E5"/>
    <w:rsid w:val="51161032"/>
    <w:rsid w:val="51732DAA"/>
    <w:rsid w:val="517F3FF4"/>
    <w:rsid w:val="51A17D0C"/>
    <w:rsid w:val="51C13841"/>
    <w:rsid w:val="51CC524E"/>
    <w:rsid w:val="520904F8"/>
    <w:rsid w:val="52132348"/>
    <w:rsid w:val="52157C1D"/>
    <w:rsid w:val="522250E8"/>
    <w:rsid w:val="5236515A"/>
    <w:rsid w:val="527F17CC"/>
    <w:rsid w:val="528D2E5D"/>
    <w:rsid w:val="528E541F"/>
    <w:rsid w:val="528F2B82"/>
    <w:rsid w:val="52B807C9"/>
    <w:rsid w:val="52C76449"/>
    <w:rsid w:val="52E36B91"/>
    <w:rsid w:val="52E63D00"/>
    <w:rsid w:val="532044A2"/>
    <w:rsid w:val="53522E64"/>
    <w:rsid w:val="535D7C86"/>
    <w:rsid w:val="538413B9"/>
    <w:rsid w:val="53BA2BB3"/>
    <w:rsid w:val="53DD52CB"/>
    <w:rsid w:val="53E42764"/>
    <w:rsid w:val="53EC38F6"/>
    <w:rsid w:val="540E50C9"/>
    <w:rsid w:val="540F4777"/>
    <w:rsid w:val="541A70CD"/>
    <w:rsid w:val="542C6C5F"/>
    <w:rsid w:val="54310385"/>
    <w:rsid w:val="54640A02"/>
    <w:rsid w:val="54776373"/>
    <w:rsid w:val="54836E7D"/>
    <w:rsid w:val="549B24AB"/>
    <w:rsid w:val="54ED753F"/>
    <w:rsid w:val="54EE0116"/>
    <w:rsid w:val="5521709E"/>
    <w:rsid w:val="553C304F"/>
    <w:rsid w:val="554A41EB"/>
    <w:rsid w:val="555D5531"/>
    <w:rsid w:val="55627B95"/>
    <w:rsid w:val="557D0557"/>
    <w:rsid w:val="5584405D"/>
    <w:rsid w:val="55846CE4"/>
    <w:rsid w:val="55A5379E"/>
    <w:rsid w:val="55BA3DED"/>
    <w:rsid w:val="55C85FB2"/>
    <w:rsid w:val="55E4009A"/>
    <w:rsid w:val="55ED7747"/>
    <w:rsid w:val="560132A1"/>
    <w:rsid w:val="561639A7"/>
    <w:rsid w:val="5650745C"/>
    <w:rsid w:val="56554FCE"/>
    <w:rsid w:val="567B2CB6"/>
    <w:rsid w:val="56845239"/>
    <w:rsid w:val="5696554C"/>
    <w:rsid w:val="56A97B60"/>
    <w:rsid w:val="56BB2A1A"/>
    <w:rsid w:val="56D829CB"/>
    <w:rsid w:val="56E91FCD"/>
    <w:rsid w:val="56F90625"/>
    <w:rsid w:val="56FD0341"/>
    <w:rsid w:val="572A761E"/>
    <w:rsid w:val="573E4275"/>
    <w:rsid w:val="57566BC3"/>
    <w:rsid w:val="5757783C"/>
    <w:rsid w:val="578C0CEE"/>
    <w:rsid w:val="578C18B3"/>
    <w:rsid w:val="57A47673"/>
    <w:rsid w:val="57AF50CB"/>
    <w:rsid w:val="57C91707"/>
    <w:rsid w:val="57C94A23"/>
    <w:rsid w:val="57EB153F"/>
    <w:rsid w:val="57F0674B"/>
    <w:rsid w:val="5831715C"/>
    <w:rsid w:val="58933DC0"/>
    <w:rsid w:val="589F0003"/>
    <w:rsid w:val="58CC604D"/>
    <w:rsid w:val="58DE4E8F"/>
    <w:rsid w:val="58F629FB"/>
    <w:rsid w:val="59190473"/>
    <w:rsid w:val="592236A4"/>
    <w:rsid w:val="59262C32"/>
    <w:rsid w:val="593D667C"/>
    <w:rsid w:val="595E4E26"/>
    <w:rsid w:val="59624C48"/>
    <w:rsid w:val="598475A0"/>
    <w:rsid w:val="59A47820"/>
    <w:rsid w:val="59B4129B"/>
    <w:rsid w:val="59CB367A"/>
    <w:rsid w:val="59E8676E"/>
    <w:rsid w:val="5A177749"/>
    <w:rsid w:val="5A315D83"/>
    <w:rsid w:val="5A4408AE"/>
    <w:rsid w:val="5A575D59"/>
    <w:rsid w:val="5A69708C"/>
    <w:rsid w:val="5AA30C2A"/>
    <w:rsid w:val="5ACA6D12"/>
    <w:rsid w:val="5AD60AF1"/>
    <w:rsid w:val="5AE4111E"/>
    <w:rsid w:val="5B025329"/>
    <w:rsid w:val="5B207F4D"/>
    <w:rsid w:val="5B376224"/>
    <w:rsid w:val="5B4D2B71"/>
    <w:rsid w:val="5B5C1115"/>
    <w:rsid w:val="5B5F7B97"/>
    <w:rsid w:val="5B6F0D94"/>
    <w:rsid w:val="5B926D8C"/>
    <w:rsid w:val="5B9E3F9A"/>
    <w:rsid w:val="5BCA6955"/>
    <w:rsid w:val="5C254354"/>
    <w:rsid w:val="5C2A1146"/>
    <w:rsid w:val="5C350431"/>
    <w:rsid w:val="5C3C38E2"/>
    <w:rsid w:val="5C5560BA"/>
    <w:rsid w:val="5CAA1107"/>
    <w:rsid w:val="5CBB57E4"/>
    <w:rsid w:val="5CBF5857"/>
    <w:rsid w:val="5CC91DAC"/>
    <w:rsid w:val="5CD00077"/>
    <w:rsid w:val="5CE85A19"/>
    <w:rsid w:val="5CF66F51"/>
    <w:rsid w:val="5D4E1EF6"/>
    <w:rsid w:val="5D6204C1"/>
    <w:rsid w:val="5DA63A55"/>
    <w:rsid w:val="5DE315F7"/>
    <w:rsid w:val="5DF65929"/>
    <w:rsid w:val="5E385D79"/>
    <w:rsid w:val="5E394EDC"/>
    <w:rsid w:val="5E442C7F"/>
    <w:rsid w:val="5E5C265F"/>
    <w:rsid w:val="5E8B34D5"/>
    <w:rsid w:val="5EB860B9"/>
    <w:rsid w:val="5EE71AF0"/>
    <w:rsid w:val="5F036845"/>
    <w:rsid w:val="5F093C25"/>
    <w:rsid w:val="5F161D07"/>
    <w:rsid w:val="5F1E4000"/>
    <w:rsid w:val="5F401CAC"/>
    <w:rsid w:val="5F4D7F63"/>
    <w:rsid w:val="5F590432"/>
    <w:rsid w:val="5F63697A"/>
    <w:rsid w:val="5F6C163E"/>
    <w:rsid w:val="5F731606"/>
    <w:rsid w:val="5FBC0609"/>
    <w:rsid w:val="5FC33F9A"/>
    <w:rsid w:val="5FD05DF1"/>
    <w:rsid w:val="5FEE0554"/>
    <w:rsid w:val="6006158E"/>
    <w:rsid w:val="600D3B33"/>
    <w:rsid w:val="6018127F"/>
    <w:rsid w:val="60C31A39"/>
    <w:rsid w:val="60DC5C1D"/>
    <w:rsid w:val="60E04540"/>
    <w:rsid w:val="61111FB3"/>
    <w:rsid w:val="61180B81"/>
    <w:rsid w:val="612325B5"/>
    <w:rsid w:val="61571696"/>
    <w:rsid w:val="6159451E"/>
    <w:rsid w:val="61733B31"/>
    <w:rsid w:val="6178508F"/>
    <w:rsid w:val="618D0B5E"/>
    <w:rsid w:val="61B320C7"/>
    <w:rsid w:val="61DC0E68"/>
    <w:rsid w:val="61F4337C"/>
    <w:rsid w:val="61FD312E"/>
    <w:rsid w:val="62204D72"/>
    <w:rsid w:val="62444F67"/>
    <w:rsid w:val="627464A3"/>
    <w:rsid w:val="62A34C14"/>
    <w:rsid w:val="62E225BB"/>
    <w:rsid w:val="62F3344D"/>
    <w:rsid w:val="63116524"/>
    <w:rsid w:val="63445FE5"/>
    <w:rsid w:val="634B193A"/>
    <w:rsid w:val="63516D89"/>
    <w:rsid w:val="6368072A"/>
    <w:rsid w:val="636F502E"/>
    <w:rsid w:val="63701C3D"/>
    <w:rsid w:val="63AB062A"/>
    <w:rsid w:val="64462101"/>
    <w:rsid w:val="64680E1C"/>
    <w:rsid w:val="6485041F"/>
    <w:rsid w:val="64863DD2"/>
    <w:rsid w:val="648C220A"/>
    <w:rsid w:val="64907887"/>
    <w:rsid w:val="649B3BAB"/>
    <w:rsid w:val="64D36C90"/>
    <w:rsid w:val="64D771FD"/>
    <w:rsid w:val="64E80BCA"/>
    <w:rsid w:val="653E60AC"/>
    <w:rsid w:val="654E4A58"/>
    <w:rsid w:val="657F3E78"/>
    <w:rsid w:val="659205DF"/>
    <w:rsid w:val="65943D4A"/>
    <w:rsid w:val="65A2490A"/>
    <w:rsid w:val="65AD6A7A"/>
    <w:rsid w:val="65B13801"/>
    <w:rsid w:val="65B82F36"/>
    <w:rsid w:val="65C914E8"/>
    <w:rsid w:val="65CE6F45"/>
    <w:rsid w:val="65D972CB"/>
    <w:rsid w:val="65FC6F1B"/>
    <w:rsid w:val="65FF2A8F"/>
    <w:rsid w:val="660A33EF"/>
    <w:rsid w:val="660E7935"/>
    <w:rsid w:val="66124EC4"/>
    <w:rsid w:val="662F5543"/>
    <w:rsid w:val="663D139A"/>
    <w:rsid w:val="66624235"/>
    <w:rsid w:val="666A2790"/>
    <w:rsid w:val="66AE0768"/>
    <w:rsid w:val="66BE7739"/>
    <w:rsid w:val="66E22C41"/>
    <w:rsid w:val="66EC7269"/>
    <w:rsid w:val="67322666"/>
    <w:rsid w:val="673C0148"/>
    <w:rsid w:val="67596F5B"/>
    <w:rsid w:val="676901D8"/>
    <w:rsid w:val="67B76A25"/>
    <w:rsid w:val="67BA345F"/>
    <w:rsid w:val="67CE0469"/>
    <w:rsid w:val="67D10C92"/>
    <w:rsid w:val="683D76FE"/>
    <w:rsid w:val="684C5AC4"/>
    <w:rsid w:val="685B1413"/>
    <w:rsid w:val="686D3C6A"/>
    <w:rsid w:val="68A55BE9"/>
    <w:rsid w:val="68B64A8A"/>
    <w:rsid w:val="68E925F7"/>
    <w:rsid w:val="68EB6F9A"/>
    <w:rsid w:val="691943D7"/>
    <w:rsid w:val="69230C63"/>
    <w:rsid w:val="69BC29AE"/>
    <w:rsid w:val="69DE67AF"/>
    <w:rsid w:val="69E91EAC"/>
    <w:rsid w:val="69ED3163"/>
    <w:rsid w:val="69F10456"/>
    <w:rsid w:val="6A097B00"/>
    <w:rsid w:val="6A0F5A17"/>
    <w:rsid w:val="6A42131C"/>
    <w:rsid w:val="6A6973ED"/>
    <w:rsid w:val="6A6C285E"/>
    <w:rsid w:val="6A94658A"/>
    <w:rsid w:val="6AAF52FF"/>
    <w:rsid w:val="6ACD2764"/>
    <w:rsid w:val="6AF27F7D"/>
    <w:rsid w:val="6B046AE7"/>
    <w:rsid w:val="6B5B42B9"/>
    <w:rsid w:val="6B5E7CCA"/>
    <w:rsid w:val="6B9241CA"/>
    <w:rsid w:val="6BA71C46"/>
    <w:rsid w:val="6BB34C8F"/>
    <w:rsid w:val="6BBC1328"/>
    <w:rsid w:val="6BEF16FA"/>
    <w:rsid w:val="6BEF757A"/>
    <w:rsid w:val="6C596448"/>
    <w:rsid w:val="6C674CCF"/>
    <w:rsid w:val="6C6E142F"/>
    <w:rsid w:val="6C7F2CB5"/>
    <w:rsid w:val="6CAD26B9"/>
    <w:rsid w:val="6CAD345E"/>
    <w:rsid w:val="6CBD0AD9"/>
    <w:rsid w:val="6CCF62A8"/>
    <w:rsid w:val="6CED3DC7"/>
    <w:rsid w:val="6CEE059C"/>
    <w:rsid w:val="6CF32043"/>
    <w:rsid w:val="6D0815AF"/>
    <w:rsid w:val="6D4C299A"/>
    <w:rsid w:val="6D4F40BC"/>
    <w:rsid w:val="6D5920F6"/>
    <w:rsid w:val="6D873B2B"/>
    <w:rsid w:val="6DA0504A"/>
    <w:rsid w:val="6DC44712"/>
    <w:rsid w:val="6DCA1022"/>
    <w:rsid w:val="6DEA6F18"/>
    <w:rsid w:val="6E071CF6"/>
    <w:rsid w:val="6E3E217C"/>
    <w:rsid w:val="6E522EAC"/>
    <w:rsid w:val="6E681226"/>
    <w:rsid w:val="6E694059"/>
    <w:rsid w:val="6E7D1E5A"/>
    <w:rsid w:val="6E9757AA"/>
    <w:rsid w:val="6EB101CE"/>
    <w:rsid w:val="6EBA4AF9"/>
    <w:rsid w:val="6ED23AB4"/>
    <w:rsid w:val="6F0E78FC"/>
    <w:rsid w:val="6F432FC9"/>
    <w:rsid w:val="6F4D5FDB"/>
    <w:rsid w:val="6F717B28"/>
    <w:rsid w:val="6F847FBF"/>
    <w:rsid w:val="6FC36CFC"/>
    <w:rsid w:val="6FCA62DC"/>
    <w:rsid w:val="6FDC1708"/>
    <w:rsid w:val="6FE70C83"/>
    <w:rsid w:val="708157FA"/>
    <w:rsid w:val="70876CF3"/>
    <w:rsid w:val="70CD7476"/>
    <w:rsid w:val="70D51695"/>
    <w:rsid w:val="70DB7734"/>
    <w:rsid w:val="70DE7110"/>
    <w:rsid w:val="70E050CC"/>
    <w:rsid w:val="70EC460A"/>
    <w:rsid w:val="710E59B9"/>
    <w:rsid w:val="711F5743"/>
    <w:rsid w:val="71515BBE"/>
    <w:rsid w:val="715B780A"/>
    <w:rsid w:val="716050DA"/>
    <w:rsid w:val="71652B16"/>
    <w:rsid w:val="717038A6"/>
    <w:rsid w:val="71C17C9F"/>
    <w:rsid w:val="71CF0B1C"/>
    <w:rsid w:val="71EA7486"/>
    <w:rsid w:val="71F35B26"/>
    <w:rsid w:val="723900B8"/>
    <w:rsid w:val="7245227B"/>
    <w:rsid w:val="72596D6C"/>
    <w:rsid w:val="72616204"/>
    <w:rsid w:val="72686F56"/>
    <w:rsid w:val="726F644B"/>
    <w:rsid w:val="728F0AFA"/>
    <w:rsid w:val="72906861"/>
    <w:rsid w:val="729932A5"/>
    <w:rsid w:val="72B93796"/>
    <w:rsid w:val="72BD63E8"/>
    <w:rsid w:val="72FA441E"/>
    <w:rsid w:val="7307156D"/>
    <w:rsid w:val="73492E8E"/>
    <w:rsid w:val="73640B92"/>
    <w:rsid w:val="73723FC0"/>
    <w:rsid w:val="73741789"/>
    <w:rsid w:val="73B93913"/>
    <w:rsid w:val="73D350DC"/>
    <w:rsid w:val="73D46B63"/>
    <w:rsid w:val="73D52B08"/>
    <w:rsid w:val="73D95D65"/>
    <w:rsid w:val="73E21E46"/>
    <w:rsid w:val="74105811"/>
    <w:rsid w:val="7422666A"/>
    <w:rsid w:val="744107BA"/>
    <w:rsid w:val="744C46A9"/>
    <w:rsid w:val="749C0915"/>
    <w:rsid w:val="74A05B15"/>
    <w:rsid w:val="74B073F5"/>
    <w:rsid w:val="74C51DA8"/>
    <w:rsid w:val="74F052AE"/>
    <w:rsid w:val="751D4616"/>
    <w:rsid w:val="751F5330"/>
    <w:rsid w:val="75200E69"/>
    <w:rsid w:val="75250EFA"/>
    <w:rsid w:val="7539394B"/>
    <w:rsid w:val="754C033E"/>
    <w:rsid w:val="75585312"/>
    <w:rsid w:val="757B1A3B"/>
    <w:rsid w:val="75850DA5"/>
    <w:rsid w:val="758F013C"/>
    <w:rsid w:val="75E718B3"/>
    <w:rsid w:val="76126EB3"/>
    <w:rsid w:val="766D13C5"/>
    <w:rsid w:val="76712EE0"/>
    <w:rsid w:val="76751162"/>
    <w:rsid w:val="767D3C8B"/>
    <w:rsid w:val="76B206C5"/>
    <w:rsid w:val="76B83AB1"/>
    <w:rsid w:val="76C721C4"/>
    <w:rsid w:val="76D551F9"/>
    <w:rsid w:val="76E94FCC"/>
    <w:rsid w:val="770411E8"/>
    <w:rsid w:val="775213F9"/>
    <w:rsid w:val="775C6389"/>
    <w:rsid w:val="7774501D"/>
    <w:rsid w:val="7781291A"/>
    <w:rsid w:val="778362E7"/>
    <w:rsid w:val="77AB30B6"/>
    <w:rsid w:val="77AC1AF3"/>
    <w:rsid w:val="77C9525B"/>
    <w:rsid w:val="77D50490"/>
    <w:rsid w:val="77D62EB7"/>
    <w:rsid w:val="78246938"/>
    <w:rsid w:val="78373EF1"/>
    <w:rsid w:val="78386FBB"/>
    <w:rsid w:val="786D4638"/>
    <w:rsid w:val="787225AD"/>
    <w:rsid w:val="78952D3D"/>
    <w:rsid w:val="78984A6E"/>
    <w:rsid w:val="789C5241"/>
    <w:rsid w:val="78B93B9A"/>
    <w:rsid w:val="78B96177"/>
    <w:rsid w:val="78BC728C"/>
    <w:rsid w:val="78DA2C10"/>
    <w:rsid w:val="78DD0D73"/>
    <w:rsid w:val="78F02681"/>
    <w:rsid w:val="78FA586F"/>
    <w:rsid w:val="790416F5"/>
    <w:rsid w:val="793D20BF"/>
    <w:rsid w:val="794B223C"/>
    <w:rsid w:val="795006E6"/>
    <w:rsid w:val="796B7EAA"/>
    <w:rsid w:val="798A03AE"/>
    <w:rsid w:val="79B801A4"/>
    <w:rsid w:val="79BD12D1"/>
    <w:rsid w:val="79E87166"/>
    <w:rsid w:val="79F5465B"/>
    <w:rsid w:val="79F81452"/>
    <w:rsid w:val="79FD2871"/>
    <w:rsid w:val="7A184DF0"/>
    <w:rsid w:val="7A18629C"/>
    <w:rsid w:val="7A3A4EEA"/>
    <w:rsid w:val="7A3E30B9"/>
    <w:rsid w:val="7A532A8C"/>
    <w:rsid w:val="7AB2694C"/>
    <w:rsid w:val="7AC93F4F"/>
    <w:rsid w:val="7AD30128"/>
    <w:rsid w:val="7ADA4F57"/>
    <w:rsid w:val="7B461B1B"/>
    <w:rsid w:val="7B7C0A8A"/>
    <w:rsid w:val="7B9C30BF"/>
    <w:rsid w:val="7BF828BA"/>
    <w:rsid w:val="7C2B0690"/>
    <w:rsid w:val="7C324013"/>
    <w:rsid w:val="7C83671D"/>
    <w:rsid w:val="7CB37A50"/>
    <w:rsid w:val="7CCB2A67"/>
    <w:rsid w:val="7CD039AB"/>
    <w:rsid w:val="7D002611"/>
    <w:rsid w:val="7D061407"/>
    <w:rsid w:val="7D114748"/>
    <w:rsid w:val="7D1E6480"/>
    <w:rsid w:val="7D311046"/>
    <w:rsid w:val="7D354D1A"/>
    <w:rsid w:val="7D38773D"/>
    <w:rsid w:val="7D3C0F0C"/>
    <w:rsid w:val="7D4F44C6"/>
    <w:rsid w:val="7D903866"/>
    <w:rsid w:val="7DBB1C42"/>
    <w:rsid w:val="7DD34121"/>
    <w:rsid w:val="7DFC176D"/>
    <w:rsid w:val="7DFF7A04"/>
    <w:rsid w:val="7E0D56E8"/>
    <w:rsid w:val="7E0E6FBC"/>
    <w:rsid w:val="7E7B7A74"/>
    <w:rsid w:val="7E7D7FE3"/>
    <w:rsid w:val="7E9A6DD0"/>
    <w:rsid w:val="7E9E2B71"/>
    <w:rsid w:val="7EA3123D"/>
    <w:rsid w:val="7EBC76A2"/>
    <w:rsid w:val="7ECA4D15"/>
    <w:rsid w:val="7F2856DC"/>
    <w:rsid w:val="7F3B22EB"/>
    <w:rsid w:val="7F67092F"/>
    <w:rsid w:val="7F7120BB"/>
    <w:rsid w:val="7F747126"/>
    <w:rsid w:val="7F9E4127"/>
    <w:rsid w:val="7FA72364"/>
    <w:rsid w:val="7FEB029C"/>
    <w:rsid w:val="7FF337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8"/>
    <w:qFormat/>
    <w:uiPriority w:val="9"/>
    <w:pPr>
      <w:keepNext/>
      <w:keepLines/>
      <w:widowControl/>
      <w:overflowPunct w:val="0"/>
      <w:autoSpaceDE w:val="0"/>
      <w:autoSpaceDN w:val="0"/>
      <w:adjustRightInd w:val="0"/>
      <w:spacing w:before="340" w:after="330" w:line="578" w:lineRule="auto"/>
      <w:outlineLvl w:val="0"/>
    </w:pPr>
    <w:rPr>
      <w:rFonts w:ascii="Times New Roman" w:hAnsi="Times New Roman" w:eastAsia="宋体" w:cs="Times New Roman"/>
      <w:b/>
      <w:bCs/>
      <w:kern w:val="44"/>
      <w:sz w:val="44"/>
      <w:szCs w:val="44"/>
      <w:lang w:val="zh-CN"/>
    </w:rPr>
  </w:style>
  <w:style w:type="paragraph" w:styleId="4">
    <w:name w:val="heading 2"/>
    <w:basedOn w:val="1"/>
    <w:next w:val="1"/>
    <w:link w:val="99"/>
    <w:qFormat/>
    <w:uiPriority w:val="0"/>
    <w:pPr>
      <w:keepNext/>
      <w:keepLines/>
      <w:widowControl/>
      <w:overflowPunct w:val="0"/>
      <w:autoSpaceDE w:val="0"/>
      <w:autoSpaceDN w:val="0"/>
      <w:adjustRightInd w:val="0"/>
      <w:spacing w:before="260" w:after="260" w:line="416" w:lineRule="auto"/>
      <w:outlineLvl w:val="1"/>
    </w:pPr>
    <w:rPr>
      <w:rFonts w:ascii="Arial" w:hAnsi="Arial" w:eastAsia="黑体" w:cs="Times New Roman"/>
      <w:b/>
      <w:bCs/>
      <w:kern w:val="0"/>
      <w:sz w:val="32"/>
      <w:szCs w:val="32"/>
      <w:lang w:val="zh-CN"/>
    </w:rPr>
  </w:style>
  <w:style w:type="paragraph" w:styleId="5">
    <w:name w:val="heading 3"/>
    <w:basedOn w:val="1"/>
    <w:next w:val="1"/>
    <w:link w:val="100"/>
    <w:qFormat/>
    <w:uiPriority w:val="0"/>
    <w:pPr>
      <w:keepNext/>
      <w:keepLines/>
      <w:widowControl/>
      <w:overflowPunct w:val="0"/>
      <w:autoSpaceDE w:val="0"/>
      <w:autoSpaceDN w:val="0"/>
      <w:adjustRightInd w:val="0"/>
      <w:spacing w:before="260" w:after="260" w:line="416" w:lineRule="auto"/>
      <w:outlineLvl w:val="2"/>
    </w:pPr>
    <w:rPr>
      <w:rFonts w:ascii="Times New Roman" w:hAnsi="Times New Roman" w:eastAsia="宋体" w:cs="Times New Roman"/>
      <w:b/>
      <w:bCs/>
      <w:kern w:val="0"/>
      <w:sz w:val="32"/>
      <w:szCs w:val="32"/>
      <w:lang w:val="zh-CN"/>
    </w:rPr>
  </w:style>
  <w:style w:type="paragraph" w:styleId="6">
    <w:name w:val="heading 4"/>
    <w:basedOn w:val="1"/>
    <w:next w:val="1"/>
    <w:link w:val="101"/>
    <w:qFormat/>
    <w:uiPriority w:val="0"/>
    <w:pPr>
      <w:keepNext/>
      <w:keepLines/>
      <w:widowControl/>
      <w:overflowPunct w:val="0"/>
      <w:autoSpaceDE w:val="0"/>
      <w:autoSpaceDN w:val="0"/>
      <w:adjustRightInd w:val="0"/>
      <w:spacing w:before="280" w:after="290" w:line="376" w:lineRule="auto"/>
      <w:outlineLvl w:val="3"/>
    </w:pPr>
    <w:rPr>
      <w:rFonts w:ascii="Arial" w:hAnsi="Arial" w:eastAsia="黑体" w:cs="Times New Roman"/>
      <w:b/>
      <w:bCs/>
      <w:kern w:val="0"/>
      <w:sz w:val="28"/>
      <w:szCs w:val="28"/>
      <w:lang w:val="zh-CN"/>
    </w:rPr>
  </w:style>
  <w:style w:type="paragraph" w:styleId="7">
    <w:name w:val="heading 5"/>
    <w:basedOn w:val="1"/>
    <w:next w:val="1"/>
    <w:link w:val="102"/>
    <w:qFormat/>
    <w:uiPriority w:val="0"/>
    <w:pPr>
      <w:keepNext/>
      <w:keepLines/>
      <w:widowControl/>
      <w:overflowPunct w:val="0"/>
      <w:autoSpaceDE w:val="0"/>
      <w:autoSpaceDN w:val="0"/>
      <w:adjustRightInd w:val="0"/>
      <w:spacing w:before="280" w:after="290" w:line="376" w:lineRule="auto"/>
      <w:outlineLvl w:val="4"/>
    </w:pPr>
    <w:rPr>
      <w:rFonts w:ascii="Times New Roman" w:hAnsi="Times New Roman" w:eastAsia="宋体" w:cs="Times New Roman"/>
      <w:b/>
      <w:bCs/>
      <w:kern w:val="0"/>
      <w:sz w:val="28"/>
      <w:szCs w:val="28"/>
      <w:lang w:val="zh-CN"/>
    </w:rPr>
  </w:style>
  <w:style w:type="paragraph" w:styleId="8">
    <w:name w:val="heading 6"/>
    <w:basedOn w:val="1"/>
    <w:next w:val="1"/>
    <w:link w:val="103"/>
    <w:qFormat/>
    <w:uiPriority w:val="0"/>
    <w:pPr>
      <w:keepNext/>
      <w:keepLines/>
      <w:widowControl/>
      <w:overflowPunct w:val="0"/>
      <w:autoSpaceDE w:val="0"/>
      <w:autoSpaceDN w:val="0"/>
      <w:adjustRightInd w:val="0"/>
      <w:spacing w:before="240" w:after="64" w:line="320" w:lineRule="auto"/>
      <w:outlineLvl w:val="5"/>
    </w:pPr>
    <w:rPr>
      <w:rFonts w:ascii="Arial" w:hAnsi="Arial" w:eastAsia="黑体" w:cs="Times New Roman"/>
      <w:b/>
      <w:bCs/>
      <w:kern w:val="0"/>
      <w:sz w:val="24"/>
      <w:szCs w:val="24"/>
      <w:lang w:val="zh-CN"/>
    </w:rPr>
  </w:style>
  <w:style w:type="paragraph" w:styleId="9">
    <w:name w:val="heading 7"/>
    <w:basedOn w:val="1"/>
    <w:next w:val="1"/>
    <w:link w:val="104"/>
    <w:qFormat/>
    <w:uiPriority w:val="0"/>
    <w:pPr>
      <w:keepNext/>
      <w:keepLines/>
      <w:widowControl/>
      <w:overflowPunct w:val="0"/>
      <w:autoSpaceDE w:val="0"/>
      <w:autoSpaceDN w:val="0"/>
      <w:adjustRightInd w:val="0"/>
      <w:spacing w:before="240" w:after="64" w:line="320" w:lineRule="auto"/>
      <w:outlineLvl w:val="6"/>
    </w:pPr>
    <w:rPr>
      <w:rFonts w:ascii="Times New Roman" w:hAnsi="Times New Roman" w:eastAsia="宋体" w:cs="Times New Roman"/>
      <w:b/>
      <w:bCs/>
      <w:kern w:val="0"/>
      <w:sz w:val="24"/>
      <w:szCs w:val="24"/>
      <w:lang w:val="zh-CN"/>
    </w:rPr>
  </w:style>
  <w:style w:type="paragraph" w:styleId="10">
    <w:name w:val="heading 8"/>
    <w:basedOn w:val="1"/>
    <w:next w:val="1"/>
    <w:link w:val="105"/>
    <w:qFormat/>
    <w:uiPriority w:val="0"/>
    <w:pPr>
      <w:keepNext/>
      <w:keepLines/>
      <w:widowControl/>
      <w:overflowPunct w:val="0"/>
      <w:autoSpaceDE w:val="0"/>
      <w:autoSpaceDN w:val="0"/>
      <w:adjustRightInd w:val="0"/>
      <w:spacing w:before="240" w:after="64" w:line="320" w:lineRule="auto"/>
      <w:outlineLvl w:val="7"/>
    </w:pPr>
    <w:rPr>
      <w:rFonts w:ascii="Arial" w:hAnsi="Arial" w:eastAsia="黑体" w:cs="Times New Roman"/>
      <w:kern w:val="0"/>
      <w:sz w:val="24"/>
      <w:szCs w:val="24"/>
      <w:lang w:val="zh-CN"/>
    </w:rPr>
  </w:style>
  <w:style w:type="paragraph" w:styleId="11">
    <w:name w:val="heading 9"/>
    <w:basedOn w:val="1"/>
    <w:next w:val="1"/>
    <w:link w:val="106"/>
    <w:qFormat/>
    <w:uiPriority w:val="0"/>
    <w:pPr>
      <w:keepNext/>
      <w:keepLines/>
      <w:widowControl/>
      <w:overflowPunct w:val="0"/>
      <w:autoSpaceDE w:val="0"/>
      <w:autoSpaceDN w:val="0"/>
      <w:adjustRightInd w:val="0"/>
      <w:spacing w:before="240" w:after="64" w:line="320" w:lineRule="auto"/>
      <w:outlineLvl w:val="8"/>
    </w:pPr>
    <w:rPr>
      <w:rFonts w:ascii="Arial" w:hAnsi="Arial" w:eastAsia="黑体" w:cs="Times New Roman"/>
      <w:kern w:val="0"/>
      <w:szCs w:val="21"/>
      <w:lang w:val="zh-CN"/>
    </w:rPr>
  </w:style>
  <w:style w:type="character" w:default="1" w:styleId="90">
    <w:name w:val="Default Paragraph Font"/>
    <w:semiHidden/>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3">
    <w:name w:val="macro"/>
    <w:link w:val="143"/>
    <w:qFormat/>
    <w:uiPriority w:val="0"/>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pPr>
    <w:rPr>
      <w:rFonts w:ascii="Courier New" w:hAnsi="Courier New" w:eastAsia="宋体" w:cs="Times New Roman"/>
      <w:sz w:val="24"/>
      <w:szCs w:val="24"/>
      <w:lang w:val="en-US" w:eastAsia="zh-CN" w:bidi="ar-SA"/>
    </w:rPr>
  </w:style>
  <w:style w:type="paragraph" w:styleId="12">
    <w:name w:val="List 3"/>
    <w:basedOn w:val="1"/>
    <w:qFormat/>
    <w:uiPriority w:val="0"/>
    <w:pPr>
      <w:widowControl/>
      <w:overflowPunct w:val="0"/>
      <w:autoSpaceDE w:val="0"/>
      <w:autoSpaceDN w:val="0"/>
      <w:adjustRightInd w:val="0"/>
      <w:ind w:left="100" w:leftChars="400" w:hanging="200" w:hangingChars="200"/>
    </w:pPr>
    <w:rPr>
      <w:rFonts w:ascii="Times New Roman" w:hAnsi="Times New Roman" w:eastAsia="宋体" w:cs="Times New Roman"/>
      <w:kern w:val="0"/>
      <w:szCs w:val="20"/>
    </w:rPr>
  </w:style>
  <w:style w:type="paragraph" w:styleId="13">
    <w:name w:val="toc 7"/>
    <w:basedOn w:val="1"/>
    <w:next w:val="1"/>
    <w:qFormat/>
    <w:uiPriority w:val="0"/>
    <w:pPr>
      <w:widowControl/>
      <w:overflowPunct w:val="0"/>
      <w:autoSpaceDE w:val="0"/>
      <w:autoSpaceDN w:val="0"/>
      <w:adjustRightInd w:val="0"/>
      <w:ind w:left="2520" w:leftChars="1200"/>
    </w:pPr>
    <w:rPr>
      <w:rFonts w:ascii="Times New Roman" w:hAnsi="Times New Roman" w:eastAsia="宋体" w:cs="Times New Roman"/>
      <w:kern w:val="0"/>
      <w:szCs w:val="20"/>
    </w:rPr>
  </w:style>
  <w:style w:type="paragraph" w:styleId="14">
    <w:name w:val="List Number 2"/>
    <w:basedOn w:val="1"/>
    <w:qFormat/>
    <w:uiPriority w:val="0"/>
    <w:pPr>
      <w:widowControl/>
      <w:tabs>
        <w:tab w:val="left" w:pos="780"/>
      </w:tabs>
      <w:overflowPunct w:val="0"/>
      <w:autoSpaceDE w:val="0"/>
      <w:autoSpaceDN w:val="0"/>
      <w:adjustRightInd w:val="0"/>
      <w:ind w:left="780" w:hanging="360"/>
    </w:pPr>
    <w:rPr>
      <w:rFonts w:ascii="Times New Roman" w:hAnsi="Times New Roman" w:eastAsia="宋体" w:cs="Times New Roman"/>
      <w:kern w:val="0"/>
      <w:szCs w:val="20"/>
    </w:rPr>
  </w:style>
  <w:style w:type="paragraph" w:styleId="15">
    <w:name w:val="table of authorities"/>
    <w:basedOn w:val="1"/>
    <w:next w:val="1"/>
    <w:qFormat/>
    <w:uiPriority w:val="0"/>
    <w:pPr>
      <w:widowControl/>
      <w:overflowPunct w:val="0"/>
      <w:autoSpaceDE w:val="0"/>
      <w:autoSpaceDN w:val="0"/>
      <w:adjustRightInd w:val="0"/>
      <w:ind w:left="420" w:leftChars="200"/>
    </w:pPr>
    <w:rPr>
      <w:rFonts w:ascii="Times New Roman" w:hAnsi="Times New Roman" w:eastAsia="宋体" w:cs="Times New Roman"/>
      <w:kern w:val="0"/>
      <w:szCs w:val="20"/>
    </w:rPr>
  </w:style>
  <w:style w:type="paragraph" w:styleId="16">
    <w:name w:val="Note Heading"/>
    <w:basedOn w:val="1"/>
    <w:next w:val="1"/>
    <w:link w:val="123"/>
    <w:qFormat/>
    <w:uiPriority w:val="0"/>
    <w:pPr>
      <w:widowControl/>
      <w:numPr>
        <w:ilvl w:val="0"/>
        <w:numId w:val="1"/>
      </w:numPr>
      <w:tabs>
        <w:tab w:val="clear" w:pos="2040"/>
      </w:tabs>
      <w:overflowPunct w:val="0"/>
      <w:autoSpaceDE w:val="0"/>
      <w:autoSpaceDN w:val="0"/>
      <w:adjustRightInd w:val="0"/>
      <w:ind w:left="0" w:firstLine="0"/>
      <w:jc w:val="center"/>
    </w:pPr>
    <w:rPr>
      <w:rFonts w:ascii="Times New Roman" w:hAnsi="Times New Roman" w:eastAsia="宋体" w:cs="Times New Roman"/>
      <w:kern w:val="0"/>
      <w:szCs w:val="20"/>
      <w:lang w:val="zh-CN"/>
    </w:rPr>
  </w:style>
  <w:style w:type="paragraph" w:styleId="17">
    <w:name w:val="List Bullet 4"/>
    <w:basedOn w:val="1"/>
    <w:qFormat/>
    <w:uiPriority w:val="0"/>
    <w:pPr>
      <w:widowControl/>
      <w:tabs>
        <w:tab w:val="left" w:pos="1620"/>
      </w:tabs>
      <w:overflowPunct w:val="0"/>
      <w:autoSpaceDE w:val="0"/>
      <w:autoSpaceDN w:val="0"/>
      <w:adjustRightInd w:val="0"/>
      <w:ind w:left="1620" w:hanging="360"/>
    </w:pPr>
    <w:rPr>
      <w:rFonts w:ascii="Times New Roman" w:hAnsi="Times New Roman" w:eastAsia="宋体" w:cs="Times New Roman"/>
      <w:kern w:val="0"/>
      <w:szCs w:val="20"/>
    </w:rPr>
  </w:style>
  <w:style w:type="paragraph" w:styleId="18">
    <w:name w:val="index 8"/>
    <w:basedOn w:val="1"/>
    <w:next w:val="1"/>
    <w:qFormat/>
    <w:uiPriority w:val="0"/>
    <w:pPr>
      <w:widowControl/>
      <w:overflowPunct w:val="0"/>
      <w:autoSpaceDE w:val="0"/>
      <w:autoSpaceDN w:val="0"/>
      <w:adjustRightInd w:val="0"/>
      <w:ind w:left="1400" w:leftChars="1400"/>
    </w:pPr>
    <w:rPr>
      <w:rFonts w:ascii="Times New Roman" w:hAnsi="Times New Roman" w:eastAsia="宋体" w:cs="Times New Roman"/>
      <w:kern w:val="0"/>
      <w:szCs w:val="20"/>
    </w:rPr>
  </w:style>
  <w:style w:type="paragraph" w:styleId="19">
    <w:name w:val="E-mail Signature"/>
    <w:basedOn w:val="1"/>
    <w:link w:val="132"/>
    <w:qFormat/>
    <w:uiPriority w:val="0"/>
    <w:pPr>
      <w:widowControl/>
      <w:numPr>
        <w:ilvl w:val="0"/>
        <w:numId w:val="2"/>
      </w:numPr>
      <w:tabs>
        <w:tab w:val="clear" w:pos="1200"/>
      </w:tabs>
      <w:overflowPunct w:val="0"/>
      <w:autoSpaceDE w:val="0"/>
      <w:autoSpaceDN w:val="0"/>
      <w:adjustRightInd w:val="0"/>
      <w:ind w:left="0" w:firstLine="0"/>
    </w:pPr>
    <w:rPr>
      <w:rFonts w:ascii="Times New Roman" w:hAnsi="Times New Roman" w:eastAsia="宋体" w:cs="Times New Roman"/>
      <w:kern w:val="0"/>
      <w:szCs w:val="20"/>
      <w:lang w:val="zh-CN"/>
    </w:rPr>
  </w:style>
  <w:style w:type="paragraph" w:styleId="20">
    <w:name w:val="List Number"/>
    <w:basedOn w:val="1"/>
    <w:qFormat/>
    <w:uiPriority w:val="0"/>
    <w:pPr>
      <w:widowControl/>
      <w:numPr>
        <w:ilvl w:val="0"/>
        <w:numId w:val="3"/>
      </w:numPr>
      <w:overflowPunct w:val="0"/>
      <w:autoSpaceDE w:val="0"/>
      <w:autoSpaceDN w:val="0"/>
      <w:adjustRightInd w:val="0"/>
    </w:pPr>
    <w:rPr>
      <w:rFonts w:ascii="Times New Roman" w:hAnsi="Times New Roman" w:eastAsia="宋体" w:cs="Times New Roman"/>
      <w:kern w:val="0"/>
      <w:szCs w:val="20"/>
    </w:rPr>
  </w:style>
  <w:style w:type="paragraph" w:styleId="21">
    <w:name w:val="Normal Indent"/>
    <w:basedOn w:val="1"/>
    <w:next w:val="1"/>
    <w:qFormat/>
    <w:uiPriority w:val="0"/>
    <w:pPr>
      <w:widowControl/>
      <w:numPr>
        <w:ilvl w:val="0"/>
        <w:numId w:val="4"/>
      </w:numPr>
      <w:tabs>
        <w:tab w:val="clear" w:pos="360"/>
      </w:tabs>
      <w:overflowPunct w:val="0"/>
      <w:autoSpaceDE w:val="0"/>
      <w:autoSpaceDN w:val="0"/>
      <w:adjustRightInd w:val="0"/>
      <w:ind w:left="0" w:firstLine="420" w:firstLineChars="200"/>
    </w:pPr>
    <w:rPr>
      <w:rFonts w:ascii="Times New Roman" w:hAnsi="Times New Roman" w:eastAsia="宋体" w:cs="Times New Roman"/>
      <w:kern w:val="0"/>
      <w:szCs w:val="20"/>
    </w:rPr>
  </w:style>
  <w:style w:type="paragraph" w:styleId="22">
    <w:name w:val="caption"/>
    <w:basedOn w:val="1"/>
    <w:next w:val="1"/>
    <w:qFormat/>
    <w:uiPriority w:val="0"/>
    <w:pPr>
      <w:widowControl/>
      <w:overflowPunct w:val="0"/>
      <w:autoSpaceDE w:val="0"/>
      <w:autoSpaceDN w:val="0"/>
      <w:adjustRightInd w:val="0"/>
    </w:pPr>
    <w:rPr>
      <w:rFonts w:ascii="Arial" w:hAnsi="Arial" w:eastAsia="黑体" w:cs="Arial"/>
      <w:kern w:val="0"/>
      <w:sz w:val="20"/>
      <w:szCs w:val="20"/>
    </w:rPr>
  </w:style>
  <w:style w:type="paragraph" w:styleId="23">
    <w:name w:val="index 5"/>
    <w:basedOn w:val="1"/>
    <w:next w:val="1"/>
    <w:qFormat/>
    <w:uiPriority w:val="0"/>
    <w:pPr>
      <w:widowControl/>
      <w:overflowPunct w:val="0"/>
      <w:autoSpaceDE w:val="0"/>
      <w:autoSpaceDN w:val="0"/>
      <w:adjustRightInd w:val="0"/>
      <w:ind w:left="800" w:leftChars="800"/>
    </w:pPr>
    <w:rPr>
      <w:rFonts w:ascii="Times New Roman" w:hAnsi="Times New Roman" w:eastAsia="宋体" w:cs="Times New Roman"/>
      <w:kern w:val="0"/>
      <w:szCs w:val="20"/>
    </w:rPr>
  </w:style>
  <w:style w:type="paragraph" w:styleId="24">
    <w:name w:val="List Bullet"/>
    <w:basedOn w:val="1"/>
    <w:qFormat/>
    <w:uiPriority w:val="0"/>
    <w:pPr>
      <w:widowControl/>
      <w:tabs>
        <w:tab w:val="left" w:pos="360"/>
      </w:tabs>
      <w:overflowPunct w:val="0"/>
      <w:autoSpaceDE w:val="0"/>
      <w:autoSpaceDN w:val="0"/>
      <w:adjustRightInd w:val="0"/>
      <w:ind w:left="360" w:hanging="360"/>
    </w:pPr>
    <w:rPr>
      <w:rFonts w:ascii="Times New Roman" w:hAnsi="Times New Roman" w:eastAsia="宋体" w:cs="Times New Roman"/>
      <w:kern w:val="0"/>
      <w:szCs w:val="20"/>
    </w:rPr>
  </w:style>
  <w:style w:type="paragraph" w:styleId="25">
    <w:name w:val="envelope address"/>
    <w:basedOn w:val="1"/>
    <w:qFormat/>
    <w:uiPriority w:val="0"/>
    <w:pPr>
      <w:widowControl/>
      <w:numPr>
        <w:ilvl w:val="0"/>
        <w:numId w:val="5"/>
      </w:numPr>
      <w:tabs>
        <w:tab w:val="clear" w:pos="780"/>
      </w:tabs>
      <w:overflowPunct w:val="0"/>
      <w:autoSpaceDE w:val="0"/>
      <w:autoSpaceDN w:val="0"/>
      <w:adjustRightInd w:val="0"/>
      <w:snapToGrid w:val="0"/>
      <w:ind w:left="100" w:leftChars="1400" w:firstLine="0"/>
    </w:pPr>
    <w:rPr>
      <w:rFonts w:ascii="Arial" w:hAnsi="Arial" w:eastAsia="宋体" w:cs="Arial"/>
      <w:kern w:val="0"/>
      <w:sz w:val="24"/>
      <w:szCs w:val="24"/>
    </w:rPr>
  </w:style>
  <w:style w:type="paragraph" w:styleId="26">
    <w:name w:val="Document Map"/>
    <w:basedOn w:val="1"/>
    <w:link w:val="122"/>
    <w:qFormat/>
    <w:uiPriority w:val="0"/>
    <w:pPr>
      <w:widowControl/>
      <w:shd w:val="clear" w:color="auto" w:fill="000080"/>
      <w:overflowPunct w:val="0"/>
      <w:autoSpaceDE w:val="0"/>
      <w:autoSpaceDN w:val="0"/>
      <w:adjustRightInd w:val="0"/>
    </w:pPr>
    <w:rPr>
      <w:rFonts w:ascii="Times New Roman" w:hAnsi="Times New Roman" w:eastAsia="宋体" w:cs="Times New Roman"/>
      <w:kern w:val="0"/>
      <w:szCs w:val="20"/>
      <w:lang w:val="zh-CN"/>
    </w:rPr>
  </w:style>
  <w:style w:type="paragraph" w:styleId="27">
    <w:name w:val="toa heading"/>
    <w:basedOn w:val="1"/>
    <w:next w:val="1"/>
    <w:qFormat/>
    <w:uiPriority w:val="0"/>
    <w:pPr>
      <w:widowControl/>
      <w:overflowPunct w:val="0"/>
      <w:autoSpaceDE w:val="0"/>
      <w:autoSpaceDN w:val="0"/>
      <w:adjustRightInd w:val="0"/>
      <w:spacing w:before="120"/>
    </w:pPr>
    <w:rPr>
      <w:rFonts w:ascii="Arial" w:hAnsi="Arial" w:eastAsia="宋体" w:cs="Arial"/>
      <w:kern w:val="0"/>
      <w:sz w:val="24"/>
      <w:szCs w:val="24"/>
    </w:rPr>
  </w:style>
  <w:style w:type="paragraph" w:styleId="28">
    <w:name w:val="annotation text"/>
    <w:basedOn w:val="1"/>
    <w:link w:val="128"/>
    <w:unhideWhenUsed/>
    <w:qFormat/>
    <w:uiPriority w:val="0"/>
    <w:pPr>
      <w:jc w:val="left"/>
    </w:pPr>
  </w:style>
  <w:style w:type="paragraph" w:styleId="29">
    <w:name w:val="index 6"/>
    <w:basedOn w:val="1"/>
    <w:next w:val="1"/>
    <w:qFormat/>
    <w:uiPriority w:val="0"/>
    <w:pPr>
      <w:widowControl/>
      <w:overflowPunct w:val="0"/>
      <w:autoSpaceDE w:val="0"/>
      <w:autoSpaceDN w:val="0"/>
      <w:adjustRightInd w:val="0"/>
      <w:ind w:left="1000" w:leftChars="1000"/>
    </w:pPr>
    <w:rPr>
      <w:rFonts w:ascii="Times New Roman" w:hAnsi="Times New Roman" w:eastAsia="宋体" w:cs="Times New Roman"/>
      <w:kern w:val="0"/>
      <w:szCs w:val="20"/>
    </w:rPr>
  </w:style>
  <w:style w:type="paragraph" w:styleId="30">
    <w:name w:val="Salutation"/>
    <w:basedOn w:val="1"/>
    <w:next w:val="1"/>
    <w:link w:val="127"/>
    <w:qFormat/>
    <w:uiPriority w:val="0"/>
    <w:pPr>
      <w:widowControl/>
      <w:overflowPunct w:val="0"/>
      <w:autoSpaceDE w:val="0"/>
      <w:autoSpaceDN w:val="0"/>
      <w:adjustRightInd w:val="0"/>
    </w:pPr>
    <w:rPr>
      <w:rFonts w:ascii="Times New Roman" w:hAnsi="Times New Roman" w:eastAsia="宋体" w:cs="Times New Roman"/>
      <w:kern w:val="0"/>
      <w:szCs w:val="20"/>
      <w:lang w:val="zh-CN"/>
    </w:rPr>
  </w:style>
  <w:style w:type="paragraph" w:styleId="31">
    <w:name w:val="Body Text 3"/>
    <w:basedOn w:val="1"/>
    <w:link w:val="126"/>
    <w:qFormat/>
    <w:uiPriority w:val="0"/>
    <w:pPr>
      <w:widowControl/>
      <w:overflowPunct w:val="0"/>
      <w:autoSpaceDE w:val="0"/>
      <w:autoSpaceDN w:val="0"/>
      <w:adjustRightInd w:val="0"/>
      <w:spacing w:after="120"/>
    </w:pPr>
    <w:rPr>
      <w:rFonts w:ascii="Times New Roman" w:hAnsi="Times New Roman" w:eastAsia="宋体" w:cs="Times New Roman"/>
      <w:kern w:val="0"/>
      <w:sz w:val="16"/>
      <w:szCs w:val="16"/>
      <w:lang w:val="zh-CN"/>
    </w:rPr>
  </w:style>
  <w:style w:type="paragraph" w:styleId="32">
    <w:name w:val="Closing"/>
    <w:basedOn w:val="1"/>
    <w:link w:val="133"/>
    <w:qFormat/>
    <w:uiPriority w:val="0"/>
    <w:pPr>
      <w:widowControl/>
      <w:numPr>
        <w:ilvl w:val="0"/>
        <w:numId w:val="6"/>
      </w:numPr>
      <w:tabs>
        <w:tab w:val="clear" w:pos="1200"/>
      </w:tabs>
      <w:overflowPunct w:val="0"/>
      <w:autoSpaceDE w:val="0"/>
      <w:autoSpaceDN w:val="0"/>
      <w:adjustRightInd w:val="0"/>
      <w:ind w:left="100" w:leftChars="2100" w:firstLine="0"/>
    </w:pPr>
    <w:rPr>
      <w:rFonts w:ascii="Times New Roman" w:hAnsi="Times New Roman" w:eastAsia="宋体" w:cs="Times New Roman"/>
      <w:kern w:val="0"/>
      <w:szCs w:val="20"/>
      <w:lang w:val="zh-CN"/>
    </w:rPr>
  </w:style>
  <w:style w:type="paragraph" w:styleId="33">
    <w:name w:val="List Bullet 3"/>
    <w:basedOn w:val="1"/>
    <w:qFormat/>
    <w:uiPriority w:val="0"/>
    <w:pPr>
      <w:widowControl/>
      <w:tabs>
        <w:tab w:val="left" w:pos="1200"/>
      </w:tabs>
      <w:overflowPunct w:val="0"/>
      <w:autoSpaceDE w:val="0"/>
      <w:autoSpaceDN w:val="0"/>
      <w:adjustRightInd w:val="0"/>
      <w:ind w:left="1200" w:hanging="360"/>
    </w:pPr>
    <w:rPr>
      <w:rFonts w:ascii="Times New Roman" w:hAnsi="Times New Roman" w:eastAsia="宋体" w:cs="Times New Roman"/>
      <w:kern w:val="0"/>
      <w:szCs w:val="20"/>
    </w:rPr>
  </w:style>
  <w:style w:type="paragraph" w:styleId="34">
    <w:name w:val="Body Text"/>
    <w:basedOn w:val="1"/>
    <w:link w:val="146"/>
    <w:unhideWhenUsed/>
    <w:qFormat/>
    <w:uiPriority w:val="0"/>
    <w:pPr>
      <w:spacing w:after="120"/>
    </w:pPr>
  </w:style>
  <w:style w:type="paragraph" w:styleId="35">
    <w:name w:val="Body Text Indent"/>
    <w:basedOn w:val="1"/>
    <w:link w:val="135"/>
    <w:qFormat/>
    <w:uiPriority w:val="0"/>
    <w:pPr>
      <w:widowControl/>
      <w:numPr>
        <w:ilvl w:val="0"/>
        <w:numId w:val="7"/>
      </w:numPr>
      <w:tabs>
        <w:tab w:val="clear" w:pos="1620"/>
      </w:tabs>
      <w:overflowPunct w:val="0"/>
      <w:autoSpaceDE w:val="0"/>
      <w:autoSpaceDN w:val="0"/>
      <w:adjustRightInd w:val="0"/>
      <w:spacing w:after="120"/>
      <w:ind w:left="420" w:leftChars="200" w:firstLine="0"/>
    </w:pPr>
    <w:rPr>
      <w:rFonts w:ascii="Times New Roman" w:hAnsi="Times New Roman" w:eastAsia="宋体" w:cs="Times New Roman"/>
      <w:kern w:val="0"/>
      <w:szCs w:val="20"/>
      <w:lang w:val="zh-CN"/>
    </w:rPr>
  </w:style>
  <w:style w:type="paragraph" w:styleId="36">
    <w:name w:val="List Number 3"/>
    <w:basedOn w:val="1"/>
    <w:qFormat/>
    <w:uiPriority w:val="0"/>
    <w:pPr>
      <w:widowControl/>
      <w:tabs>
        <w:tab w:val="left" w:pos="1200"/>
      </w:tabs>
      <w:overflowPunct w:val="0"/>
      <w:autoSpaceDE w:val="0"/>
      <w:autoSpaceDN w:val="0"/>
      <w:adjustRightInd w:val="0"/>
      <w:ind w:left="1200" w:hanging="360"/>
    </w:pPr>
    <w:rPr>
      <w:rFonts w:ascii="Times New Roman" w:hAnsi="Times New Roman" w:eastAsia="宋体" w:cs="Times New Roman"/>
      <w:kern w:val="0"/>
      <w:szCs w:val="20"/>
    </w:rPr>
  </w:style>
  <w:style w:type="paragraph" w:styleId="37">
    <w:name w:val="List 2"/>
    <w:basedOn w:val="1"/>
    <w:qFormat/>
    <w:uiPriority w:val="0"/>
    <w:pPr>
      <w:widowControl/>
      <w:overflowPunct w:val="0"/>
      <w:autoSpaceDE w:val="0"/>
      <w:autoSpaceDN w:val="0"/>
      <w:adjustRightInd w:val="0"/>
      <w:ind w:left="100" w:leftChars="200" w:hanging="200" w:hangingChars="200"/>
    </w:pPr>
    <w:rPr>
      <w:rFonts w:ascii="Times New Roman" w:hAnsi="Times New Roman" w:eastAsia="宋体" w:cs="Times New Roman"/>
      <w:kern w:val="0"/>
      <w:szCs w:val="20"/>
    </w:rPr>
  </w:style>
  <w:style w:type="paragraph" w:styleId="38">
    <w:name w:val="List Continue"/>
    <w:basedOn w:val="1"/>
    <w:qFormat/>
    <w:uiPriority w:val="0"/>
    <w:pPr>
      <w:widowControl/>
      <w:overflowPunct w:val="0"/>
      <w:autoSpaceDE w:val="0"/>
      <w:autoSpaceDN w:val="0"/>
      <w:adjustRightInd w:val="0"/>
      <w:spacing w:after="120"/>
      <w:ind w:left="420" w:leftChars="200"/>
    </w:pPr>
    <w:rPr>
      <w:rFonts w:ascii="Times New Roman" w:hAnsi="Times New Roman" w:eastAsia="宋体" w:cs="Times New Roman"/>
      <w:kern w:val="0"/>
      <w:szCs w:val="20"/>
    </w:rPr>
  </w:style>
  <w:style w:type="paragraph" w:styleId="39">
    <w:name w:val="Block Text"/>
    <w:basedOn w:val="1"/>
    <w:qFormat/>
    <w:uiPriority w:val="0"/>
    <w:pPr>
      <w:widowControl/>
      <w:overflowPunct w:val="0"/>
      <w:autoSpaceDE w:val="0"/>
      <w:autoSpaceDN w:val="0"/>
      <w:adjustRightInd w:val="0"/>
      <w:spacing w:after="120"/>
      <w:ind w:left="1440" w:leftChars="700" w:right="1440" w:rightChars="700"/>
    </w:pPr>
    <w:rPr>
      <w:rFonts w:ascii="Times New Roman" w:hAnsi="Times New Roman" w:eastAsia="宋体" w:cs="Times New Roman"/>
      <w:kern w:val="0"/>
      <w:szCs w:val="20"/>
    </w:rPr>
  </w:style>
  <w:style w:type="paragraph" w:styleId="40">
    <w:name w:val="List Bullet 2"/>
    <w:basedOn w:val="1"/>
    <w:qFormat/>
    <w:uiPriority w:val="0"/>
    <w:pPr>
      <w:widowControl/>
      <w:tabs>
        <w:tab w:val="left" w:pos="780"/>
      </w:tabs>
      <w:overflowPunct w:val="0"/>
      <w:autoSpaceDE w:val="0"/>
      <w:autoSpaceDN w:val="0"/>
      <w:adjustRightInd w:val="0"/>
      <w:ind w:left="780" w:hanging="360"/>
    </w:pPr>
    <w:rPr>
      <w:rFonts w:ascii="Times New Roman" w:hAnsi="Times New Roman" w:eastAsia="宋体" w:cs="Times New Roman"/>
      <w:kern w:val="0"/>
      <w:szCs w:val="20"/>
    </w:rPr>
  </w:style>
  <w:style w:type="paragraph" w:styleId="41">
    <w:name w:val="HTML Address"/>
    <w:basedOn w:val="1"/>
    <w:link w:val="140"/>
    <w:qFormat/>
    <w:uiPriority w:val="0"/>
    <w:pPr>
      <w:widowControl/>
      <w:overflowPunct w:val="0"/>
      <w:autoSpaceDE w:val="0"/>
      <w:autoSpaceDN w:val="0"/>
      <w:adjustRightInd w:val="0"/>
    </w:pPr>
    <w:rPr>
      <w:rFonts w:ascii="Times New Roman" w:hAnsi="Times New Roman" w:eastAsia="宋体" w:cs="Times New Roman"/>
      <w:i/>
      <w:iCs/>
      <w:kern w:val="0"/>
      <w:szCs w:val="20"/>
      <w:lang w:val="zh-CN"/>
    </w:rPr>
  </w:style>
  <w:style w:type="paragraph" w:styleId="42">
    <w:name w:val="index 4"/>
    <w:basedOn w:val="1"/>
    <w:next w:val="1"/>
    <w:qFormat/>
    <w:uiPriority w:val="0"/>
    <w:pPr>
      <w:widowControl/>
      <w:overflowPunct w:val="0"/>
      <w:autoSpaceDE w:val="0"/>
      <w:autoSpaceDN w:val="0"/>
      <w:adjustRightInd w:val="0"/>
      <w:ind w:left="600" w:leftChars="600"/>
    </w:pPr>
    <w:rPr>
      <w:rFonts w:ascii="Times New Roman" w:hAnsi="Times New Roman" w:eastAsia="宋体" w:cs="Times New Roman"/>
      <w:kern w:val="0"/>
      <w:szCs w:val="20"/>
    </w:rPr>
  </w:style>
  <w:style w:type="paragraph" w:styleId="43">
    <w:name w:val="toc 5"/>
    <w:basedOn w:val="1"/>
    <w:next w:val="1"/>
    <w:qFormat/>
    <w:uiPriority w:val="0"/>
    <w:pPr>
      <w:widowControl/>
      <w:overflowPunct w:val="0"/>
      <w:autoSpaceDE w:val="0"/>
      <w:autoSpaceDN w:val="0"/>
      <w:adjustRightInd w:val="0"/>
      <w:ind w:left="1680" w:leftChars="800"/>
    </w:pPr>
    <w:rPr>
      <w:rFonts w:ascii="Times New Roman" w:hAnsi="Times New Roman" w:eastAsia="宋体" w:cs="Times New Roman"/>
      <w:kern w:val="0"/>
      <w:szCs w:val="20"/>
    </w:rPr>
  </w:style>
  <w:style w:type="paragraph" w:styleId="44">
    <w:name w:val="toc 3"/>
    <w:basedOn w:val="1"/>
    <w:next w:val="1"/>
    <w:qFormat/>
    <w:uiPriority w:val="0"/>
    <w:pPr>
      <w:widowControl/>
      <w:overflowPunct w:val="0"/>
      <w:autoSpaceDE w:val="0"/>
      <w:autoSpaceDN w:val="0"/>
      <w:adjustRightInd w:val="0"/>
      <w:ind w:left="840" w:leftChars="400"/>
    </w:pPr>
    <w:rPr>
      <w:rFonts w:ascii="Times New Roman" w:hAnsi="Times New Roman" w:eastAsia="宋体" w:cs="Times New Roman"/>
      <w:kern w:val="0"/>
      <w:szCs w:val="20"/>
    </w:rPr>
  </w:style>
  <w:style w:type="paragraph" w:styleId="45">
    <w:name w:val="Plain Text"/>
    <w:basedOn w:val="1"/>
    <w:link w:val="139"/>
    <w:qFormat/>
    <w:uiPriority w:val="0"/>
    <w:pPr>
      <w:widowControl/>
      <w:overflowPunct w:val="0"/>
      <w:autoSpaceDE w:val="0"/>
      <w:autoSpaceDN w:val="0"/>
      <w:adjustRightInd w:val="0"/>
    </w:pPr>
    <w:rPr>
      <w:rFonts w:ascii="宋体" w:hAnsi="Courier New" w:eastAsia="宋体" w:cs="Times New Roman"/>
      <w:kern w:val="0"/>
      <w:szCs w:val="21"/>
      <w:lang w:val="zh-CN"/>
    </w:rPr>
  </w:style>
  <w:style w:type="paragraph" w:styleId="46">
    <w:name w:val="List Bullet 5"/>
    <w:basedOn w:val="1"/>
    <w:qFormat/>
    <w:uiPriority w:val="0"/>
    <w:pPr>
      <w:widowControl/>
      <w:numPr>
        <w:ilvl w:val="0"/>
        <w:numId w:val="8"/>
      </w:numPr>
      <w:overflowPunct w:val="0"/>
      <w:autoSpaceDE w:val="0"/>
      <w:autoSpaceDN w:val="0"/>
      <w:adjustRightInd w:val="0"/>
    </w:pPr>
    <w:rPr>
      <w:rFonts w:ascii="Times New Roman" w:hAnsi="Times New Roman" w:eastAsia="宋体" w:cs="Times New Roman"/>
      <w:kern w:val="0"/>
      <w:szCs w:val="20"/>
    </w:rPr>
  </w:style>
  <w:style w:type="paragraph" w:styleId="47">
    <w:name w:val="List Number 4"/>
    <w:basedOn w:val="1"/>
    <w:qFormat/>
    <w:uiPriority w:val="0"/>
    <w:pPr>
      <w:widowControl/>
      <w:tabs>
        <w:tab w:val="left" w:pos="1620"/>
      </w:tabs>
      <w:overflowPunct w:val="0"/>
      <w:autoSpaceDE w:val="0"/>
      <w:autoSpaceDN w:val="0"/>
      <w:adjustRightInd w:val="0"/>
      <w:ind w:left="1620" w:hanging="360"/>
    </w:pPr>
    <w:rPr>
      <w:rFonts w:ascii="Times New Roman" w:hAnsi="Times New Roman" w:eastAsia="宋体" w:cs="Times New Roman"/>
      <w:kern w:val="0"/>
      <w:szCs w:val="20"/>
    </w:rPr>
  </w:style>
  <w:style w:type="paragraph" w:styleId="48">
    <w:name w:val="toc 8"/>
    <w:basedOn w:val="1"/>
    <w:next w:val="1"/>
    <w:qFormat/>
    <w:uiPriority w:val="0"/>
    <w:pPr>
      <w:widowControl/>
      <w:overflowPunct w:val="0"/>
      <w:autoSpaceDE w:val="0"/>
      <w:autoSpaceDN w:val="0"/>
      <w:adjustRightInd w:val="0"/>
      <w:ind w:left="2940" w:leftChars="1400"/>
    </w:pPr>
    <w:rPr>
      <w:rFonts w:ascii="Times New Roman" w:hAnsi="Times New Roman" w:eastAsia="宋体" w:cs="Times New Roman"/>
      <w:kern w:val="0"/>
      <w:szCs w:val="20"/>
    </w:rPr>
  </w:style>
  <w:style w:type="paragraph" w:styleId="49">
    <w:name w:val="index 3"/>
    <w:basedOn w:val="1"/>
    <w:next w:val="1"/>
    <w:qFormat/>
    <w:uiPriority w:val="0"/>
    <w:pPr>
      <w:widowControl/>
      <w:overflowPunct w:val="0"/>
      <w:autoSpaceDE w:val="0"/>
      <w:autoSpaceDN w:val="0"/>
      <w:adjustRightInd w:val="0"/>
      <w:ind w:left="400" w:leftChars="400"/>
    </w:pPr>
    <w:rPr>
      <w:rFonts w:ascii="Times New Roman" w:hAnsi="Times New Roman" w:eastAsia="宋体" w:cs="Times New Roman"/>
      <w:kern w:val="0"/>
      <w:szCs w:val="20"/>
    </w:rPr>
  </w:style>
  <w:style w:type="paragraph" w:styleId="50">
    <w:name w:val="Date"/>
    <w:basedOn w:val="1"/>
    <w:next w:val="1"/>
    <w:link w:val="125"/>
    <w:qFormat/>
    <w:uiPriority w:val="0"/>
    <w:pPr>
      <w:widowControl/>
      <w:overflowPunct w:val="0"/>
      <w:autoSpaceDE w:val="0"/>
      <w:autoSpaceDN w:val="0"/>
      <w:adjustRightInd w:val="0"/>
      <w:ind w:left="100" w:leftChars="2500"/>
    </w:pPr>
    <w:rPr>
      <w:rFonts w:ascii="Times New Roman" w:hAnsi="Times New Roman" w:eastAsia="宋体" w:cs="Times New Roman"/>
      <w:kern w:val="0"/>
      <w:szCs w:val="20"/>
      <w:lang w:val="zh-CN"/>
    </w:rPr>
  </w:style>
  <w:style w:type="paragraph" w:styleId="51">
    <w:name w:val="Body Text Indent 2"/>
    <w:basedOn w:val="1"/>
    <w:link w:val="124"/>
    <w:qFormat/>
    <w:uiPriority w:val="0"/>
    <w:pPr>
      <w:widowControl/>
      <w:overflowPunct w:val="0"/>
      <w:autoSpaceDE w:val="0"/>
      <w:autoSpaceDN w:val="0"/>
      <w:adjustRightInd w:val="0"/>
      <w:spacing w:after="120" w:line="480" w:lineRule="auto"/>
      <w:ind w:left="200" w:leftChars="200"/>
    </w:pPr>
    <w:rPr>
      <w:rFonts w:ascii="Times New Roman" w:hAnsi="Times New Roman" w:eastAsia="宋体" w:cs="Times New Roman"/>
      <w:kern w:val="0"/>
      <w:szCs w:val="20"/>
      <w:lang w:val="zh-CN"/>
    </w:rPr>
  </w:style>
  <w:style w:type="paragraph" w:styleId="52">
    <w:name w:val="endnote text"/>
    <w:basedOn w:val="1"/>
    <w:link w:val="131"/>
    <w:qFormat/>
    <w:uiPriority w:val="0"/>
    <w:pPr>
      <w:widowControl/>
      <w:numPr>
        <w:ilvl w:val="0"/>
        <w:numId w:val="9"/>
      </w:numPr>
      <w:tabs>
        <w:tab w:val="clear" w:pos="2040"/>
      </w:tabs>
      <w:overflowPunct w:val="0"/>
      <w:autoSpaceDE w:val="0"/>
      <w:autoSpaceDN w:val="0"/>
      <w:adjustRightInd w:val="0"/>
      <w:snapToGrid w:val="0"/>
      <w:ind w:left="0" w:firstLine="0"/>
      <w:jc w:val="left"/>
    </w:pPr>
    <w:rPr>
      <w:rFonts w:ascii="Times New Roman" w:hAnsi="Times New Roman" w:eastAsia="宋体" w:cs="Times New Roman"/>
      <w:kern w:val="0"/>
      <w:szCs w:val="20"/>
      <w:lang w:val="zh-CN"/>
    </w:rPr>
  </w:style>
  <w:style w:type="paragraph" w:styleId="53">
    <w:name w:val="List Continue 5"/>
    <w:basedOn w:val="1"/>
    <w:qFormat/>
    <w:uiPriority w:val="0"/>
    <w:pPr>
      <w:widowControl/>
      <w:numPr>
        <w:ilvl w:val="0"/>
        <w:numId w:val="10"/>
      </w:numPr>
      <w:tabs>
        <w:tab w:val="clear" w:pos="780"/>
      </w:tabs>
      <w:overflowPunct w:val="0"/>
      <w:autoSpaceDE w:val="0"/>
      <w:autoSpaceDN w:val="0"/>
      <w:adjustRightInd w:val="0"/>
      <w:spacing w:after="120"/>
      <w:ind w:left="2100" w:leftChars="1000" w:firstLine="0"/>
    </w:pPr>
    <w:rPr>
      <w:rFonts w:ascii="Times New Roman" w:hAnsi="Times New Roman" w:eastAsia="宋体" w:cs="Times New Roman"/>
      <w:kern w:val="0"/>
      <w:szCs w:val="20"/>
    </w:rPr>
  </w:style>
  <w:style w:type="paragraph" w:styleId="54">
    <w:name w:val="Balloon Text"/>
    <w:basedOn w:val="1"/>
    <w:link w:val="142"/>
    <w:qFormat/>
    <w:uiPriority w:val="0"/>
    <w:pPr>
      <w:widowControl/>
      <w:overflowPunct w:val="0"/>
      <w:autoSpaceDE w:val="0"/>
      <w:autoSpaceDN w:val="0"/>
      <w:adjustRightInd w:val="0"/>
    </w:pPr>
    <w:rPr>
      <w:rFonts w:ascii="Times New Roman" w:hAnsi="Times New Roman" w:eastAsia="宋体" w:cs="Times New Roman"/>
      <w:kern w:val="0"/>
      <w:sz w:val="18"/>
      <w:szCs w:val="18"/>
      <w:lang w:val="zh-CN"/>
    </w:rPr>
  </w:style>
  <w:style w:type="paragraph" w:styleId="55">
    <w:name w:val="footer"/>
    <w:basedOn w:val="1"/>
    <w:link w:val="108"/>
    <w:qFormat/>
    <w:uiPriority w:val="99"/>
    <w:pPr>
      <w:widowControl/>
      <w:tabs>
        <w:tab w:val="center" w:pos="4153"/>
        <w:tab w:val="right" w:pos="8306"/>
      </w:tabs>
      <w:overflowPunct w:val="0"/>
      <w:autoSpaceDE w:val="0"/>
      <w:autoSpaceDN w:val="0"/>
      <w:adjustRightInd w:val="0"/>
      <w:snapToGrid w:val="0"/>
      <w:jc w:val="left"/>
    </w:pPr>
    <w:rPr>
      <w:sz w:val="18"/>
      <w:szCs w:val="18"/>
    </w:rPr>
  </w:style>
  <w:style w:type="paragraph" w:styleId="56">
    <w:name w:val="envelope return"/>
    <w:basedOn w:val="1"/>
    <w:qFormat/>
    <w:uiPriority w:val="0"/>
    <w:pPr>
      <w:widowControl/>
      <w:overflowPunct w:val="0"/>
      <w:autoSpaceDE w:val="0"/>
      <w:autoSpaceDN w:val="0"/>
      <w:adjustRightInd w:val="0"/>
      <w:snapToGrid w:val="0"/>
    </w:pPr>
    <w:rPr>
      <w:rFonts w:ascii="Arial" w:hAnsi="Arial" w:eastAsia="宋体" w:cs="Arial"/>
      <w:kern w:val="0"/>
      <w:szCs w:val="20"/>
    </w:rPr>
  </w:style>
  <w:style w:type="paragraph" w:styleId="57">
    <w:name w:val="header"/>
    <w:basedOn w:val="1"/>
    <w:link w:val="111"/>
    <w:qFormat/>
    <w:uiPriority w:val="99"/>
    <w:pPr>
      <w:widowControl/>
      <w:pBdr>
        <w:bottom w:val="single" w:color="auto" w:sz="6" w:space="1"/>
      </w:pBdr>
      <w:tabs>
        <w:tab w:val="center" w:pos="4153"/>
        <w:tab w:val="right" w:pos="8306"/>
      </w:tabs>
      <w:overflowPunct w:val="0"/>
      <w:autoSpaceDE w:val="0"/>
      <w:autoSpaceDN w:val="0"/>
      <w:adjustRightInd w:val="0"/>
      <w:snapToGrid w:val="0"/>
      <w:jc w:val="center"/>
    </w:pPr>
    <w:rPr>
      <w:sz w:val="18"/>
      <w:szCs w:val="18"/>
    </w:rPr>
  </w:style>
  <w:style w:type="paragraph" w:styleId="58">
    <w:name w:val="Signature"/>
    <w:basedOn w:val="1"/>
    <w:link w:val="144"/>
    <w:qFormat/>
    <w:uiPriority w:val="0"/>
    <w:pPr>
      <w:widowControl/>
      <w:overflowPunct w:val="0"/>
      <w:autoSpaceDE w:val="0"/>
      <w:autoSpaceDN w:val="0"/>
      <w:adjustRightInd w:val="0"/>
      <w:ind w:left="100" w:leftChars="2100"/>
    </w:pPr>
    <w:rPr>
      <w:rFonts w:ascii="Times New Roman" w:hAnsi="Times New Roman" w:eastAsia="宋体" w:cs="Times New Roman"/>
      <w:kern w:val="0"/>
      <w:szCs w:val="20"/>
      <w:lang w:val="zh-CN"/>
    </w:rPr>
  </w:style>
  <w:style w:type="paragraph" w:styleId="59">
    <w:name w:val="toc 1"/>
    <w:basedOn w:val="1"/>
    <w:next w:val="1"/>
    <w:qFormat/>
    <w:uiPriority w:val="39"/>
    <w:pPr>
      <w:widowControl/>
      <w:overflowPunct w:val="0"/>
      <w:autoSpaceDE w:val="0"/>
      <w:autoSpaceDN w:val="0"/>
      <w:adjustRightInd w:val="0"/>
    </w:pPr>
    <w:rPr>
      <w:rFonts w:ascii="Times New Roman" w:hAnsi="Times New Roman" w:eastAsia="宋体" w:cs="Times New Roman"/>
      <w:kern w:val="0"/>
      <w:szCs w:val="20"/>
    </w:rPr>
  </w:style>
  <w:style w:type="paragraph" w:styleId="60">
    <w:name w:val="List Continue 4"/>
    <w:basedOn w:val="1"/>
    <w:qFormat/>
    <w:uiPriority w:val="0"/>
    <w:pPr>
      <w:widowControl/>
      <w:overflowPunct w:val="0"/>
      <w:autoSpaceDE w:val="0"/>
      <w:autoSpaceDN w:val="0"/>
      <w:adjustRightInd w:val="0"/>
      <w:spacing w:after="120"/>
      <w:ind w:left="1680" w:leftChars="800"/>
    </w:pPr>
    <w:rPr>
      <w:rFonts w:ascii="Times New Roman" w:hAnsi="Times New Roman" w:eastAsia="宋体" w:cs="Times New Roman"/>
      <w:kern w:val="0"/>
      <w:szCs w:val="20"/>
    </w:rPr>
  </w:style>
  <w:style w:type="paragraph" w:styleId="61">
    <w:name w:val="toc 4"/>
    <w:basedOn w:val="1"/>
    <w:next w:val="1"/>
    <w:qFormat/>
    <w:uiPriority w:val="0"/>
    <w:pPr>
      <w:widowControl/>
      <w:numPr>
        <w:ilvl w:val="0"/>
        <w:numId w:val="11"/>
      </w:numPr>
      <w:tabs>
        <w:tab w:val="clear" w:pos="1620"/>
      </w:tabs>
      <w:overflowPunct w:val="0"/>
      <w:autoSpaceDE w:val="0"/>
      <w:autoSpaceDN w:val="0"/>
      <w:adjustRightInd w:val="0"/>
      <w:ind w:left="1260" w:leftChars="600" w:firstLine="0"/>
    </w:pPr>
    <w:rPr>
      <w:rFonts w:ascii="Times New Roman" w:hAnsi="Times New Roman" w:eastAsia="宋体" w:cs="Times New Roman"/>
      <w:kern w:val="0"/>
      <w:szCs w:val="20"/>
    </w:rPr>
  </w:style>
  <w:style w:type="paragraph" w:styleId="62">
    <w:name w:val="index heading"/>
    <w:basedOn w:val="1"/>
    <w:next w:val="63"/>
    <w:qFormat/>
    <w:uiPriority w:val="0"/>
    <w:pPr>
      <w:widowControl/>
      <w:overflowPunct w:val="0"/>
      <w:autoSpaceDE w:val="0"/>
      <w:autoSpaceDN w:val="0"/>
      <w:adjustRightInd w:val="0"/>
    </w:pPr>
    <w:rPr>
      <w:rFonts w:ascii="Arial" w:hAnsi="Arial" w:eastAsia="宋体" w:cs="Arial"/>
      <w:b/>
      <w:bCs/>
      <w:kern w:val="0"/>
      <w:szCs w:val="20"/>
    </w:rPr>
  </w:style>
  <w:style w:type="paragraph" w:styleId="63">
    <w:name w:val="index 1"/>
    <w:basedOn w:val="1"/>
    <w:next w:val="1"/>
    <w:qFormat/>
    <w:uiPriority w:val="0"/>
    <w:pPr>
      <w:widowControl/>
      <w:overflowPunct w:val="0"/>
      <w:autoSpaceDE w:val="0"/>
      <w:autoSpaceDN w:val="0"/>
      <w:adjustRightInd w:val="0"/>
    </w:pPr>
    <w:rPr>
      <w:rFonts w:ascii="Times New Roman" w:hAnsi="Times New Roman" w:eastAsia="宋体" w:cs="Times New Roman"/>
      <w:kern w:val="0"/>
      <w:szCs w:val="20"/>
    </w:rPr>
  </w:style>
  <w:style w:type="paragraph" w:styleId="64">
    <w:name w:val="Subtitle"/>
    <w:basedOn w:val="1"/>
    <w:link w:val="137"/>
    <w:qFormat/>
    <w:uiPriority w:val="0"/>
    <w:pPr>
      <w:widowControl/>
      <w:overflowPunct w:val="0"/>
      <w:autoSpaceDE w:val="0"/>
      <w:autoSpaceDN w:val="0"/>
      <w:adjustRightInd w:val="0"/>
      <w:spacing w:before="240" w:after="60" w:line="312" w:lineRule="auto"/>
      <w:jc w:val="center"/>
      <w:outlineLvl w:val="1"/>
    </w:pPr>
    <w:rPr>
      <w:rFonts w:ascii="Arial" w:hAnsi="Arial" w:eastAsia="宋体" w:cs="Times New Roman"/>
      <w:b/>
      <w:bCs/>
      <w:kern w:val="28"/>
      <w:sz w:val="32"/>
      <w:szCs w:val="32"/>
      <w:lang w:val="zh-CN"/>
    </w:rPr>
  </w:style>
  <w:style w:type="paragraph" w:styleId="65">
    <w:name w:val="List Number 5"/>
    <w:basedOn w:val="1"/>
    <w:qFormat/>
    <w:uiPriority w:val="0"/>
    <w:pPr>
      <w:widowControl/>
      <w:tabs>
        <w:tab w:val="left" w:pos="2040"/>
      </w:tabs>
      <w:overflowPunct w:val="0"/>
      <w:autoSpaceDE w:val="0"/>
      <w:autoSpaceDN w:val="0"/>
      <w:adjustRightInd w:val="0"/>
      <w:ind w:left="2040" w:hanging="360"/>
    </w:pPr>
    <w:rPr>
      <w:rFonts w:ascii="Times New Roman" w:hAnsi="Times New Roman" w:eastAsia="宋体" w:cs="Times New Roman"/>
      <w:kern w:val="0"/>
      <w:szCs w:val="20"/>
    </w:rPr>
  </w:style>
  <w:style w:type="paragraph" w:styleId="66">
    <w:name w:val="List"/>
    <w:basedOn w:val="1"/>
    <w:qFormat/>
    <w:uiPriority w:val="0"/>
    <w:pPr>
      <w:widowControl/>
      <w:overflowPunct w:val="0"/>
      <w:autoSpaceDE w:val="0"/>
      <w:autoSpaceDN w:val="0"/>
      <w:adjustRightInd w:val="0"/>
      <w:ind w:left="200" w:hanging="200" w:hangingChars="200"/>
    </w:pPr>
    <w:rPr>
      <w:rFonts w:ascii="Times New Roman" w:hAnsi="Times New Roman" w:eastAsia="宋体" w:cs="Times New Roman"/>
      <w:kern w:val="0"/>
      <w:szCs w:val="20"/>
    </w:rPr>
  </w:style>
  <w:style w:type="paragraph" w:styleId="67">
    <w:name w:val="footnote text"/>
    <w:basedOn w:val="1"/>
    <w:link w:val="149"/>
    <w:qFormat/>
    <w:uiPriority w:val="0"/>
    <w:pPr>
      <w:widowControl/>
      <w:overflowPunct w:val="0"/>
      <w:autoSpaceDE w:val="0"/>
      <w:autoSpaceDN w:val="0"/>
      <w:adjustRightInd w:val="0"/>
      <w:snapToGrid w:val="0"/>
      <w:jc w:val="left"/>
    </w:pPr>
    <w:rPr>
      <w:rFonts w:ascii="Times New Roman" w:hAnsi="Times New Roman" w:eastAsia="宋体" w:cs="Times New Roman"/>
      <w:kern w:val="0"/>
      <w:sz w:val="18"/>
      <w:szCs w:val="18"/>
      <w:lang w:val="zh-CN"/>
    </w:rPr>
  </w:style>
  <w:style w:type="paragraph" w:styleId="68">
    <w:name w:val="toc 6"/>
    <w:basedOn w:val="1"/>
    <w:next w:val="1"/>
    <w:qFormat/>
    <w:uiPriority w:val="0"/>
    <w:pPr>
      <w:widowControl/>
      <w:overflowPunct w:val="0"/>
      <w:autoSpaceDE w:val="0"/>
      <w:autoSpaceDN w:val="0"/>
      <w:adjustRightInd w:val="0"/>
      <w:ind w:left="2100" w:leftChars="1000"/>
    </w:pPr>
    <w:rPr>
      <w:rFonts w:ascii="Times New Roman" w:hAnsi="Times New Roman" w:eastAsia="宋体" w:cs="Times New Roman"/>
      <w:kern w:val="0"/>
      <w:szCs w:val="20"/>
    </w:rPr>
  </w:style>
  <w:style w:type="paragraph" w:styleId="69">
    <w:name w:val="List 5"/>
    <w:basedOn w:val="1"/>
    <w:qFormat/>
    <w:uiPriority w:val="0"/>
    <w:pPr>
      <w:widowControl/>
      <w:overflowPunct w:val="0"/>
      <w:autoSpaceDE w:val="0"/>
      <w:autoSpaceDN w:val="0"/>
      <w:adjustRightInd w:val="0"/>
      <w:ind w:left="100" w:leftChars="800" w:hanging="200" w:hangingChars="200"/>
    </w:pPr>
    <w:rPr>
      <w:rFonts w:ascii="Times New Roman" w:hAnsi="Times New Roman" w:eastAsia="宋体" w:cs="Times New Roman"/>
      <w:kern w:val="0"/>
      <w:szCs w:val="20"/>
    </w:rPr>
  </w:style>
  <w:style w:type="paragraph" w:styleId="70">
    <w:name w:val="Body Text Indent 3"/>
    <w:basedOn w:val="1"/>
    <w:link w:val="150"/>
    <w:qFormat/>
    <w:uiPriority w:val="0"/>
    <w:pPr>
      <w:widowControl/>
      <w:overflowPunct w:val="0"/>
      <w:autoSpaceDE w:val="0"/>
      <w:autoSpaceDN w:val="0"/>
      <w:adjustRightInd w:val="0"/>
      <w:spacing w:after="120"/>
      <w:ind w:left="420" w:leftChars="200"/>
    </w:pPr>
    <w:rPr>
      <w:rFonts w:ascii="Times New Roman" w:hAnsi="Times New Roman" w:eastAsia="宋体" w:cs="Times New Roman"/>
      <w:kern w:val="0"/>
      <w:sz w:val="16"/>
      <w:szCs w:val="16"/>
      <w:lang w:val="zh-CN"/>
    </w:rPr>
  </w:style>
  <w:style w:type="paragraph" w:styleId="71">
    <w:name w:val="index 7"/>
    <w:basedOn w:val="1"/>
    <w:next w:val="1"/>
    <w:qFormat/>
    <w:uiPriority w:val="0"/>
    <w:pPr>
      <w:widowControl/>
      <w:overflowPunct w:val="0"/>
      <w:autoSpaceDE w:val="0"/>
      <w:autoSpaceDN w:val="0"/>
      <w:adjustRightInd w:val="0"/>
      <w:ind w:left="1200" w:leftChars="1200"/>
    </w:pPr>
    <w:rPr>
      <w:rFonts w:ascii="Times New Roman" w:hAnsi="Times New Roman" w:eastAsia="宋体" w:cs="Times New Roman"/>
      <w:kern w:val="0"/>
      <w:szCs w:val="20"/>
    </w:rPr>
  </w:style>
  <w:style w:type="paragraph" w:styleId="72">
    <w:name w:val="index 9"/>
    <w:basedOn w:val="1"/>
    <w:next w:val="1"/>
    <w:qFormat/>
    <w:uiPriority w:val="0"/>
    <w:pPr>
      <w:widowControl/>
      <w:overflowPunct w:val="0"/>
      <w:autoSpaceDE w:val="0"/>
      <w:autoSpaceDN w:val="0"/>
      <w:adjustRightInd w:val="0"/>
      <w:ind w:left="1600" w:leftChars="1600"/>
    </w:pPr>
    <w:rPr>
      <w:rFonts w:ascii="Times New Roman" w:hAnsi="Times New Roman" w:eastAsia="宋体" w:cs="Times New Roman"/>
      <w:kern w:val="0"/>
      <w:szCs w:val="20"/>
    </w:rPr>
  </w:style>
  <w:style w:type="paragraph" w:styleId="73">
    <w:name w:val="table of figures"/>
    <w:basedOn w:val="1"/>
    <w:next w:val="1"/>
    <w:qFormat/>
    <w:uiPriority w:val="0"/>
    <w:pPr>
      <w:widowControl/>
      <w:overflowPunct w:val="0"/>
      <w:autoSpaceDE w:val="0"/>
      <w:autoSpaceDN w:val="0"/>
      <w:adjustRightInd w:val="0"/>
      <w:ind w:left="200" w:leftChars="200" w:hanging="200" w:hangingChars="200"/>
    </w:pPr>
    <w:rPr>
      <w:rFonts w:ascii="Times New Roman" w:hAnsi="Times New Roman" w:eastAsia="宋体" w:cs="Times New Roman"/>
      <w:kern w:val="0"/>
      <w:szCs w:val="20"/>
    </w:rPr>
  </w:style>
  <w:style w:type="paragraph" w:styleId="74">
    <w:name w:val="toc 2"/>
    <w:basedOn w:val="1"/>
    <w:next w:val="1"/>
    <w:qFormat/>
    <w:uiPriority w:val="39"/>
    <w:pPr>
      <w:widowControl/>
      <w:tabs>
        <w:tab w:val="right" w:leader="dot" w:pos="8296"/>
      </w:tabs>
      <w:overflowPunct w:val="0"/>
      <w:autoSpaceDE w:val="0"/>
      <w:autoSpaceDN w:val="0"/>
      <w:adjustRightInd w:val="0"/>
    </w:pPr>
    <w:rPr>
      <w:rFonts w:ascii="Times New Roman" w:hAnsi="Times New Roman" w:eastAsia="宋体" w:cs="Times New Roman"/>
      <w:kern w:val="0"/>
      <w:szCs w:val="20"/>
    </w:rPr>
  </w:style>
  <w:style w:type="paragraph" w:styleId="75">
    <w:name w:val="toc 9"/>
    <w:basedOn w:val="1"/>
    <w:next w:val="1"/>
    <w:qFormat/>
    <w:uiPriority w:val="0"/>
    <w:pPr>
      <w:widowControl/>
      <w:overflowPunct w:val="0"/>
      <w:autoSpaceDE w:val="0"/>
      <w:autoSpaceDN w:val="0"/>
      <w:adjustRightInd w:val="0"/>
      <w:ind w:left="3360" w:leftChars="1600"/>
    </w:pPr>
    <w:rPr>
      <w:rFonts w:ascii="Times New Roman" w:hAnsi="Times New Roman" w:eastAsia="宋体" w:cs="Times New Roman"/>
      <w:kern w:val="0"/>
      <w:szCs w:val="20"/>
    </w:rPr>
  </w:style>
  <w:style w:type="paragraph" w:styleId="76">
    <w:name w:val="Body Text 2"/>
    <w:basedOn w:val="1"/>
    <w:link w:val="136"/>
    <w:qFormat/>
    <w:uiPriority w:val="0"/>
    <w:pPr>
      <w:widowControl/>
      <w:overflowPunct w:val="0"/>
      <w:autoSpaceDE w:val="0"/>
      <w:autoSpaceDN w:val="0"/>
      <w:adjustRightInd w:val="0"/>
      <w:spacing w:after="120" w:line="480" w:lineRule="auto"/>
    </w:pPr>
    <w:rPr>
      <w:rFonts w:ascii="Times New Roman" w:hAnsi="Times New Roman" w:eastAsia="宋体" w:cs="Times New Roman"/>
      <w:kern w:val="0"/>
      <w:szCs w:val="20"/>
      <w:lang w:val="zh-CN"/>
    </w:rPr>
  </w:style>
  <w:style w:type="paragraph" w:styleId="77">
    <w:name w:val="List 4"/>
    <w:basedOn w:val="1"/>
    <w:qFormat/>
    <w:uiPriority w:val="0"/>
    <w:pPr>
      <w:widowControl/>
      <w:overflowPunct w:val="0"/>
      <w:autoSpaceDE w:val="0"/>
      <w:autoSpaceDN w:val="0"/>
      <w:adjustRightInd w:val="0"/>
      <w:ind w:left="100" w:leftChars="600" w:hanging="200" w:hangingChars="200"/>
    </w:pPr>
    <w:rPr>
      <w:rFonts w:ascii="Times New Roman" w:hAnsi="Times New Roman" w:eastAsia="宋体" w:cs="Times New Roman"/>
      <w:kern w:val="0"/>
      <w:szCs w:val="20"/>
    </w:rPr>
  </w:style>
  <w:style w:type="paragraph" w:styleId="78">
    <w:name w:val="List Continue 2"/>
    <w:basedOn w:val="1"/>
    <w:qFormat/>
    <w:uiPriority w:val="0"/>
    <w:pPr>
      <w:widowControl/>
      <w:overflowPunct w:val="0"/>
      <w:autoSpaceDE w:val="0"/>
      <w:autoSpaceDN w:val="0"/>
      <w:adjustRightInd w:val="0"/>
      <w:spacing w:after="120"/>
      <w:ind w:left="840" w:leftChars="400"/>
    </w:pPr>
    <w:rPr>
      <w:rFonts w:ascii="Times New Roman" w:hAnsi="Times New Roman" w:eastAsia="宋体" w:cs="Times New Roman"/>
      <w:kern w:val="0"/>
      <w:szCs w:val="20"/>
    </w:rPr>
  </w:style>
  <w:style w:type="paragraph" w:styleId="79">
    <w:name w:val="Message Header"/>
    <w:basedOn w:val="1"/>
    <w:link w:val="148"/>
    <w:qFormat/>
    <w:uiPriority w:val="0"/>
    <w:pPr>
      <w:widowControl/>
      <w:pBdr>
        <w:top w:val="single" w:color="auto" w:sz="6" w:space="1"/>
        <w:left w:val="single" w:color="auto" w:sz="6" w:space="1"/>
        <w:bottom w:val="single" w:color="auto" w:sz="6" w:space="1"/>
        <w:right w:val="single" w:color="auto" w:sz="6" w:space="1"/>
      </w:pBdr>
      <w:shd w:val="pct20" w:color="auto" w:fill="auto"/>
      <w:overflowPunct w:val="0"/>
      <w:autoSpaceDE w:val="0"/>
      <w:autoSpaceDN w:val="0"/>
      <w:adjustRightInd w:val="0"/>
      <w:ind w:left="1080" w:leftChars="500" w:hanging="1080" w:hangingChars="500"/>
    </w:pPr>
    <w:rPr>
      <w:rFonts w:ascii="Arial" w:hAnsi="Arial" w:eastAsia="宋体" w:cs="Times New Roman"/>
      <w:kern w:val="0"/>
      <w:sz w:val="24"/>
      <w:szCs w:val="24"/>
      <w:lang w:val="zh-CN"/>
    </w:rPr>
  </w:style>
  <w:style w:type="paragraph" w:styleId="80">
    <w:name w:val="HTML Preformatted"/>
    <w:basedOn w:val="1"/>
    <w:link w:val="152"/>
    <w:qFormat/>
    <w:uiPriority w:val="0"/>
    <w:pPr>
      <w:widowControl/>
      <w:overflowPunct w:val="0"/>
      <w:autoSpaceDE w:val="0"/>
      <w:autoSpaceDN w:val="0"/>
      <w:adjustRightInd w:val="0"/>
    </w:pPr>
    <w:rPr>
      <w:rFonts w:ascii="Courier New" w:hAnsi="Courier New" w:eastAsia="宋体" w:cs="Times New Roman"/>
      <w:kern w:val="0"/>
      <w:sz w:val="20"/>
      <w:szCs w:val="20"/>
      <w:lang w:val="zh-CN"/>
    </w:rPr>
  </w:style>
  <w:style w:type="paragraph" w:styleId="81">
    <w:name w:val="Normal (Web)"/>
    <w:basedOn w:val="1"/>
    <w:qFormat/>
    <w:uiPriority w:val="0"/>
    <w:pPr>
      <w:widowControl/>
      <w:overflowPunct w:val="0"/>
      <w:autoSpaceDE w:val="0"/>
      <w:autoSpaceDN w:val="0"/>
      <w:adjustRightInd w:val="0"/>
    </w:pPr>
    <w:rPr>
      <w:rFonts w:ascii="Times New Roman" w:hAnsi="Times New Roman" w:eastAsia="宋体" w:cs="Times New Roman"/>
      <w:kern w:val="0"/>
      <w:sz w:val="24"/>
      <w:szCs w:val="24"/>
    </w:rPr>
  </w:style>
  <w:style w:type="paragraph" w:styleId="82">
    <w:name w:val="List Continue 3"/>
    <w:basedOn w:val="1"/>
    <w:qFormat/>
    <w:uiPriority w:val="0"/>
    <w:pPr>
      <w:widowControl/>
      <w:overflowPunct w:val="0"/>
      <w:autoSpaceDE w:val="0"/>
      <w:autoSpaceDN w:val="0"/>
      <w:adjustRightInd w:val="0"/>
      <w:spacing w:after="120"/>
      <w:ind w:left="1260" w:leftChars="600"/>
    </w:pPr>
    <w:rPr>
      <w:rFonts w:ascii="Times New Roman" w:hAnsi="Times New Roman" w:eastAsia="宋体" w:cs="Times New Roman"/>
      <w:kern w:val="0"/>
      <w:szCs w:val="20"/>
    </w:rPr>
  </w:style>
  <w:style w:type="paragraph" w:styleId="83">
    <w:name w:val="index 2"/>
    <w:basedOn w:val="1"/>
    <w:next w:val="1"/>
    <w:qFormat/>
    <w:uiPriority w:val="0"/>
    <w:pPr>
      <w:widowControl/>
      <w:overflowPunct w:val="0"/>
      <w:autoSpaceDE w:val="0"/>
      <w:autoSpaceDN w:val="0"/>
      <w:adjustRightInd w:val="0"/>
      <w:ind w:left="200" w:leftChars="200"/>
    </w:pPr>
    <w:rPr>
      <w:rFonts w:ascii="Times New Roman" w:hAnsi="Times New Roman" w:eastAsia="宋体" w:cs="Times New Roman"/>
      <w:kern w:val="0"/>
      <w:szCs w:val="20"/>
    </w:rPr>
  </w:style>
  <w:style w:type="paragraph" w:styleId="84">
    <w:name w:val="Title"/>
    <w:basedOn w:val="1"/>
    <w:link w:val="153"/>
    <w:qFormat/>
    <w:uiPriority w:val="0"/>
    <w:pPr>
      <w:widowControl/>
      <w:overflowPunct w:val="0"/>
      <w:autoSpaceDE w:val="0"/>
      <w:autoSpaceDN w:val="0"/>
      <w:adjustRightInd w:val="0"/>
      <w:spacing w:before="240" w:after="60"/>
      <w:jc w:val="center"/>
      <w:outlineLvl w:val="0"/>
    </w:pPr>
    <w:rPr>
      <w:rFonts w:ascii="Arial" w:hAnsi="Arial" w:eastAsia="宋体" w:cs="Times New Roman"/>
      <w:b/>
      <w:bCs/>
      <w:kern w:val="0"/>
      <w:sz w:val="32"/>
      <w:szCs w:val="32"/>
      <w:lang w:val="zh-CN"/>
    </w:rPr>
  </w:style>
  <w:style w:type="paragraph" w:styleId="85">
    <w:name w:val="annotation subject"/>
    <w:basedOn w:val="28"/>
    <w:next w:val="28"/>
    <w:link w:val="129"/>
    <w:qFormat/>
    <w:uiPriority w:val="0"/>
    <w:pPr>
      <w:widowControl/>
      <w:overflowPunct w:val="0"/>
      <w:autoSpaceDE w:val="0"/>
      <w:autoSpaceDN w:val="0"/>
      <w:adjustRightInd w:val="0"/>
    </w:pPr>
    <w:rPr>
      <w:rFonts w:ascii="Times New Roman" w:hAnsi="Times New Roman" w:eastAsia="宋体" w:cs="Times New Roman"/>
      <w:b/>
      <w:bCs/>
      <w:kern w:val="0"/>
      <w:szCs w:val="20"/>
      <w:lang w:val="zh-CN"/>
    </w:rPr>
  </w:style>
  <w:style w:type="paragraph" w:styleId="86">
    <w:name w:val="Body Text First Indent"/>
    <w:basedOn w:val="34"/>
    <w:link w:val="147"/>
    <w:qFormat/>
    <w:uiPriority w:val="0"/>
    <w:pPr>
      <w:widowControl/>
      <w:overflowPunct w:val="0"/>
      <w:autoSpaceDE w:val="0"/>
      <w:autoSpaceDN w:val="0"/>
      <w:adjustRightInd w:val="0"/>
      <w:ind w:firstLine="420" w:firstLineChars="100"/>
    </w:pPr>
    <w:rPr>
      <w:rFonts w:ascii="Times New Roman" w:hAnsi="Times New Roman" w:eastAsia="宋体" w:cs="Times New Roman"/>
      <w:kern w:val="0"/>
      <w:szCs w:val="20"/>
      <w:lang w:val="zh-CN"/>
    </w:rPr>
  </w:style>
  <w:style w:type="paragraph" w:styleId="87">
    <w:name w:val="Body Text First Indent 2"/>
    <w:basedOn w:val="35"/>
    <w:link w:val="141"/>
    <w:qFormat/>
    <w:uiPriority w:val="0"/>
    <w:pPr>
      <w:ind w:firstLine="420" w:firstLineChars="200"/>
    </w:pPr>
  </w:style>
  <w:style w:type="table" w:styleId="89">
    <w:name w:val="Table Grid"/>
    <w:basedOn w:val="8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1">
    <w:name w:val="page number"/>
    <w:basedOn w:val="90"/>
    <w:qFormat/>
    <w:uiPriority w:val="0"/>
  </w:style>
  <w:style w:type="character" w:styleId="92">
    <w:name w:val="FollowedHyperlink"/>
    <w:unhideWhenUsed/>
    <w:qFormat/>
    <w:uiPriority w:val="99"/>
    <w:rPr>
      <w:color w:val="954F72"/>
      <w:u w:val="single"/>
    </w:rPr>
  </w:style>
  <w:style w:type="character" w:styleId="93">
    <w:name w:val="Hyperlink"/>
    <w:basedOn w:val="90"/>
    <w:qFormat/>
    <w:uiPriority w:val="99"/>
    <w:rPr>
      <w:color w:val="0000FF"/>
      <w:u w:val="single"/>
    </w:rPr>
  </w:style>
  <w:style w:type="character" w:styleId="94">
    <w:name w:val="annotation reference"/>
    <w:qFormat/>
    <w:uiPriority w:val="0"/>
    <w:rPr>
      <w:sz w:val="21"/>
      <w:szCs w:val="21"/>
    </w:rPr>
  </w:style>
  <w:style w:type="paragraph" w:customStyle="1" w:styleId="95">
    <w:name w:val="UserStyle_0"/>
    <w:basedOn w:val="1"/>
    <w:next w:val="1"/>
    <w:link w:val="247"/>
    <w:qFormat/>
    <w:uiPriority w:val="0"/>
    <w:rPr>
      <w:rFonts w:ascii="Times New Roman" w:hAnsi="Times New Roman"/>
      <w:kern w:val="0"/>
      <w:sz w:val="30"/>
      <w:szCs w:val="20"/>
    </w:rPr>
  </w:style>
  <w:style w:type="paragraph" w:customStyle="1" w:styleId="96">
    <w:name w:val="实施方案正文"/>
    <w:basedOn w:val="1"/>
    <w:qFormat/>
    <w:uiPriority w:val="0"/>
    <w:pPr>
      <w:ind w:firstLine="566" w:firstLineChars="202"/>
    </w:pPr>
    <w:rPr>
      <w:rFonts w:ascii="等线" w:hAnsi="等线" w:eastAsia="等线"/>
      <w:szCs w:val="28"/>
    </w:rPr>
  </w:style>
  <w:style w:type="paragraph" w:customStyle="1" w:styleId="97">
    <w:name w:val="Default"/>
    <w:unhideWhenUsed/>
    <w:qFormat/>
    <w:uiPriority w:val="0"/>
    <w:pPr>
      <w:widowControl w:val="0"/>
      <w:autoSpaceDE w:val="0"/>
      <w:autoSpaceDN w:val="0"/>
      <w:adjustRightInd w:val="0"/>
    </w:pPr>
    <w:rPr>
      <w:rFonts w:hint="eastAsia" w:ascii="宋体" w:hAnsi="宋体" w:cs="Times New Roman" w:eastAsiaTheme="minorEastAsia"/>
      <w:color w:val="000000"/>
      <w:sz w:val="24"/>
      <w:szCs w:val="22"/>
      <w:lang w:val="en-US" w:eastAsia="zh-CN" w:bidi="ar-SA"/>
    </w:rPr>
  </w:style>
  <w:style w:type="character" w:customStyle="1" w:styleId="98">
    <w:name w:val="标题 1 Char"/>
    <w:basedOn w:val="90"/>
    <w:link w:val="2"/>
    <w:qFormat/>
    <w:uiPriority w:val="0"/>
    <w:rPr>
      <w:rFonts w:ascii="Times New Roman" w:hAnsi="Times New Roman" w:eastAsia="宋体" w:cs="Times New Roman"/>
      <w:b/>
      <w:bCs/>
      <w:kern w:val="44"/>
      <w:sz w:val="44"/>
      <w:szCs w:val="44"/>
      <w:lang w:val="zh-CN" w:eastAsia="zh-CN"/>
    </w:rPr>
  </w:style>
  <w:style w:type="character" w:customStyle="1" w:styleId="99">
    <w:name w:val="标题 2 Char"/>
    <w:basedOn w:val="90"/>
    <w:link w:val="4"/>
    <w:qFormat/>
    <w:uiPriority w:val="0"/>
    <w:rPr>
      <w:rFonts w:ascii="Arial" w:hAnsi="Arial" w:eastAsia="黑体" w:cs="Times New Roman"/>
      <w:b/>
      <w:bCs/>
      <w:kern w:val="0"/>
      <w:sz w:val="32"/>
      <w:szCs w:val="32"/>
      <w:lang w:val="zh-CN" w:eastAsia="zh-CN"/>
    </w:rPr>
  </w:style>
  <w:style w:type="character" w:customStyle="1" w:styleId="100">
    <w:name w:val="标题 3 Char"/>
    <w:basedOn w:val="90"/>
    <w:link w:val="5"/>
    <w:qFormat/>
    <w:uiPriority w:val="0"/>
    <w:rPr>
      <w:rFonts w:ascii="Times New Roman" w:hAnsi="Times New Roman" w:eastAsia="宋体" w:cs="Times New Roman"/>
      <w:b/>
      <w:bCs/>
      <w:kern w:val="0"/>
      <w:sz w:val="32"/>
      <w:szCs w:val="32"/>
      <w:lang w:val="zh-CN" w:eastAsia="zh-CN"/>
    </w:rPr>
  </w:style>
  <w:style w:type="character" w:customStyle="1" w:styleId="101">
    <w:name w:val="标题 4 Char"/>
    <w:basedOn w:val="90"/>
    <w:link w:val="6"/>
    <w:qFormat/>
    <w:uiPriority w:val="0"/>
    <w:rPr>
      <w:rFonts w:ascii="Arial" w:hAnsi="Arial" w:eastAsia="黑体" w:cs="Times New Roman"/>
      <w:b/>
      <w:bCs/>
      <w:kern w:val="0"/>
      <w:sz w:val="28"/>
      <w:szCs w:val="28"/>
      <w:lang w:val="zh-CN" w:eastAsia="zh-CN"/>
    </w:rPr>
  </w:style>
  <w:style w:type="character" w:customStyle="1" w:styleId="102">
    <w:name w:val="标题 5 Char"/>
    <w:basedOn w:val="90"/>
    <w:link w:val="7"/>
    <w:qFormat/>
    <w:uiPriority w:val="0"/>
    <w:rPr>
      <w:rFonts w:ascii="Times New Roman" w:hAnsi="Times New Roman" w:eastAsia="宋体" w:cs="Times New Roman"/>
      <w:b/>
      <w:bCs/>
      <w:kern w:val="0"/>
      <w:sz w:val="28"/>
      <w:szCs w:val="28"/>
      <w:lang w:val="zh-CN" w:eastAsia="zh-CN"/>
    </w:rPr>
  </w:style>
  <w:style w:type="character" w:customStyle="1" w:styleId="103">
    <w:name w:val="标题 6 Char"/>
    <w:basedOn w:val="90"/>
    <w:link w:val="8"/>
    <w:qFormat/>
    <w:uiPriority w:val="0"/>
    <w:rPr>
      <w:rFonts w:ascii="Arial" w:hAnsi="Arial" w:eastAsia="黑体" w:cs="Times New Roman"/>
      <w:b/>
      <w:bCs/>
      <w:kern w:val="0"/>
      <w:sz w:val="24"/>
      <w:szCs w:val="24"/>
      <w:lang w:val="zh-CN" w:eastAsia="zh-CN"/>
    </w:rPr>
  </w:style>
  <w:style w:type="character" w:customStyle="1" w:styleId="104">
    <w:name w:val="标题 7 Char"/>
    <w:basedOn w:val="90"/>
    <w:link w:val="9"/>
    <w:qFormat/>
    <w:uiPriority w:val="0"/>
    <w:rPr>
      <w:rFonts w:ascii="Times New Roman" w:hAnsi="Times New Roman" w:eastAsia="宋体" w:cs="Times New Roman"/>
      <w:b/>
      <w:bCs/>
      <w:kern w:val="0"/>
      <w:sz w:val="24"/>
      <w:szCs w:val="24"/>
      <w:lang w:val="zh-CN" w:eastAsia="zh-CN"/>
    </w:rPr>
  </w:style>
  <w:style w:type="character" w:customStyle="1" w:styleId="105">
    <w:name w:val="标题 8 Char"/>
    <w:basedOn w:val="90"/>
    <w:link w:val="10"/>
    <w:qFormat/>
    <w:uiPriority w:val="0"/>
    <w:rPr>
      <w:rFonts w:ascii="Arial" w:hAnsi="Arial" w:eastAsia="黑体" w:cs="Times New Roman"/>
      <w:kern w:val="0"/>
      <w:sz w:val="24"/>
      <w:szCs w:val="24"/>
      <w:lang w:val="zh-CN" w:eastAsia="zh-CN"/>
    </w:rPr>
  </w:style>
  <w:style w:type="character" w:customStyle="1" w:styleId="106">
    <w:name w:val="标题 9 Char"/>
    <w:basedOn w:val="90"/>
    <w:link w:val="11"/>
    <w:qFormat/>
    <w:uiPriority w:val="0"/>
    <w:rPr>
      <w:rFonts w:ascii="Arial" w:hAnsi="Arial" w:eastAsia="黑体" w:cs="Times New Roman"/>
      <w:kern w:val="0"/>
      <w:szCs w:val="21"/>
      <w:lang w:val="zh-CN" w:eastAsia="zh-CN"/>
    </w:rPr>
  </w:style>
  <w:style w:type="character" w:customStyle="1" w:styleId="107">
    <w:name w:val="font21"/>
    <w:qFormat/>
    <w:uiPriority w:val="0"/>
    <w:rPr>
      <w:rFonts w:hint="default" w:ascii="Arial Narrow" w:hAnsi="Arial Narrow" w:eastAsia="Arial Narrow" w:cs="Arial Narrow"/>
      <w:color w:val="000000"/>
      <w:sz w:val="18"/>
      <w:szCs w:val="18"/>
      <w:u w:val="none"/>
    </w:rPr>
  </w:style>
  <w:style w:type="character" w:customStyle="1" w:styleId="108">
    <w:name w:val="页脚 Char"/>
    <w:link w:val="55"/>
    <w:qFormat/>
    <w:uiPriority w:val="99"/>
    <w:rPr>
      <w:sz w:val="18"/>
      <w:szCs w:val="18"/>
    </w:rPr>
  </w:style>
  <w:style w:type="character" w:customStyle="1" w:styleId="109">
    <w:name w:val="页脚 字符1"/>
    <w:basedOn w:val="90"/>
    <w:semiHidden/>
    <w:qFormat/>
    <w:uiPriority w:val="99"/>
    <w:rPr>
      <w:sz w:val="18"/>
      <w:szCs w:val="18"/>
    </w:rPr>
  </w:style>
  <w:style w:type="character" w:customStyle="1" w:styleId="110">
    <w:name w:val="公文正文"/>
    <w:qFormat/>
    <w:uiPriority w:val="0"/>
    <w:rPr>
      <w:rFonts w:hint="eastAsia" w:ascii="仿宋_GB2312" w:eastAsia="仿宋_GB2312"/>
      <w:sz w:val="32"/>
    </w:rPr>
  </w:style>
  <w:style w:type="character" w:customStyle="1" w:styleId="111">
    <w:name w:val="页眉 Char"/>
    <w:link w:val="57"/>
    <w:qFormat/>
    <w:uiPriority w:val="99"/>
    <w:rPr>
      <w:sz w:val="18"/>
      <w:szCs w:val="18"/>
    </w:rPr>
  </w:style>
  <w:style w:type="character" w:customStyle="1" w:styleId="112">
    <w:name w:val="页眉 字符1"/>
    <w:basedOn w:val="90"/>
    <w:semiHidden/>
    <w:qFormat/>
    <w:uiPriority w:val="99"/>
    <w:rPr>
      <w:sz w:val="18"/>
      <w:szCs w:val="18"/>
    </w:rPr>
  </w:style>
  <w:style w:type="character" w:customStyle="1" w:styleId="113">
    <w:name w:val="font11"/>
    <w:qFormat/>
    <w:uiPriority w:val="0"/>
    <w:rPr>
      <w:rFonts w:ascii="Arial Narrow" w:hAnsi="Arial Narrow" w:eastAsia="Arial Narrow" w:cs="Arial Narrow"/>
      <w:b/>
      <w:color w:val="000000"/>
      <w:sz w:val="18"/>
      <w:szCs w:val="18"/>
      <w:u w:val="none"/>
    </w:rPr>
  </w:style>
  <w:style w:type="character" w:customStyle="1" w:styleId="114">
    <w:name w:val="font31"/>
    <w:basedOn w:val="90"/>
    <w:qFormat/>
    <w:uiPriority w:val="0"/>
    <w:rPr>
      <w:rFonts w:hint="eastAsia" w:ascii="宋体" w:hAnsi="宋体" w:eastAsia="宋体" w:cs="宋体"/>
      <w:color w:val="000000"/>
      <w:sz w:val="18"/>
      <w:szCs w:val="18"/>
      <w:u w:val="none"/>
    </w:rPr>
  </w:style>
  <w:style w:type="character" w:customStyle="1" w:styleId="115">
    <w:name w:val="font41"/>
    <w:qFormat/>
    <w:uiPriority w:val="0"/>
    <w:rPr>
      <w:rFonts w:hint="eastAsia" w:ascii="宋体" w:hAnsi="宋体" w:eastAsia="宋体" w:cs="宋体"/>
      <w:b/>
      <w:color w:val="000000"/>
      <w:sz w:val="18"/>
      <w:szCs w:val="18"/>
      <w:u w:val="none"/>
    </w:rPr>
  </w:style>
  <w:style w:type="character" w:customStyle="1" w:styleId="116">
    <w:name w:val="font51"/>
    <w:basedOn w:val="90"/>
    <w:qFormat/>
    <w:uiPriority w:val="0"/>
    <w:rPr>
      <w:rFonts w:hint="default" w:ascii="Arial Narrow" w:hAnsi="Arial Narrow" w:eastAsia="Arial Narrow" w:cs="Arial Narrow"/>
      <w:b/>
      <w:color w:val="000000"/>
      <w:sz w:val="18"/>
      <w:szCs w:val="18"/>
      <w:u w:val="none"/>
    </w:rPr>
  </w:style>
  <w:style w:type="character" w:customStyle="1" w:styleId="117">
    <w:name w:val="font01"/>
    <w:basedOn w:val="90"/>
    <w:qFormat/>
    <w:uiPriority w:val="0"/>
    <w:rPr>
      <w:rFonts w:hint="default" w:ascii="Arial Narrow" w:hAnsi="Arial Narrow" w:eastAsia="Arial Narrow" w:cs="Arial Narrow"/>
      <w:b/>
      <w:color w:val="000000"/>
      <w:sz w:val="18"/>
      <w:szCs w:val="18"/>
      <w:u w:val="none"/>
    </w:rPr>
  </w:style>
  <w:style w:type="character" w:customStyle="1" w:styleId="118">
    <w:name w:val="font61"/>
    <w:qFormat/>
    <w:uiPriority w:val="0"/>
    <w:rPr>
      <w:rFonts w:hint="eastAsia" w:ascii="宋体" w:hAnsi="宋体" w:eastAsia="宋体" w:cs="宋体"/>
      <w:b/>
      <w:color w:val="000000"/>
      <w:sz w:val="18"/>
      <w:szCs w:val="18"/>
      <w:u w:val="none"/>
    </w:rPr>
  </w:style>
  <w:style w:type="character" w:customStyle="1" w:styleId="119">
    <w:name w:val="办文来文摘要"/>
    <w:qFormat/>
    <w:uiPriority w:val="0"/>
    <w:rPr>
      <w:rFonts w:eastAsia="仿宋_GB2312"/>
      <w:sz w:val="24"/>
    </w:rPr>
  </w:style>
  <w:style w:type="paragraph" w:customStyle="1" w:styleId="120">
    <w:name w:val="正文 A"/>
    <w:qFormat/>
    <w:uiPriority w:val="99"/>
    <w:pPr>
      <w:spacing w:after="200" w:line="276" w:lineRule="auto"/>
    </w:pPr>
    <w:rPr>
      <w:rFonts w:ascii="Calibri" w:hAnsi="Calibri" w:eastAsia="宋体" w:cs="Calibri"/>
      <w:color w:val="000000"/>
      <w:sz w:val="22"/>
      <w:szCs w:val="22"/>
      <w:u w:color="000000"/>
      <w:lang w:val="en-US" w:eastAsia="zh-CN" w:bidi="ar-SA"/>
    </w:rPr>
  </w:style>
  <w:style w:type="paragraph" w:customStyle="1" w:styleId="121">
    <w:name w:val="Char Char Char1 Char Char Char Char"/>
    <w:basedOn w:val="1"/>
    <w:qFormat/>
    <w:uiPriority w:val="0"/>
    <w:rPr>
      <w:rFonts w:ascii="Times New Roman" w:hAnsi="Times New Roman" w:eastAsia="宋体" w:cs="Times New Roman"/>
      <w:kern w:val="0"/>
      <w:szCs w:val="20"/>
    </w:rPr>
  </w:style>
  <w:style w:type="character" w:customStyle="1" w:styleId="122">
    <w:name w:val="文档结构图 Char"/>
    <w:basedOn w:val="90"/>
    <w:link w:val="26"/>
    <w:qFormat/>
    <w:uiPriority w:val="0"/>
    <w:rPr>
      <w:rFonts w:ascii="Times New Roman" w:hAnsi="Times New Roman" w:eastAsia="宋体" w:cs="Times New Roman"/>
      <w:kern w:val="0"/>
      <w:szCs w:val="20"/>
      <w:shd w:val="clear" w:color="auto" w:fill="000080"/>
      <w:lang w:val="zh-CN" w:eastAsia="zh-CN"/>
    </w:rPr>
  </w:style>
  <w:style w:type="character" w:customStyle="1" w:styleId="123">
    <w:name w:val="注释标题 Char"/>
    <w:basedOn w:val="90"/>
    <w:link w:val="16"/>
    <w:qFormat/>
    <w:uiPriority w:val="0"/>
    <w:rPr>
      <w:rFonts w:ascii="Times New Roman" w:hAnsi="Times New Roman" w:eastAsia="宋体" w:cs="Times New Roman"/>
      <w:kern w:val="0"/>
      <w:szCs w:val="20"/>
      <w:lang w:val="zh-CN" w:eastAsia="zh-CN"/>
    </w:rPr>
  </w:style>
  <w:style w:type="character" w:customStyle="1" w:styleId="124">
    <w:name w:val="正文文本缩进 2 Char"/>
    <w:basedOn w:val="90"/>
    <w:link w:val="51"/>
    <w:qFormat/>
    <w:uiPriority w:val="0"/>
    <w:rPr>
      <w:rFonts w:ascii="Times New Roman" w:hAnsi="Times New Roman" w:eastAsia="宋体" w:cs="Times New Roman"/>
      <w:kern w:val="0"/>
      <w:szCs w:val="20"/>
      <w:lang w:val="zh-CN" w:eastAsia="zh-CN"/>
    </w:rPr>
  </w:style>
  <w:style w:type="character" w:customStyle="1" w:styleId="125">
    <w:name w:val="日期 Char"/>
    <w:basedOn w:val="90"/>
    <w:link w:val="50"/>
    <w:qFormat/>
    <w:uiPriority w:val="0"/>
    <w:rPr>
      <w:rFonts w:ascii="Times New Roman" w:hAnsi="Times New Roman" w:eastAsia="宋体" w:cs="Times New Roman"/>
      <w:kern w:val="0"/>
      <w:szCs w:val="20"/>
      <w:lang w:val="zh-CN" w:eastAsia="zh-CN"/>
    </w:rPr>
  </w:style>
  <w:style w:type="character" w:customStyle="1" w:styleId="126">
    <w:name w:val="正文文本 3 Char"/>
    <w:basedOn w:val="90"/>
    <w:link w:val="31"/>
    <w:qFormat/>
    <w:uiPriority w:val="0"/>
    <w:rPr>
      <w:rFonts w:ascii="Times New Roman" w:hAnsi="Times New Roman" w:eastAsia="宋体" w:cs="Times New Roman"/>
      <w:kern w:val="0"/>
      <w:sz w:val="16"/>
      <w:szCs w:val="16"/>
      <w:lang w:val="zh-CN" w:eastAsia="zh-CN"/>
    </w:rPr>
  </w:style>
  <w:style w:type="character" w:customStyle="1" w:styleId="127">
    <w:name w:val="称呼 Char"/>
    <w:basedOn w:val="90"/>
    <w:link w:val="30"/>
    <w:qFormat/>
    <w:uiPriority w:val="0"/>
    <w:rPr>
      <w:rFonts w:ascii="Times New Roman" w:hAnsi="Times New Roman" w:eastAsia="宋体" w:cs="Times New Roman"/>
      <w:kern w:val="0"/>
      <w:szCs w:val="20"/>
      <w:lang w:val="zh-CN" w:eastAsia="zh-CN"/>
    </w:rPr>
  </w:style>
  <w:style w:type="character" w:customStyle="1" w:styleId="128">
    <w:name w:val="批注文字 Char"/>
    <w:basedOn w:val="90"/>
    <w:link w:val="28"/>
    <w:qFormat/>
    <w:uiPriority w:val="0"/>
  </w:style>
  <w:style w:type="character" w:customStyle="1" w:styleId="129">
    <w:name w:val="批注主题 Char"/>
    <w:basedOn w:val="128"/>
    <w:link w:val="85"/>
    <w:qFormat/>
    <w:uiPriority w:val="0"/>
    <w:rPr>
      <w:rFonts w:ascii="Times New Roman" w:hAnsi="Times New Roman" w:eastAsia="宋体" w:cs="Times New Roman"/>
      <w:b/>
      <w:bCs/>
      <w:kern w:val="0"/>
      <w:szCs w:val="20"/>
      <w:lang w:val="zh-CN" w:eastAsia="zh-CN"/>
    </w:rPr>
  </w:style>
  <w:style w:type="paragraph" w:customStyle="1" w:styleId="130">
    <w:name w:val="修订1"/>
    <w:unhideWhenUsed/>
    <w:qFormat/>
    <w:uiPriority w:val="99"/>
    <w:rPr>
      <w:rFonts w:ascii="Times New Roman" w:hAnsi="Times New Roman" w:eastAsia="宋体" w:cs="Times New Roman"/>
      <w:sz w:val="21"/>
      <w:lang w:val="en-US" w:eastAsia="zh-CN" w:bidi="ar-SA"/>
    </w:rPr>
  </w:style>
  <w:style w:type="character" w:customStyle="1" w:styleId="131">
    <w:name w:val="尾注文本 Char"/>
    <w:basedOn w:val="90"/>
    <w:link w:val="52"/>
    <w:qFormat/>
    <w:uiPriority w:val="0"/>
    <w:rPr>
      <w:rFonts w:ascii="Times New Roman" w:hAnsi="Times New Roman" w:eastAsia="宋体" w:cs="Times New Roman"/>
      <w:kern w:val="0"/>
      <w:szCs w:val="20"/>
      <w:lang w:val="zh-CN" w:eastAsia="zh-CN"/>
    </w:rPr>
  </w:style>
  <w:style w:type="character" w:customStyle="1" w:styleId="132">
    <w:name w:val="电子邮件签名 Char"/>
    <w:basedOn w:val="90"/>
    <w:link w:val="19"/>
    <w:qFormat/>
    <w:uiPriority w:val="0"/>
    <w:rPr>
      <w:rFonts w:ascii="Times New Roman" w:hAnsi="Times New Roman" w:eastAsia="宋体" w:cs="Times New Roman"/>
      <w:kern w:val="0"/>
      <w:szCs w:val="20"/>
      <w:lang w:val="zh-CN" w:eastAsia="zh-CN"/>
    </w:rPr>
  </w:style>
  <w:style w:type="character" w:customStyle="1" w:styleId="133">
    <w:name w:val="结束语 Char"/>
    <w:basedOn w:val="90"/>
    <w:link w:val="32"/>
    <w:qFormat/>
    <w:uiPriority w:val="0"/>
    <w:rPr>
      <w:rFonts w:ascii="Times New Roman" w:hAnsi="Times New Roman" w:eastAsia="宋体" w:cs="Times New Roman"/>
      <w:kern w:val="0"/>
      <w:szCs w:val="20"/>
      <w:lang w:val="zh-CN" w:eastAsia="zh-CN"/>
    </w:rPr>
  </w:style>
  <w:style w:type="paragraph" w:customStyle="1" w:styleId="134">
    <w:name w:val="Char Char Char Char Char Char Char Char Char Char Char Char Char Char"/>
    <w:basedOn w:val="1"/>
    <w:qFormat/>
    <w:uiPriority w:val="0"/>
    <w:rPr>
      <w:rFonts w:ascii="Times New Roman" w:hAnsi="Times New Roman" w:eastAsia="宋体" w:cs="Times New Roman"/>
      <w:kern w:val="0"/>
      <w:szCs w:val="20"/>
    </w:rPr>
  </w:style>
  <w:style w:type="character" w:customStyle="1" w:styleId="135">
    <w:name w:val="正文文本缩进 Char"/>
    <w:basedOn w:val="90"/>
    <w:link w:val="35"/>
    <w:qFormat/>
    <w:uiPriority w:val="0"/>
    <w:rPr>
      <w:rFonts w:ascii="Times New Roman" w:hAnsi="Times New Roman" w:eastAsia="宋体" w:cs="Times New Roman"/>
      <w:kern w:val="0"/>
      <w:szCs w:val="20"/>
      <w:lang w:val="zh-CN" w:eastAsia="zh-CN"/>
    </w:rPr>
  </w:style>
  <w:style w:type="character" w:customStyle="1" w:styleId="136">
    <w:name w:val="正文文本 2 Char"/>
    <w:basedOn w:val="90"/>
    <w:link w:val="76"/>
    <w:qFormat/>
    <w:uiPriority w:val="0"/>
    <w:rPr>
      <w:rFonts w:ascii="Times New Roman" w:hAnsi="Times New Roman" w:eastAsia="宋体" w:cs="Times New Roman"/>
      <w:kern w:val="0"/>
      <w:szCs w:val="20"/>
      <w:lang w:val="zh-CN" w:eastAsia="zh-CN"/>
    </w:rPr>
  </w:style>
  <w:style w:type="character" w:customStyle="1" w:styleId="137">
    <w:name w:val="副标题 Char"/>
    <w:basedOn w:val="90"/>
    <w:link w:val="64"/>
    <w:qFormat/>
    <w:uiPriority w:val="0"/>
    <w:rPr>
      <w:rFonts w:ascii="Arial" w:hAnsi="Arial" w:eastAsia="宋体" w:cs="Times New Roman"/>
      <w:b/>
      <w:bCs/>
      <w:kern w:val="28"/>
      <w:sz w:val="32"/>
      <w:szCs w:val="32"/>
      <w:lang w:val="zh-CN" w:eastAsia="zh-CN"/>
    </w:rPr>
  </w:style>
  <w:style w:type="paragraph" w:customStyle="1" w:styleId="138">
    <w:name w:val="默认段落字体 Para Char"/>
    <w:basedOn w:val="1"/>
    <w:qFormat/>
    <w:uiPriority w:val="0"/>
    <w:pPr>
      <w:tabs>
        <w:tab w:val="left" w:pos="980"/>
      </w:tabs>
      <w:ind w:left="980" w:hanging="420"/>
    </w:pPr>
    <w:rPr>
      <w:rFonts w:ascii="Times New Roman" w:hAnsi="Times New Roman" w:eastAsia="宋体" w:cs="Times New Roman"/>
      <w:sz w:val="24"/>
      <w:szCs w:val="24"/>
    </w:rPr>
  </w:style>
  <w:style w:type="character" w:customStyle="1" w:styleId="139">
    <w:name w:val="纯文本 Char"/>
    <w:basedOn w:val="90"/>
    <w:link w:val="45"/>
    <w:qFormat/>
    <w:uiPriority w:val="0"/>
    <w:rPr>
      <w:rFonts w:ascii="宋体" w:hAnsi="Courier New" w:eastAsia="宋体" w:cs="Times New Roman"/>
      <w:kern w:val="0"/>
      <w:szCs w:val="21"/>
      <w:lang w:val="zh-CN" w:eastAsia="zh-CN"/>
    </w:rPr>
  </w:style>
  <w:style w:type="character" w:customStyle="1" w:styleId="140">
    <w:name w:val="HTML 地址 Char"/>
    <w:basedOn w:val="90"/>
    <w:link w:val="41"/>
    <w:qFormat/>
    <w:uiPriority w:val="0"/>
    <w:rPr>
      <w:rFonts w:ascii="Times New Roman" w:hAnsi="Times New Roman" w:eastAsia="宋体" w:cs="Times New Roman"/>
      <w:i/>
      <w:iCs/>
      <w:kern w:val="0"/>
      <w:szCs w:val="20"/>
      <w:lang w:val="zh-CN" w:eastAsia="zh-CN"/>
    </w:rPr>
  </w:style>
  <w:style w:type="character" w:customStyle="1" w:styleId="141">
    <w:name w:val="正文首行缩进 2 Char"/>
    <w:basedOn w:val="135"/>
    <w:link w:val="87"/>
    <w:qFormat/>
    <w:uiPriority w:val="0"/>
    <w:rPr>
      <w:rFonts w:ascii="Times New Roman" w:hAnsi="Times New Roman" w:eastAsia="宋体" w:cs="Times New Roman"/>
      <w:kern w:val="0"/>
      <w:szCs w:val="20"/>
      <w:lang w:val="zh-CN" w:eastAsia="zh-CN"/>
    </w:rPr>
  </w:style>
  <w:style w:type="character" w:customStyle="1" w:styleId="142">
    <w:name w:val="批注框文本 Char"/>
    <w:basedOn w:val="90"/>
    <w:link w:val="54"/>
    <w:qFormat/>
    <w:uiPriority w:val="0"/>
    <w:rPr>
      <w:rFonts w:ascii="Times New Roman" w:hAnsi="Times New Roman" w:eastAsia="宋体" w:cs="Times New Roman"/>
      <w:kern w:val="0"/>
      <w:sz w:val="18"/>
      <w:szCs w:val="18"/>
      <w:lang w:val="zh-CN" w:eastAsia="zh-CN"/>
    </w:rPr>
  </w:style>
  <w:style w:type="character" w:customStyle="1" w:styleId="143">
    <w:name w:val="宏文本 Char"/>
    <w:basedOn w:val="90"/>
    <w:link w:val="3"/>
    <w:qFormat/>
    <w:uiPriority w:val="0"/>
    <w:rPr>
      <w:rFonts w:ascii="Courier New" w:hAnsi="Courier New" w:eastAsia="宋体" w:cs="Times New Roman"/>
      <w:kern w:val="0"/>
      <w:sz w:val="24"/>
      <w:szCs w:val="24"/>
    </w:rPr>
  </w:style>
  <w:style w:type="character" w:customStyle="1" w:styleId="144">
    <w:name w:val="签名 Char"/>
    <w:basedOn w:val="90"/>
    <w:link w:val="58"/>
    <w:qFormat/>
    <w:uiPriority w:val="0"/>
    <w:rPr>
      <w:rFonts w:ascii="Times New Roman" w:hAnsi="Times New Roman" w:eastAsia="宋体" w:cs="Times New Roman"/>
      <w:kern w:val="0"/>
      <w:szCs w:val="20"/>
      <w:lang w:val="zh-CN" w:eastAsia="zh-CN"/>
    </w:rPr>
  </w:style>
  <w:style w:type="paragraph" w:customStyle="1" w:styleId="145">
    <w:name w:val="Char Char Char Char Char Char Char Char"/>
    <w:basedOn w:val="1"/>
    <w:qFormat/>
    <w:uiPriority w:val="0"/>
    <w:rPr>
      <w:rFonts w:ascii="Times New Roman" w:hAnsi="Times New Roman" w:eastAsia="宋体" w:cs="Times New Roman"/>
      <w:kern w:val="0"/>
      <w:szCs w:val="20"/>
    </w:rPr>
  </w:style>
  <w:style w:type="character" w:customStyle="1" w:styleId="146">
    <w:name w:val="正文文本 Char"/>
    <w:basedOn w:val="90"/>
    <w:link w:val="34"/>
    <w:qFormat/>
    <w:uiPriority w:val="0"/>
  </w:style>
  <w:style w:type="character" w:customStyle="1" w:styleId="147">
    <w:name w:val="正文首行缩进 Char"/>
    <w:basedOn w:val="146"/>
    <w:link w:val="86"/>
    <w:qFormat/>
    <w:uiPriority w:val="0"/>
    <w:rPr>
      <w:rFonts w:ascii="Times New Roman" w:hAnsi="Times New Roman" w:eastAsia="宋体" w:cs="Times New Roman"/>
      <w:kern w:val="0"/>
      <w:szCs w:val="20"/>
      <w:lang w:val="zh-CN" w:eastAsia="zh-CN"/>
    </w:rPr>
  </w:style>
  <w:style w:type="character" w:customStyle="1" w:styleId="148">
    <w:name w:val="信息标题 Char"/>
    <w:basedOn w:val="90"/>
    <w:link w:val="79"/>
    <w:qFormat/>
    <w:uiPriority w:val="0"/>
    <w:rPr>
      <w:rFonts w:ascii="Arial" w:hAnsi="Arial" w:eastAsia="宋体" w:cs="Times New Roman"/>
      <w:kern w:val="0"/>
      <w:sz w:val="24"/>
      <w:szCs w:val="24"/>
      <w:shd w:val="pct20" w:color="auto" w:fill="auto"/>
      <w:lang w:val="zh-CN" w:eastAsia="zh-CN"/>
    </w:rPr>
  </w:style>
  <w:style w:type="character" w:customStyle="1" w:styleId="149">
    <w:name w:val="脚注文本 Char"/>
    <w:basedOn w:val="90"/>
    <w:link w:val="67"/>
    <w:qFormat/>
    <w:uiPriority w:val="0"/>
    <w:rPr>
      <w:rFonts w:ascii="Times New Roman" w:hAnsi="Times New Roman" w:eastAsia="宋体" w:cs="Times New Roman"/>
      <w:kern w:val="0"/>
      <w:sz w:val="18"/>
      <w:szCs w:val="18"/>
      <w:lang w:val="zh-CN" w:eastAsia="zh-CN"/>
    </w:rPr>
  </w:style>
  <w:style w:type="character" w:customStyle="1" w:styleId="150">
    <w:name w:val="正文文本缩进 3 Char"/>
    <w:basedOn w:val="90"/>
    <w:link w:val="70"/>
    <w:qFormat/>
    <w:uiPriority w:val="0"/>
    <w:rPr>
      <w:rFonts w:ascii="Times New Roman" w:hAnsi="Times New Roman" w:eastAsia="宋体" w:cs="Times New Roman"/>
      <w:kern w:val="0"/>
      <w:sz w:val="16"/>
      <w:szCs w:val="16"/>
      <w:lang w:val="zh-CN" w:eastAsia="zh-CN"/>
    </w:rPr>
  </w:style>
  <w:style w:type="paragraph" w:styleId="151">
    <w:name w:val="List Paragraph"/>
    <w:basedOn w:val="1"/>
    <w:qFormat/>
    <w:uiPriority w:val="0"/>
    <w:pPr>
      <w:ind w:firstLine="420" w:firstLineChars="200"/>
    </w:pPr>
    <w:rPr>
      <w:rFonts w:ascii="Calibri" w:hAnsi="Calibri" w:eastAsia="宋体" w:cs="Times New Roman"/>
    </w:rPr>
  </w:style>
  <w:style w:type="character" w:customStyle="1" w:styleId="152">
    <w:name w:val="HTML 预设格式 Char"/>
    <w:basedOn w:val="90"/>
    <w:link w:val="80"/>
    <w:qFormat/>
    <w:uiPriority w:val="0"/>
    <w:rPr>
      <w:rFonts w:ascii="Courier New" w:hAnsi="Courier New" w:eastAsia="宋体" w:cs="Times New Roman"/>
      <w:kern w:val="0"/>
      <w:sz w:val="20"/>
      <w:szCs w:val="20"/>
      <w:lang w:val="zh-CN" w:eastAsia="zh-CN"/>
    </w:rPr>
  </w:style>
  <w:style w:type="character" w:customStyle="1" w:styleId="153">
    <w:name w:val="标题 Char"/>
    <w:basedOn w:val="90"/>
    <w:link w:val="84"/>
    <w:qFormat/>
    <w:uiPriority w:val="0"/>
    <w:rPr>
      <w:rFonts w:ascii="Arial" w:hAnsi="Arial" w:eastAsia="宋体" w:cs="Times New Roman"/>
      <w:b/>
      <w:bCs/>
      <w:kern w:val="0"/>
      <w:sz w:val="32"/>
      <w:szCs w:val="32"/>
      <w:lang w:val="zh-CN" w:eastAsia="zh-CN"/>
    </w:rPr>
  </w:style>
  <w:style w:type="paragraph" w:customStyle="1" w:styleId="154">
    <w:name w:val="p0"/>
    <w:basedOn w:val="1"/>
    <w:qFormat/>
    <w:uiPriority w:val="0"/>
    <w:pPr>
      <w:widowControl/>
      <w:jc w:val="left"/>
    </w:pPr>
    <w:rPr>
      <w:rFonts w:ascii="Times New Roman" w:hAnsi="Times New Roman" w:eastAsia="宋体" w:cs="Times New Roman"/>
      <w:kern w:val="0"/>
      <w:szCs w:val="21"/>
    </w:rPr>
  </w:style>
  <w:style w:type="paragraph" w:customStyle="1" w:styleId="155">
    <w:name w:val="Char"/>
    <w:basedOn w:val="1"/>
    <w:semiHidden/>
    <w:qFormat/>
    <w:uiPriority w:val="0"/>
    <w:rPr>
      <w:rFonts w:ascii="Times New Roman" w:hAnsi="Times New Roman" w:eastAsia="宋体" w:cs="Times New Roman"/>
      <w:szCs w:val="24"/>
    </w:rPr>
  </w:style>
  <w:style w:type="paragraph" w:customStyle="1" w:styleId="156">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57">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8">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59">
    <w:name w:val="font7"/>
    <w:basedOn w:val="1"/>
    <w:qFormat/>
    <w:uiPriority w:val="0"/>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160">
    <w:name w:val="font8"/>
    <w:basedOn w:val="1"/>
    <w:qFormat/>
    <w:uiPriority w:val="0"/>
    <w:pPr>
      <w:widowControl/>
      <w:spacing w:before="100" w:beforeAutospacing="1" w:after="100" w:afterAutospacing="1"/>
      <w:jc w:val="left"/>
    </w:pPr>
    <w:rPr>
      <w:rFonts w:ascii="宋体" w:hAnsi="宋体" w:eastAsia="宋体" w:cs="宋体"/>
      <w:b/>
      <w:bCs/>
      <w:color w:val="000000"/>
      <w:kern w:val="0"/>
      <w:sz w:val="16"/>
      <w:szCs w:val="16"/>
    </w:rPr>
  </w:style>
  <w:style w:type="paragraph" w:customStyle="1" w:styleId="161">
    <w:name w:val="font9"/>
    <w:basedOn w:val="1"/>
    <w:qFormat/>
    <w:uiPriority w:val="0"/>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162">
    <w:name w:val="font10"/>
    <w:basedOn w:val="1"/>
    <w:qFormat/>
    <w:uiPriority w:val="0"/>
    <w:pPr>
      <w:widowControl/>
      <w:spacing w:before="100" w:beforeAutospacing="1" w:after="100" w:afterAutospacing="1"/>
      <w:jc w:val="left"/>
    </w:pPr>
    <w:rPr>
      <w:rFonts w:ascii="宋体" w:hAnsi="宋体" w:eastAsia="宋体" w:cs="宋体"/>
      <w:color w:val="000000"/>
      <w:kern w:val="0"/>
      <w:sz w:val="16"/>
      <w:szCs w:val="16"/>
    </w:rPr>
  </w:style>
  <w:style w:type="paragraph" w:customStyle="1" w:styleId="163">
    <w:name w:val="font12"/>
    <w:basedOn w:val="1"/>
    <w:qFormat/>
    <w:uiPriority w:val="0"/>
    <w:pPr>
      <w:widowControl/>
      <w:spacing w:before="100" w:beforeAutospacing="1" w:after="100" w:afterAutospacing="1"/>
      <w:jc w:val="left"/>
    </w:pPr>
    <w:rPr>
      <w:rFonts w:ascii="宋体" w:hAnsi="宋体" w:eastAsia="宋体" w:cs="宋体"/>
      <w:color w:val="FF0000"/>
      <w:kern w:val="0"/>
      <w:sz w:val="16"/>
      <w:szCs w:val="16"/>
    </w:rPr>
  </w:style>
  <w:style w:type="paragraph" w:customStyle="1" w:styleId="164">
    <w:name w:val="font13"/>
    <w:basedOn w:val="1"/>
    <w:qFormat/>
    <w:uiPriority w:val="0"/>
    <w:pPr>
      <w:widowControl/>
      <w:spacing w:before="100" w:beforeAutospacing="1" w:after="100" w:afterAutospacing="1"/>
      <w:jc w:val="left"/>
    </w:pPr>
    <w:rPr>
      <w:rFonts w:ascii="Arial Narrow" w:hAnsi="Arial Narrow" w:eastAsia="宋体" w:cs="宋体"/>
      <w:b/>
      <w:bCs/>
      <w:color w:val="000000"/>
      <w:kern w:val="0"/>
      <w:sz w:val="16"/>
      <w:szCs w:val="16"/>
    </w:rPr>
  </w:style>
  <w:style w:type="paragraph" w:customStyle="1" w:styleId="165">
    <w:name w:val="font14"/>
    <w:basedOn w:val="1"/>
    <w:qFormat/>
    <w:uiPriority w:val="0"/>
    <w:pPr>
      <w:widowControl/>
      <w:spacing w:before="100" w:beforeAutospacing="1" w:after="100" w:afterAutospacing="1"/>
      <w:jc w:val="left"/>
    </w:pPr>
    <w:rPr>
      <w:rFonts w:ascii="Arial Narrow" w:hAnsi="Arial Narrow" w:eastAsia="宋体" w:cs="宋体"/>
      <w:color w:val="000000"/>
      <w:kern w:val="0"/>
      <w:sz w:val="16"/>
      <w:szCs w:val="16"/>
    </w:rPr>
  </w:style>
  <w:style w:type="paragraph" w:customStyle="1" w:styleId="166">
    <w:name w:val="xl65"/>
    <w:basedOn w:val="1"/>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167">
    <w:name w:val="xl6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68">
    <w:name w:val="xl6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69">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17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3">
    <w:name w:val="xl7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4">
    <w:name w:val="xl73"/>
    <w:basedOn w:val="1"/>
    <w:qFormat/>
    <w:uiPriority w:val="0"/>
    <w:pPr>
      <w:widowControl/>
      <w:spacing w:before="100" w:beforeAutospacing="1" w:after="100" w:afterAutospacing="1"/>
      <w:jc w:val="left"/>
    </w:pPr>
    <w:rPr>
      <w:rFonts w:ascii="Arial Narrow" w:hAnsi="Arial Narrow" w:eastAsia="宋体" w:cs="宋体"/>
      <w:kern w:val="0"/>
      <w:sz w:val="16"/>
      <w:szCs w:val="16"/>
    </w:rPr>
  </w:style>
  <w:style w:type="paragraph" w:customStyle="1" w:styleId="175">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6">
    <w:name w:val="xl7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7">
    <w:name w:val="xl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79">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180">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eastAsia="宋体" w:cs="宋体"/>
      <w:kern w:val="0"/>
      <w:sz w:val="16"/>
      <w:szCs w:val="16"/>
    </w:rPr>
  </w:style>
  <w:style w:type="paragraph" w:customStyle="1" w:styleId="181">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Arial Narrow" w:hAnsi="Arial Narrow" w:eastAsia="宋体" w:cs="宋体"/>
      <w:kern w:val="0"/>
      <w:sz w:val="16"/>
      <w:szCs w:val="16"/>
    </w:rPr>
  </w:style>
  <w:style w:type="paragraph" w:customStyle="1" w:styleId="18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eastAsia="宋体" w:cs="宋体"/>
      <w:kern w:val="0"/>
      <w:sz w:val="16"/>
      <w:szCs w:val="16"/>
    </w:rPr>
  </w:style>
  <w:style w:type="paragraph" w:customStyle="1" w:styleId="1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Arial Narrow" w:hAnsi="Arial Narrow" w:eastAsia="宋体" w:cs="宋体"/>
      <w:kern w:val="0"/>
      <w:sz w:val="16"/>
      <w:szCs w:val="16"/>
    </w:rPr>
  </w:style>
  <w:style w:type="paragraph" w:customStyle="1" w:styleId="184">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eastAsia="宋体" w:cs="宋体"/>
      <w:kern w:val="0"/>
      <w:sz w:val="16"/>
      <w:szCs w:val="16"/>
    </w:rPr>
  </w:style>
  <w:style w:type="paragraph" w:customStyle="1" w:styleId="18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Arial Narrow" w:hAnsi="Arial Narrow" w:eastAsia="宋体" w:cs="宋体"/>
      <w:kern w:val="0"/>
      <w:sz w:val="16"/>
      <w:szCs w:val="16"/>
    </w:rPr>
  </w:style>
  <w:style w:type="paragraph" w:customStyle="1" w:styleId="186">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Arial Narrow" w:hAnsi="Arial Narrow" w:eastAsia="宋体" w:cs="宋体"/>
      <w:kern w:val="0"/>
      <w:sz w:val="16"/>
      <w:szCs w:val="16"/>
    </w:rPr>
  </w:style>
  <w:style w:type="paragraph" w:customStyle="1" w:styleId="187">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188">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189">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190">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19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19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19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194">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19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19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197">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19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199">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200">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01">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color w:val="000000"/>
      <w:kern w:val="0"/>
      <w:sz w:val="16"/>
      <w:szCs w:val="16"/>
    </w:rPr>
  </w:style>
  <w:style w:type="paragraph" w:customStyle="1" w:styleId="202">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03">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204">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205">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06">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color w:val="000000"/>
      <w:kern w:val="0"/>
      <w:sz w:val="16"/>
      <w:szCs w:val="16"/>
    </w:rPr>
  </w:style>
  <w:style w:type="paragraph" w:customStyle="1" w:styleId="207">
    <w:name w:val="xl10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eastAsia="宋体" w:cs="宋体"/>
      <w:kern w:val="0"/>
      <w:sz w:val="16"/>
      <w:szCs w:val="16"/>
    </w:rPr>
  </w:style>
  <w:style w:type="paragraph" w:customStyle="1" w:styleId="208">
    <w:name w:val="xl10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209">
    <w:name w:val="xl1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10">
    <w:name w:val="xl1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211">
    <w:name w:val="xl11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Arial Narrow" w:hAnsi="Arial Narrow" w:eastAsia="宋体" w:cs="宋体"/>
      <w:kern w:val="0"/>
      <w:sz w:val="16"/>
      <w:szCs w:val="16"/>
    </w:rPr>
  </w:style>
  <w:style w:type="paragraph" w:customStyle="1" w:styleId="212">
    <w:name w:val="xl11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13">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Arial Narrow" w:hAnsi="Arial Narrow" w:eastAsia="宋体" w:cs="宋体"/>
      <w:kern w:val="0"/>
      <w:sz w:val="16"/>
      <w:szCs w:val="16"/>
    </w:rPr>
  </w:style>
  <w:style w:type="paragraph" w:customStyle="1" w:styleId="214">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Arial Narrow" w:hAnsi="Arial Narrow" w:eastAsia="宋体" w:cs="宋体"/>
      <w:kern w:val="0"/>
      <w:sz w:val="16"/>
      <w:szCs w:val="16"/>
    </w:rPr>
  </w:style>
  <w:style w:type="paragraph" w:customStyle="1" w:styleId="215">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216">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217">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218">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pPr>
    <w:rPr>
      <w:rFonts w:ascii="Arial Narrow" w:hAnsi="Arial Narrow" w:eastAsia="宋体" w:cs="宋体"/>
      <w:kern w:val="0"/>
      <w:sz w:val="16"/>
      <w:szCs w:val="16"/>
    </w:rPr>
  </w:style>
  <w:style w:type="paragraph" w:customStyle="1" w:styleId="219">
    <w:name w:val="xl118"/>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eastAsia="宋体" w:cs="宋体"/>
      <w:kern w:val="0"/>
      <w:sz w:val="16"/>
      <w:szCs w:val="16"/>
    </w:rPr>
  </w:style>
  <w:style w:type="paragraph" w:customStyle="1" w:styleId="220">
    <w:name w:val="xl1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2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color w:val="FF0000"/>
      <w:kern w:val="0"/>
      <w:sz w:val="16"/>
      <w:szCs w:val="16"/>
    </w:rPr>
  </w:style>
  <w:style w:type="paragraph" w:customStyle="1" w:styleId="22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color w:val="FF0000"/>
      <w:kern w:val="0"/>
      <w:sz w:val="16"/>
      <w:szCs w:val="16"/>
    </w:rPr>
  </w:style>
  <w:style w:type="paragraph" w:customStyle="1" w:styleId="223">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kern w:val="0"/>
      <w:sz w:val="16"/>
      <w:szCs w:val="16"/>
    </w:rPr>
  </w:style>
  <w:style w:type="paragraph" w:customStyle="1" w:styleId="22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kern w:val="0"/>
      <w:sz w:val="16"/>
      <w:szCs w:val="16"/>
    </w:rPr>
  </w:style>
  <w:style w:type="paragraph" w:customStyle="1" w:styleId="225">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color w:val="FF0000"/>
      <w:kern w:val="0"/>
      <w:sz w:val="16"/>
      <w:szCs w:val="16"/>
    </w:rPr>
  </w:style>
  <w:style w:type="paragraph" w:customStyle="1" w:styleId="226">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color w:val="FF0000"/>
      <w:kern w:val="0"/>
      <w:sz w:val="16"/>
      <w:szCs w:val="16"/>
    </w:rPr>
  </w:style>
  <w:style w:type="paragraph" w:customStyle="1" w:styleId="227">
    <w:name w:val="xl126"/>
    <w:basedOn w:val="1"/>
    <w:qFormat/>
    <w:uiPriority w:val="0"/>
    <w:pPr>
      <w:widowControl/>
      <w:spacing w:before="100" w:beforeAutospacing="1" w:after="100" w:afterAutospacing="1"/>
      <w:jc w:val="center"/>
    </w:pPr>
    <w:rPr>
      <w:rFonts w:ascii="Arial Narrow" w:hAnsi="Arial Narrow" w:eastAsia="宋体" w:cs="宋体"/>
      <w:kern w:val="0"/>
      <w:sz w:val="16"/>
      <w:szCs w:val="16"/>
    </w:rPr>
  </w:style>
  <w:style w:type="paragraph" w:customStyle="1" w:styleId="228">
    <w:name w:val="xl127"/>
    <w:basedOn w:val="1"/>
    <w:qFormat/>
    <w:uiPriority w:val="0"/>
    <w:pPr>
      <w:widowControl/>
      <w:spacing w:before="100" w:beforeAutospacing="1" w:after="100" w:afterAutospacing="1"/>
      <w:jc w:val="center"/>
    </w:pPr>
    <w:rPr>
      <w:rFonts w:ascii="Arial Narrow" w:hAnsi="Arial Narrow" w:eastAsia="宋体" w:cs="宋体"/>
      <w:kern w:val="0"/>
      <w:sz w:val="16"/>
      <w:szCs w:val="16"/>
    </w:rPr>
  </w:style>
  <w:style w:type="paragraph" w:customStyle="1" w:styleId="229">
    <w:name w:val="xl128"/>
    <w:basedOn w:val="1"/>
    <w:qFormat/>
    <w:uiPriority w:val="0"/>
    <w:pPr>
      <w:widowControl/>
      <w:spacing w:before="100" w:beforeAutospacing="1" w:after="100" w:afterAutospacing="1"/>
      <w:jc w:val="left"/>
    </w:pPr>
    <w:rPr>
      <w:rFonts w:ascii="Arial Narrow" w:hAnsi="Arial Narrow" w:eastAsia="宋体" w:cs="宋体"/>
      <w:kern w:val="0"/>
      <w:sz w:val="16"/>
      <w:szCs w:val="16"/>
    </w:rPr>
  </w:style>
  <w:style w:type="paragraph" w:customStyle="1" w:styleId="230">
    <w:name w:val="xl129"/>
    <w:basedOn w:val="1"/>
    <w:qFormat/>
    <w:uiPriority w:val="0"/>
    <w:pPr>
      <w:widowControl/>
      <w:spacing w:before="100" w:beforeAutospacing="1" w:after="100" w:afterAutospacing="1"/>
      <w:jc w:val="center"/>
    </w:pPr>
    <w:rPr>
      <w:rFonts w:ascii="Arial Narrow" w:hAnsi="Arial Narrow" w:eastAsia="宋体" w:cs="宋体"/>
      <w:kern w:val="0"/>
      <w:sz w:val="16"/>
      <w:szCs w:val="16"/>
    </w:rPr>
  </w:style>
  <w:style w:type="paragraph" w:customStyle="1" w:styleId="231">
    <w:name w:val="xl130"/>
    <w:basedOn w:val="1"/>
    <w:qFormat/>
    <w:uiPriority w:val="0"/>
    <w:pPr>
      <w:widowControl/>
      <w:spacing w:before="100" w:beforeAutospacing="1" w:after="100" w:afterAutospacing="1"/>
      <w:jc w:val="left"/>
    </w:pPr>
    <w:rPr>
      <w:rFonts w:ascii="Arial Narrow" w:hAnsi="Arial Narrow" w:eastAsia="宋体" w:cs="宋体"/>
      <w:kern w:val="0"/>
      <w:sz w:val="16"/>
      <w:szCs w:val="16"/>
    </w:rPr>
  </w:style>
  <w:style w:type="paragraph" w:customStyle="1" w:styleId="232">
    <w:name w:val="xl131"/>
    <w:basedOn w:val="1"/>
    <w:qFormat/>
    <w:uiPriority w:val="0"/>
    <w:pPr>
      <w:widowControl/>
      <w:spacing w:before="100" w:beforeAutospacing="1" w:after="100" w:afterAutospacing="1"/>
      <w:jc w:val="left"/>
    </w:pPr>
    <w:rPr>
      <w:rFonts w:ascii="Arial Narrow" w:hAnsi="Arial Narrow" w:eastAsia="宋体" w:cs="宋体"/>
      <w:kern w:val="0"/>
      <w:sz w:val="16"/>
      <w:szCs w:val="16"/>
    </w:rPr>
  </w:style>
  <w:style w:type="paragraph" w:customStyle="1" w:styleId="233">
    <w:name w:val="xl1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Arial Narrow" w:hAnsi="Arial Narrow" w:eastAsia="宋体" w:cs="宋体"/>
      <w:kern w:val="0"/>
      <w:sz w:val="16"/>
      <w:szCs w:val="16"/>
    </w:rPr>
  </w:style>
  <w:style w:type="paragraph" w:customStyle="1" w:styleId="234">
    <w:name w:val="xl13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Arial Narrow" w:hAnsi="Arial Narrow" w:eastAsia="宋体" w:cs="宋体"/>
      <w:color w:val="000000"/>
      <w:kern w:val="0"/>
      <w:sz w:val="16"/>
      <w:szCs w:val="16"/>
    </w:rPr>
  </w:style>
  <w:style w:type="paragraph" w:customStyle="1" w:styleId="235">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color w:val="000000"/>
      <w:kern w:val="0"/>
      <w:sz w:val="16"/>
      <w:szCs w:val="16"/>
    </w:rPr>
  </w:style>
  <w:style w:type="paragraph" w:customStyle="1" w:styleId="236">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16"/>
      <w:szCs w:val="16"/>
    </w:rPr>
  </w:style>
  <w:style w:type="paragraph" w:customStyle="1" w:styleId="237">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238">
    <w:name w:val="xl1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b/>
      <w:bCs/>
      <w:kern w:val="0"/>
      <w:sz w:val="16"/>
      <w:szCs w:val="16"/>
    </w:rPr>
  </w:style>
  <w:style w:type="paragraph" w:customStyle="1" w:styleId="239">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Narrow" w:hAnsi="Arial Narrow" w:eastAsia="宋体" w:cs="宋体"/>
      <w:b/>
      <w:bCs/>
      <w:kern w:val="0"/>
      <w:sz w:val="16"/>
      <w:szCs w:val="16"/>
    </w:rPr>
  </w:style>
  <w:style w:type="paragraph" w:customStyle="1" w:styleId="240">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b/>
      <w:bCs/>
      <w:kern w:val="0"/>
      <w:sz w:val="16"/>
      <w:szCs w:val="16"/>
    </w:rPr>
  </w:style>
  <w:style w:type="paragraph" w:customStyle="1" w:styleId="241">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Narrow" w:hAnsi="Arial Narrow" w:eastAsia="宋体" w:cs="宋体"/>
      <w:b/>
      <w:bCs/>
      <w:kern w:val="0"/>
      <w:sz w:val="16"/>
      <w:szCs w:val="16"/>
    </w:rPr>
  </w:style>
  <w:style w:type="paragraph" w:customStyle="1" w:styleId="242">
    <w:name w:val="Char Char Char1 Char Char Char Char1"/>
    <w:basedOn w:val="1"/>
    <w:qFormat/>
    <w:uiPriority w:val="0"/>
    <w:rPr>
      <w:rFonts w:ascii="Times New Roman" w:hAnsi="Times New Roman" w:eastAsia="宋体" w:cs="Times New Roman"/>
      <w:kern w:val="0"/>
      <w:szCs w:val="20"/>
    </w:rPr>
  </w:style>
  <w:style w:type="paragraph" w:customStyle="1" w:styleId="243">
    <w:name w:val="Char Char Char Char Char Char Char Char Char Char Char Char Char Char1"/>
    <w:basedOn w:val="1"/>
    <w:qFormat/>
    <w:uiPriority w:val="0"/>
    <w:rPr>
      <w:rFonts w:ascii="Times New Roman" w:hAnsi="Times New Roman" w:eastAsia="宋体" w:cs="Times New Roman"/>
      <w:kern w:val="0"/>
      <w:szCs w:val="20"/>
    </w:rPr>
  </w:style>
  <w:style w:type="paragraph" w:customStyle="1" w:styleId="244">
    <w:name w:val="Char Char Char Char Char Char Char Char1"/>
    <w:basedOn w:val="1"/>
    <w:qFormat/>
    <w:uiPriority w:val="0"/>
    <w:rPr>
      <w:rFonts w:ascii="Times New Roman" w:hAnsi="Times New Roman" w:eastAsia="宋体" w:cs="Times New Roman"/>
      <w:kern w:val="0"/>
      <w:szCs w:val="20"/>
    </w:rPr>
  </w:style>
  <w:style w:type="paragraph" w:customStyle="1" w:styleId="24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246">
    <w:name w:val="font71"/>
    <w:basedOn w:val="90"/>
    <w:qFormat/>
    <w:uiPriority w:val="0"/>
    <w:rPr>
      <w:rFonts w:hint="eastAsia" w:ascii="仿宋_GB2312" w:eastAsia="仿宋_GB2312" w:cs="仿宋_GB2312"/>
      <w:color w:val="000000"/>
      <w:sz w:val="22"/>
      <w:szCs w:val="22"/>
      <w:u w:val="none"/>
    </w:rPr>
  </w:style>
  <w:style w:type="character" w:customStyle="1" w:styleId="247">
    <w:name w:val="NormalCharacter"/>
    <w:link w:val="95"/>
    <w:qFormat/>
    <w:uiPriority w:val="0"/>
    <w:rPr>
      <w:rFonts w:ascii="Times New Roman" w:hAnsi="Times New Roman"/>
      <w:kern w:val="0"/>
      <w:sz w:val="30"/>
      <w:szCs w:val="20"/>
    </w:rPr>
  </w:style>
  <w:style w:type="paragraph" w:customStyle="1" w:styleId="248">
    <w:name w:val="_Style 247"/>
    <w:basedOn w:val="1"/>
    <w:next w:val="1"/>
    <w:unhideWhenUsed/>
    <w:qFormat/>
    <w:uiPriority w:val="39"/>
    <w:pPr>
      <w:widowControl/>
      <w:tabs>
        <w:tab w:val="right" w:leader="dot" w:pos="8931"/>
      </w:tabs>
      <w:spacing w:line="420" w:lineRule="exact"/>
      <w:ind w:right="25" w:rightChars="12"/>
      <w:jc w:val="left"/>
    </w:pPr>
    <w:rPr>
      <w:rFonts w:ascii="Calibri" w:hAnsi="Calibri" w:eastAsia="宋体" w:cs="Times New Roman"/>
      <w:kern w:val="0"/>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773A0-3034-4B76-8B51-79E9E0881562}">
  <ds:schemaRefs/>
</ds:datastoreItem>
</file>

<file path=docProps/app.xml><?xml version="1.0" encoding="utf-8"?>
<Properties xmlns="http://schemas.openxmlformats.org/officeDocument/2006/extended-properties" xmlns:vt="http://schemas.openxmlformats.org/officeDocument/2006/docPropsVTypes">
  <Template>Normal</Template>
  <Pages>37</Pages>
  <Words>933</Words>
  <Characters>986</Characters>
  <Lines>171</Lines>
  <Paragraphs>48</Paragraphs>
  <TotalTime>10100</TotalTime>
  <ScaleCrop>false</ScaleCrop>
  <LinksUpToDate>false</LinksUpToDate>
  <CharactersWithSpaces>1069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2020-10-10T09:12:00Z</dcterms:created>
  <dc:creator>Windows 用户</dc:creator>
  <cp:lastModifiedBy>momo</cp:lastModifiedBy>
  <cp:lastPrinted>2022-09-28T02:42:00Z</cp:lastPrinted>
  <dcterms:modified xsi:type="dcterms:W3CDTF">2026-02-03T01:21:59Z</dcterms:modified>
  <cp:revision>1054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2D6BAF4164584C659597C4C9E492364F</vt:lpwstr>
  </property>
  <property fmtid="{D5CDD505-2E9C-101B-9397-08002B2CF9AE}" pid="4" name="KSOTemplateDocerSaveRecord">
    <vt:lpwstr>eyJoZGlkIjoiNzQ4ZTZhZDMyNTkwZmUxMTJhMzgzZDEzMWZlM2U4MjYiLCJ1c2VySWQiOiIxMDg0Njk1MDExIn0=</vt:lpwstr>
  </property>
</Properties>
</file>