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B99C5">
      <w:pPr>
        <w:rPr>
          <w:rFonts w:hint="default" w:ascii="Times New Roman" w:hAnsi="Times New Roman" w:eastAsia="宋体" w:cs="Times New Roman"/>
          <w:color w:val="auto"/>
          <w:sz w:val="36"/>
          <w:szCs w:val="36"/>
        </w:rPr>
      </w:pPr>
      <w:bookmarkStart w:id="19" w:name="_GoBack"/>
      <w:bookmarkEnd w:id="19"/>
    </w:p>
    <w:p w14:paraId="5A5BEB01">
      <w:pPr>
        <w:rPr>
          <w:rFonts w:hint="default" w:ascii="Times New Roman" w:hAnsi="Times New Roman" w:eastAsia="宋体" w:cs="Times New Roman"/>
          <w:color w:val="auto"/>
          <w:sz w:val="36"/>
          <w:szCs w:val="36"/>
        </w:rPr>
      </w:pPr>
    </w:p>
    <w:sdt>
      <w:sdtPr>
        <w:rPr>
          <w:rFonts w:hint="default" w:ascii="Times New Roman" w:hAnsi="Times New Roman" w:eastAsia="宋体" w:cs="Times New Roman"/>
          <w:color w:val="auto"/>
          <w:kern w:val="2"/>
          <w:sz w:val="36"/>
          <w:szCs w:val="36"/>
          <w:lang w:val="en-US" w:eastAsia="zh-CN" w:bidi="ar-SA"/>
        </w:rPr>
        <w:id w:val="147457654"/>
        <w15:color w:val="DBDBDB"/>
        <w:docPartObj>
          <w:docPartGallery w:val="Table of Contents"/>
          <w:docPartUnique/>
        </w:docPartObj>
      </w:sdtPr>
      <w:sdtEndPr>
        <w:rPr>
          <w:rFonts w:hint="default" w:ascii="Times New Roman" w:hAnsi="Times New Roman" w:eastAsia="宋体" w:cs="Times New Roman"/>
          <w:color w:val="auto"/>
          <w:kern w:val="0"/>
          <w:sz w:val="24"/>
          <w:szCs w:val="20"/>
          <w:lang w:val="en-US" w:eastAsia="zh-CN" w:bidi="ar-SA"/>
        </w:rPr>
      </w:sdtEndPr>
      <w:sdtContent>
        <w:p w14:paraId="5BC26D5B">
          <w:pPr>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目录</w:t>
          </w:r>
        </w:p>
        <w:p w14:paraId="2A725B2B">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TOC \o "1-1" \h \u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_Toc26157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一、建设项目基本情况</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_Toc26157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5D86A23B">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_Toc13710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二、建设项目工程分析</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_Toc13710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24</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541EB9D4">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_Toc30321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三、区域环境质量现状、环境保护目标及评价标准</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_Toc30321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61</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28F69996">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_Toc4006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四、主要环境影响和保护措施</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_Toc4006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73</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2D49D604">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_Toc13720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五、环境保护措施监督检查清单</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_Toc13720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104</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775AB2A8">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_Toc8062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六、结论</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_Toc8062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106</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7B6B92CF">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_Toc32073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建设项目污染物排放量汇总表</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_Toc32073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107</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50997EE5">
          <w:pPr>
            <w:pStyle w:val="15"/>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sectPr>
              <w:footerReference r:id="rId3" w:type="default"/>
              <w:pgSz w:w="11906" w:h="16838"/>
              <w:pgMar w:top="1701" w:right="1531" w:bottom="1701" w:left="1531" w:header="851" w:footer="1077" w:gutter="0"/>
              <w:pgNumType w:start="3"/>
              <w:cols w:space="720" w:num="1"/>
              <w:docGrid w:linePitch="312" w:charSpace="0"/>
            </w:sectPr>
          </w:pPr>
          <w:r>
            <w:rPr>
              <w:rFonts w:hint="default" w:ascii="Times New Roman" w:hAnsi="Times New Roman" w:eastAsia="宋体" w:cs="Times New Roman"/>
              <w:b/>
              <w:bCs/>
              <w:color w:val="auto"/>
              <w:sz w:val="24"/>
              <w:szCs w:val="24"/>
            </w:rPr>
            <w:fldChar w:fldCharType="end"/>
          </w:r>
        </w:p>
      </w:sdtContent>
    </w:sdt>
    <w:p w14:paraId="51C66866">
      <w:pPr>
        <w:pStyle w:val="15"/>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cs="Times New Roman"/>
          <w:b/>
          <w:bCs/>
          <w:color w:val="auto"/>
          <w:sz w:val="24"/>
          <w:szCs w:val="24"/>
          <w:lang w:val="en-US" w:eastAsia="zh-CN"/>
        </w:rPr>
      </w:pPr>
      <w:bookmarkStart w:id="0" w:name="_Toc26157"/>
      <w:r>
        <w:rPr>
          <w:rFonts w:hint="eastAsia" w:ascii="Times New Roman" w:hAnsi="Times New Roman" w:cs="Times New Roman"/>
          <w:b/>
          <w:bCs/>
          <w:color w:val="auto"/>
          <w:sz w:val="24"/>
          <w:szCs w:val="24"/>
          <w:lang w:val="en-US" w:eastAsia="zh-CN"/>
        </w:rPr>
        <w:t>附件：</w:t>
      </w:r>
    </w:p>
    <w:p w14:paraId="758E4A3F">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 委托书</w:t>
      </w:r>
      <w:r>
        <w:rPr>
          <w:rFonts w:hint="eastAsia" w:ascii="Times New Roman" w:hAnsi="Times New Roman" w:cs="Times New Roman"/>
          <w:color w:val="auto"/>
          <w:sz w:val="24"/>
          <w:szCs w:val="24"/>
          <w:lang w:val="en-US" w:eastAsia="zh-CN"/>
        </w:rPr>
        <w:t>；</w:t>
      </w:r>
    </w:p>
    <w:p w14:paraId="6A2CE870">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附件2 法人身份证</w:t>
      </w:r>
      <w:r>
        <w:rPr>
          <w:rFonts w:hint="eastAsia" w:ascii="Times New Roman" w:hAnsi="Times New Roman" w:cs="Times New Roman"/>
          <w:color w:val="auto"/>
          <w:sz w:val="24"/>
          <w:szCs w:val="24"/>
          <w:lang w:val="en-US" w:eastAsia="zh-CN"/>
        </w:rPr>
        <w:t>；</w:t>
      </w:r>
    </w:p>
    <w:p w14:paraId="5E904638">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附件3 </w:t>
      </w:r>
      <w:r>
        <w:rPr>
          <w:rFonts w:hint="eastAsia" w:ascii="Times New Roman" w:hAnsi="Times New Roman" w:cs="Times New Roman"/>
          <w:color w:val="auto"/>
          <w:sz w:val="24"/>
          <w:szCs w:val="24"/>
          <w:lang w:val="en-US" w:eastAsia="zh-CN"/>
        </w:rPr>
        <w:t>企业</w:t>
      </w:r>
      <w:r>
        <w:rPr>
          <w:rFonts w:hint="default" w:ascii="Times New Roman" w:hAnsi="Times New Roman" w:cs="Times New Roman"/>
          <w:color w:val="auto"/>
          <w:sz w:val="24"/>
          <w:szCs w:val="24"/>
          <w:lang w:val="en-US" w:eastAsia="zh-CN"/>
        </w:rPr>
        <w:t>营业执照</w:t>
      </w:r>
      <w:r>
        <w:rPr>
          <w:rFonts w:hint="eastAsia" w:ascii="Times New Roman" w:hAnsi="Times New Roman" w:cs="Times New Roman"/>
          <w:color w:val="auto"/>
          <w:sz w:val="24"/>
          <w:szCs w:val="24"/>
          <w:lang w:val="en-US" w:eastAsia="zh-CN"/>
        </w:rPr>
        <w:t>；</w:t>
      </w:r>
    </w:p>
    <w:p w14:paraId="10C777CC">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附件4 </w:t>
      </w:r>
      <w:r>
        <w:rPr>
          <w:rFonts w:hint="eastAsia"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lang w:val="en-US" w:eastAsia="zh-CN"/>
        </w:rPr>
        <w:t>投资备案证</w:t>
      </w:r>
      <w:r>
        <w:rPr>
          <w:rFonts w:hint="eastAsia" w:ascii="Times New Roman" w:hAnsi="Times New Roman" w:cs="Times New Roman"/>
          <w:color w:val="auto"/>
          <w:sz w:val="24"/>
          <w:szCs w:val="24"/>
          <w:lang w:val="en-US" w:eastAsia="zh-CN"/>
        </w:rPr>
        <w:t>；</w:t>
      </w:r>
    </w:p>
    <w:p w14:paraId="3F191077">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附件5 </w:t>
      </w:r>
      <w:r>
        <w:rPr>
          <w:rFonts w:hint="eastAsia" w:ascii="Times New Roman" w:hAnsi="Times New Roman" w:cs="Times New Roman"/>
          <w:color w:val="auto"/>
          <w:sz w:val="24"/>
          <w:szCs w:val="24"/>
          <w:lang w:val="en-US" w:eastAsia="zh-CN"/>
        </w:rPr>
        <w:t>同意项目入园会议纪要；</w:t>
      </w:r>
    </w:p>
    <w:p w14:paraId="53586721">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附件6 </w:t>
      </w:r>
      <w:r>
        <w:rPr>
          <w:rFonts w:hint="eastAsia" w:ascii="Times New Roman" w:hAnsi="Times New Roman" w:cs="Times New Roman"/>
          <w:color w:val="auto"/>
          <w:sz w:val="24"/>
          <w:szCs w:val="24"/>
          <w:lang w:val="en-US" w:eastAsia="zh-CN"/>
        </w:rPr>
        <w:t>项目用地产权证；</w:t>
      </w:r>
    </w:p>
    <w:p w14:paraId="26963364">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原项目环评批复；</w:t>
      </w:r>
    </w:p>
    <w:p w14:paraId="70477751">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附件8 </w:t>
      </w:r>
      <w:r>
        <w:rPr>
          <w:rFonts w:hint="eastAsia" w:ascii="Times New Roman" w:hAnsi="Times New Roman" w:cs="Times New Roman"/>
          <w:color w:val="auto"/>
          <w:sz w:val="24"/>
          <w:szCs w:val="24"/>
          <w:lang w:val="en-US" w:eastAsia="zh-CN"/>
        </w:rPr>
        <w:t>原项目验收意见及专家签字表</w:t>
      </w:r>
    </w:p>
    <w:p w14:paraId="0BDB232C">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附件9 原项目排污许可证</w:t>
      </w:r>
    </w:p>
    <w:p w14:paraId="5D4EA462">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附件10原项目</w:t>
      </w:r>
      <w:r>
        <w:rPr>
          <w:rFonts w:hint="eastAsia" w:ascii="Times New Roman" w:hAnsi="Times New Roman" w:cs="Times New Roman"/>
          <w:color w:val="auto"/>
          <w:sz w:val="24"/>
          <w:szCs w:val="24"/>
          <w:lang w:val="en-US" w:eastAsia="zh-CN"/>
        </w:rPr>
        <w:t>2022年</w:t>
      </w:r>
      <w:r>
        <w:rPr>
          <w:rFonts w:hint="eastAsia" w:ascii="Times New Roman" w:hAnsi="Times New Roman" w:eastAsia="宋体" w:cs="Times New Roman"/>
          <w:color w:val="auto"/>
          <w:sz w:val="24"/>
          <w:szCs w:val="24"/>
          <w:lang w:val="en-US" w:eastAsia="zh-CN"/>
        </w:rPr>
        <w:t>第四季度自行</w:t>
      </w:r>
      <w:r>
        <w:rPr>
          <w:rFonts w:hint="eastAsia" w:ascii="Times New Roman" w:hAnsi="Times New Roman" w:cs="Times New Roman"/>
          <w:color w:val="auto"/>
          <w:sz w:val="24"/>
          <w:szCs w:val="24"/>
          <w:lang w:val="en-US" w:eastAsia="zh-CN"/>
        </w:rPr>
        <w:t>检</w:t>
      </w:r>
      <w:r>
        <w:rPr>
          <w:rFonts w:hint="eastAsia" w:ascii="Times New Roman" w:hAnsi="Times New Roman" w:eastAsia="宋体" w:cs="Times New Roman"/>
          <w:color w:val="auto"/>
          <w:sz w:val="24"/>
          <w:szCs w:val="24"/>
          <w:lang w:val="en-US" w:eastAsia="zh-CN"/>
        </w:rPr>
        <w:t>测报告</w:t>
      </w:r>
    </w:p>
    <w:p w14:paraId="044FE9EB">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附件1</w:t>
      </w:r>
      <w:r>
        <w:rPr>
          <w:rFonts w:hint="eastAsia" w:ascii="Times New Roman" w:hAnsi="Times New Roman"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原项目2022年下半年油烟检测报告</w:t>
      </w:r>
    </w:p>
    <w:p w14:paraId="66FDCBB0">
      <w:pPr>
        <w:spacing w:line="360" w:lineRule="auto"/>
        <w:ind w:left="1438" w:leftChars="456" w:hanging="480" w:hangingChars="200"/>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附件</w:t>
      </w:r>
      <w:r>
        <w:rPr>
          <w:rFonts w:hint="eastAsia" w:cs="Times New Roman"/>
          <w:color w:val="auto"/>
          <w:sz w:val="24"/>
          <w:szCs w:val="24"/>
          <w:lang w:val="en-US" w:eastAsia="zh-CN"/>
        </w:rPr>
        <w:t>12</w:t>
      </w:r>
      <w:r>
        <w:rPr>
          <w:rFonts w:hint="eastAsia" w:eastAsia="宋体" w:cs="Times New Roman"/>
          <w:color w:val="auto"/>
          <w:sz w:val="24"/>
          <w:szCs w:val="24"/>
          <w:lang w:val="en-US" w:eastAsia="zh-CN"/>
        </w:rPr>
        <w:t xml:space="preserve"> 云南省环境保护厅关于《富民工业园区总体规划修编（2015-2030）环境影响报告书》审查意见的函（云环函【2016】10</w:t>
      </w:r>
      <w:r>
        <w:rPr>
          <w:rFonts w:hint="eastAsia" w:cs="Times New Roman"/>
          <w:color w:val="auto"/>
          <w:sz w:val="24"/>
          <w:szCs w:val="24"/>
          <w:lang w:val="en-US" w:eastAsia="zh-CN"/>
        </w:rPr>
        <w:t>号</w:t>
      </w:r>
      <w:r>
        <w:rPr>
          <w:rFonts w:hint="eastAsia" w:eastAsia="宋体" w:cs="Times New Roman"/>
          <w:color w:val="auto"/>
          <w:sz w:val="24"/>
          <w:szCs w:val="24"/>
          <w:lang w:val="en-US" w:eastAsia="zh-CN"/>
        </w:rPr>
        <w:t>）</w:t>
      </w:r>
    </w:p>
    <w:p w14:paraId="183039BA">
      <w:pPr>
        <w:pStyle w:val="19"/>
        <w:rPr>
          <w:rFonts w:hint="eastAsia" w:cs="Times New Roman"/>
          <w:color w:val="auto"/>
          <w:sz w:val="24"/>
          <w:szCs w:val="24"/>
          <w:lang w:val="en-US" w:eastAsia="zh-CN"/>
        </w:rPr>
      </w:pPr>
      <w:r>
        <w:rPr>
          <w:rFonts w:hint="eastAsia" w:cs="Times New Roman"/>
          <w:color w:val="auto"/>
          <w:sz w:val="24"/>
          <w:szCs w:val="24"/>
          <w:lang w:val="en-US" w:eastAsia="zh-CN"/>
        </w:rPr>
        <w:t>附件13 项目进度控制表</w:t>
      </w:r>
    </w:p>
    <w:p w14:paraId="7BAC408A">
      <w:pPr>
        <w:pStyle w:val="20"/>
        <w:ind w:firstLine="960" w:firstLineChars="400"/>
        <w:rPr>
          <w:rFonts w:hint="default"/>
          <w:lang w:val="en-US" w:eastAsia="zh-CN"/>
        </w:rPr>
      </w:pPr>
      <w:r>
        <w:rPr>
          <w:rFonts w:hint="eastAsia" w:cs="Times New Roman"/>
          <w:color w:val="auto"/>
          <w:sz w:val="24"/>
          <w:szCs w:val="24"/>
          <w:lang w:val="en-US" w:eastAsia="zh-CN"/>
        </w:rPr>
        <w:t>附件14 污泥清运协议</w:t>
      </w:r>
    </w:p>
    <w:p w14:paraId="7EDFD6CE">
      <w:pPr>
        <w:pStyle w:val="20"/>
        <w:ind w:firstLine="960" w:firstLineChars="400"/>
        <w:rPr>
          <w:rFonts w:hint="default"/>
          <w:lang w:val="en-US" w:eastAsia="zh-CN"/>
        </w:rPr>
      </w:pPr>
      <w:r>
        <w:rPr>
          <w:rFonts w:hint="eastAsia" w:cs="Times New Roman"/>
          <w:color w:val="auto"/>
          <w:sz w:val="24"/>
          <w:szCs w:val="24"/>
          <w:lang w:val="en-US" w:eastAsia="zh-CN"/>
        </w:rPr>
        <w:t>附件15 项目全本公示截图</w:t>
      </w:r>
    </w:p>
    <w:p w14:paraId="70532256">
      <w:pPr>
        <w:pStyle w:val="15"/>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附图：</w:t>
      </w:r>
    </w:p>
    <w:p w14:paraId="762AE6A2">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附图1 项目区地理位置图</w:t>
      </w:r>
    </w:p>
    <w:p w14:paraId="4D4BB507">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附图2 项目总平面布置图</w:t>
      </w:r>
    </w:p>
    <w:p w14:paraId="38DFDDE7">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附图3 项目企业周边关系图</w:t>
      </w:r>
    </w:p>
    <w:p w14:paraId="5D67FCD3">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附图4 项目</w:t>
      </w:r>
      <w:r>
        <w:rPr>
          <w:rFonts w:hint="eastAsia" w:ascii="Times New Roman" w:hAnsi="Times New Roman" w:cs="Times New Roman"/>
          <w:color w:val="auto"/>
          <w:sz w:val="24"/>
          <w:szCs w:val="24"/>
          <w:lang w:val="en-US" w:eastAsia="zh-CN"/>
        </w:rPr>
        <w:t>所在区域水系图</w:t>
      </w:r>
    </w:p>
    <w:p w14:paraId="48706587">
      <w:pPr>
        <w:pStyle w:val="15"/>
        <w:keepNext w:val="0"/>
        <w:keepLines w:val="0"/>
        <w:pageBreakBefore w:val="0"/>
        <w:widowControl w:val="0"/>
        <w:kinsoku/>
        <w:wordWrap/>
        <w:overflowPunct/>
        <w:topLinePunct w:val="0"/>
        <w:autoSpaceDE/>
        <w:autoSpaceDN/>
        <w:bidi w:val="0"/>
        <w:adjustRightInd/>
        <w:snapToGrid w:val="0"/>
        <w:spacing w:line="360" w:lineRule="auto"/>
        <w:ind w:left="1678" w:leftChars="456" w:hanging="720" w:hangingChars="3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附图5本项目与</w:t>
      </w:r>
      <w:r>
        <w:rPr>
          <w:rFonts w:hint="eastAsia" w:ascii="Times New Roman" w:hAnsi="Times New Roman" w:cs="Times New Roman"/>
          <w:color w:val="auto"/>
          <w:sz w:val="24"/>
          <w:szCs w:val="24"/>
          <w:lang w:val="en-US" w:eastAsia="zh-CN"/>
        </w:rPr>
        <w:t>富明工业</w:t>
      </w:r>
      <w:r>
        <w:rPr>
          <w:rFonts w:hint="eastAsia" w:ascii="Times New Roman" w:hAnsi="Times New Roman" w:eastAsia="宋体" w:cs="Times New Roman"/>
          <w:color w:val="auto"/>
          <w:sz w:val="24"/>
          <w:szCs w:val="24"/>
          <w:lang w:val="en-US" w:eastAsia="zh-CN"/>
        </w:rPr>
        <w:t>工业园区</w:t>
      </w:r>
      <w:r>
        <w:rPr>
          <w:rFonts w:hint="eastAsia" w:ascii="Times New Roman" w:hAnsi="Times New Roman" w:cs="Times New Roman"/>
          <w:color w:val="auto"/>
          <w:sz w:val="24"/>
          <w:szCs w:val="24"/>
          <w:lang w:val="en-US" w:eastAsia="zh-CN"/>
        </w:rPr>
        <w:t>规划修编（2015-2030年）</w:t>
      </w:r>
      <w:r>
        <w:rPr>
          <w:rFonts w:hint="eastAsia" w:ascii="Times New Roman" w:hAnsi="Times New Roman" w:eastAsia="宋体" w:cs="Times New Roman"/>
          <w:color w:val="auto"/>
          <w:sz w:val="24"/>
          <w:szCs w:val="24"/>
          <w:lang w:val="en-US" w:eastAsia="zh-CN"/>
        </w:rPr>
        <w:t>位置关系图</w:t>
      </w:r>
    </w:p>
    <w:p w14:paraId="75F37692">
      <w:pPr>
        <w:pStyle w:val="15"/>
        <w:keepNext w:val="0"/>
        <w:keepLines w:val="0"/>
        <w:pageBreakBefore w:val="0"/>
        <w:widowControl w:val="0"/>
        <w:kinsoku/>
        <w:wordWrap/>
        <w:overflowPunct/>
        <w:topLinePunct w:val="0"/>
        <w:autoSpaceDE/>
        <w:autoSpaceDN/>
        <w:bidi w:val="0"/>
        <w:adjustRightInd/>
        <w:snapToGrid w:val="0"/>
        <w:spacing w:line="360" w:lineRule="auto"/>
        <w:ind w:left="1678" w:leftChars="456" w:hanging="720" w:hangingChars="3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附件6 项目引用环境质量现状监测点分布图</w:t>
      </w:r>
    </w:p>
    <w:p w14:paraId="056B2A05">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64603B79">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4A9975CB">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53692B88">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07B9B1D4">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7E32ECBE">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58E4C0EA">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1F56241C">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29A1AEDE">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186EAF14">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sectPr>
          <w:footerReference r:id="rId4" w:type="default"/>
          <w:pgSz w:w="11906" w:h="16838"/>
          <w:pgMar w:top="1701" w:right="1531" w:bottom="1701" w:left="1531" w:header="851" w:footer="1077" w:gutter="0"/>
          <w:pgNumType w:start="1"/>
          <w:cols w:space="720" w:num="1"/>
          <w:docGrid w:linePitch="312" w:charSpace="0"/>
        </w:sectPr>
      </w:pPr>
    </w:p>
    <w:p w14:paraId="462B089E">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现场照片</w:t>
      </w:r>
    </w:p>
    <w:tbl>
      <w:tblPr>
        <w:tblStyle w:val="29"/>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4"/>
        <w:gridCol w:w="3949"/>
      </w:tblGrid>
      <w:tr w14:paraId="0CDD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1548C6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0288" behindDoc="0" locked="0" layoutInCell="1" allowOverlap="1">
                      <wp:simplePos x="0" y="0"/>
                      <wp:positionH relativeFrom="column">
                        <wp:posOffset>1967865</wp:posOffset>
                      </wp:positionH>
                      <wp:positionV relativeFrom="paragraph">
                        <wp:posOffset>2108200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2A9C02">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54.95pt;margin-top:166pt;height:144pt;width:144pt;mso-wrap-style:none;z-index:251660288;mso-width-relative:page;mso-height-relative:page;" filled="f" stroked="f" coordsize="21600,21600" o:gfxdata="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iD4aNkAAAALAQAADwAAAAAAAAABACAAAAAi&#10;AAAAZHJzL2Rvd25yZXYueG1sUEsBAhQAFAAAAAgAh07iQHTyOeHQAQAAlwMAAA4AAAAAAAAAAQAg&#10;AAAAKAEAAGRycy9lMm9Eb2MueG1sUEsFBgAAAAAGAAYAWQEAAGoFAAAAAA==&#10;">
                      <v:fill on="f" focussize="0,0"/>
                      <v:stroke on="f" weight="0.5pt"/>
                      <v:imagedata o:title=""/>
                      <o:lock v:ext="edit" aspectratio="f"/>
                      <v:textbox style="mso-fit-shape-to-text:t;">
                        <w:txbxContent>
                          <w:p w14:paraId="642A9C02">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ascii="Times New Roman" w:hAnsi="Times New Roman" w:eastAsia="宋体" w:cs="Times New Roman"/>
                <w:color w:val="auto"/>
                <w:vertAlign w:val="baseline"/>
                <w:lang w:eastAsia="zh-CN"/>
              </w:rPr>
              <w:drawing>
                <wp:inline distT="0" distB="0" distL="114300" distR="114300">
                  <wp:extent cx="2653030" cy="2414905"/>
                  <wp:effectExtent l="0" t="0" r="13970" b="8255"/>
                  <wp:docPr id="21" name="图片 21" descr="39eafd2178b767d473e79fa76c7f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9eafd2178b767d473e79fa76c7f123"/>
                          <pic:cNvPicPr>
                            <a:picLocks noChangeAspect="1"/>
                          </pic:cNvPicPr>
                        </pic:nvPicPr>
                        <pic:blipFill>
                          <a:blip r:embed="rId11"/>
                          <a:stretch>
                            <a:fillRect/>
                          </a:stretch>
                        </pic:blipFill>
                        <pic:spPr>
                          <a:xfrm>
                            <a:off x="0" y="0"/>
                            <a:ext cx="2653030" cy="2414905"/>
                          </a:xfrm>
                          <a:prstGeom prst="rect">
                            <a:avLst/>
                          </a:prstGeom>
                        </pic:spPr>
                      </pic:pic>
                    </a:graphicData>
                  </a:graphic>
                </wp:inline>
              </w:drawing>
            </w:r>
          </w:p>
        </w:tc>
        <w:tc>
          <w:tcPr>
            <w:tcW w:w="3949" w:type="dxa"/>
            <w:noWrap w:val="0"/>
            <w:vAlign w:val="center"/>
          </w:tcPr>
          <w:p w14:paraId="7095DD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1604010</wp:posOffset>
                      </wp:positionH>
                      <wp:positionV relativeFrom="paragraph">
                        <wp:posOffset>2194560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7424BA">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26.3pt;margin-top:172.8pt;height:144pt;width:144pt;mso-wrap-style:none;z-index:251662336;mso-width-relative:page;mso-height-relative:page;" filled="f" stroked="f" coordsize="21600,21600" o:gfxdata="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B96tdkAAAALAQAADwAAAAAAAAABACAAAAAi&#10;AAAAZHJzL2Rvd25yZXYueG1sUEsBAhQAFAAAAAgAh07iQPeJ5OXQAQAAlwMAAA4AAAAAAAAAAQAg&#10;AAAAKAEAAGRycy9lMm9Eb2MueG1sUEsFBgAAAAAGAAYAWQEAAGoFAAAAAA==&#10;">
                      <v:fill on="f" focussize="0,0"/>
                      <v:stroke on="f" weight="0.5pt"/>
                      <v:imagedata o:title=""/>
                      <o:lock v:ext="edit" aspectratio="f"/>
                      <v:textbox style="mso-fit-shape-to-text:t;">
                        <w:txbxContent>
                          <w:p w14:paraId="647424BA">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default" w:ascii="Times New Roman" w:hAnsi="Times New Roman" w:eastAsia="宋体" w:cs="Times New Roman"/>
                <w:color w:val="auto"/>
                <w:sz w:val="21"/>
              </w:rPr>
              <w:drawing>
                <wp:inline distT="0" distB="0" distL="114300" distR="114300">
                  <wp:extent cx="2340610" cy="2435860"/>
                  <wp:effectExtent l="0" t="0" r="6350" b="2540"/>
                  <wp:docPr id="22" name="图片 22" descr="bd662845c80dd0c6564ab90388de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d662845c80dd0c6564ab90388de18e"/>
                          <pic:cNvPicPr>
                            <a:picLocks noChangeAspect="1"/>
                          </pic:cNvPicPr>
                        </pic:nvPicPr>
                        <pic:blipFill>
                          <a:blip r:embed="rId12"/>
                          <a:stretch>
                            <a:fillRect/>
                          </a:stretch>
                        </pic:blipFill>
                        <pic:spPr>
                          <a:xfrm>
                            <a:off x="0" y="0"/>
                            <a:ext cx="2340610" cy="2435860"/>
                          </a:xfrm>
                          <a:prstGeom prst="rect">
                            <a:avLst/>
                          </a:prstGeom>
                        </pic:spPr>
                      </pic:pic>
                    </a:graphicData>
                  </a:graphic>
                </wp:inline>
              </w:drawing>
            </w:r>
          </w:p>
        </w:tc>
      </w:tr>
      <w:tr w14:paraId="738B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13E71F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vertAlign w:val="baseline"/>
                <w:lang w:val="en-US" w:eastAsia="zh-CN"/>
              </w:rPr>
            </w:pPr>
            <w:r>
              <w:rPr>
                <w:rFonts w:hint="eastAsia" w:cs="Times New Roman"/>
                <w:color w:val="auto"/>
                <w:sz w:val="24"/>
                <w:szCs w:val="24"/>
                <w:vertAlign w:val="baseline"/>
                <w:lang w:val="en-US" w:eastAsia="zh-CN"/>
              </w:rPr>
              <w:t>项目行政办公楼</w:t>
            </w:r>
          </w:p>
        </w:tc>
        <w:tc>
          <w:tcPr>
            <w:tcW w:w="3949" w:type="dxa"/>
            <w:noWrap w:val="0"/>
            <w:vAlign w:val="center"/>
          </w:tcPr>
          <w:p w14:paraId="4BD1C3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vertAlign w:val="baseline"/>
                <w:lang w:val="en-US" w:eastAsia="zh-CN"/>
              </w:rPr>
            </w:pPr>
            <w:r>
              <w:rPr>
                <w:rFonts w:hint="eastAsia" w:eastAsia="宋体" w:cs="Times New Roman"/>
                <w:color w:val="auto"/>
                <w:sz w:val="24"/>
                <w:szCs w:val="24"/>
                <w:vertAlign w:val="baseline"/>
                <w:lang w:val="en-US" w:eastAsia="zh-CN"/>
              </w:rPr>
              <w:t>水性涂料成品区</w:t>
            </w:r>
          </w:p>
        </w:tc>
      </w:tr>
      <w:tr w14:paraId="2DC6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700722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3360" behindDoc="0" locked="0" layoutInCell="1" allowOverlap="1">
                      <wp:simplePos x="0" y="0"/>
                      <wp:positionH relativeFrom="column">
                        <wp:posOffset>1900555</wp:posOffset>
                      </wp:positionH>
                      <wp:positionV relativeFrom="paragraph">
                        <wp:posOffset>2175510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A85006">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49.65pt;margin-top:171.3pt;height:144pt;width:144pt;mso-wrap-style:none;z-index:251663360;mso-width-relative:page;mso-height-relative:page;" filled="f" stroked="f" coordsize="21600,21600" o:gfxdata="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dV3zt2gAAAAsBAAAPAAAAAAAAAAEAIAAA&#10;ACIAAABkcnMvZG93bnJldi54bWxQSwECFAAUAAAACACHTuJAsHHKq9EBAACZAwAADgAAAAAAAAAB&#10;ACAAAAApAQAAZHJzL2Uyb0RvYy54bWxQSwUGAAAAAAYABgBZAQAAbAUAAAAA&#10;">
                      <v:fill on="f" focussize="0,0"/>
                      <v:stroke on="f" weight="0.5pt"/>
                      <v:imagedata o:title=""/>
                      <o:lock v:ext="edit" aspectratio="f"/>
                      <v:textbox style="mso-fit-shape-to-text:t;">
                        <w:txbxContent>
                          <w:p w14:paraId="4FA85006">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default" w:ascii="Times New Roman" w:hAnsi="Times New Roman" w:eastAsia="宋体" w:cs="Times New Roman"/>
                <w:color w:val="auto"/>
                <w:sz w:val="21"/>
              </w:rPr>
              <w:drawing>
                <wp:inline distT="0" distB="0" distL="114300" distR="114300">
                  <wp:extent cx="2680970" cy="2394585"/>
                  <wp:effectExtent l="0" t="0" r="1270" b="13335"/>
                  <wp:docPr id="24" name="图片 24" descr="a241e0d8965324067c736d71168e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241e0d8965324067c736d71168e14e"/>
                          <pic:cNvPicPr>
                            <a:picLocks noChangeAspect="1"/>
                          </pic:cNvPicPr>
                        </pic:nvPicPr>
                        <pic:blipFill>
                          <a:blip r:embed="rId13"/>
                          <a:stretch>
                            <a:fillRect/>
                          </a:stretch>
                        </pic:blipFill>
                        <pic:spPr>
                          <a:xfrm>
                            <a:off x="0" y="0"/>
                            <a:ext cx="2680970" cy="2394585"/>
                          </a:xfrm>
                          <a:prstGeom prst="rect">
                            <a:avLst/>
                          </a:prstGeom>
                        </pic:spPr>
                      </pic:pic>
                    </a:graphicData>
                  </a:graphic>
                </wp:inline>
              </w:drawing>
            </w:r>
          </w:p>
        </w:tc>
        <w:tc>
          <w:tcPr>
            <w:tcW w:w="3949" w:type="dxa"/>
            <w:noWrap w:val="0"/>
            <w:vAlign w:val="center"/>
          </w:tcPr>
          <w:p w14:paraId="6120E9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4384" behindDoc="0" locked="0" layoutInCell="1" allowOverlap="1">
                      <wp:simplePos x="0" y="0"/>
                      <wp:positionH relativeFrom="column">
                        <wp:posOffset>1604645</wp:posOffset>
                      </wp:positionH>
                      <wp:positionV relativeFrom="paragraph">
                        <wp:posOffset>2212975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7A1A00">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26.35pt;margin-top:174.25pt;height:144pt;width:144pt;mso-wrap-style:none;z-index:251664384;mso-width-relative:page;mso-height-relative:page;" filled="f" stroked="f" coordsize="21600,21600" o:gfxdata="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j6uJ42gAAAAsBAAAPAAAAAAAAAAEAIAAA&#10;ACIAAABkcnMvZG93bnJldi54bWxQSwECFAAUAAAACACHTuJA60XxGtEBAACZAwAADgAAAAAAAAAB&#10;ACAAAAApAQAAZHJzL2Uyb0RvYy54bWxQSwUGAAAAAAYABgBZAQAAbAUAAAAA&#10;">
                      <v:fill on="f" focussize="0,0"/>
                      <v:stroke on="f" weight="0.5pt"/>
                      <v:imagedata o:title=""/>
                      <o:lock v:ext="edit" aspectratio="f"/>
                      <v:textbox style="mso-fit-shape-to-text:t;">
                        <w:txbxContent>
                          <w:p w14:paraId="2B7A1A00">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default" w:ascii="Times New Roman" w:hAnsi="Times New Roman" w:eastAsia="宋体" w:cs="Times New Roman"/>
                <w:color w:val="auto"/>
                <w:sz w:val="21"/>
              </w:rPr>
              <w:drawing>
                <wp:inline distT="0" distB="0" distL="114300" distR="114300">
                  <wp:extent cx="2340610" cy="2446655"/>
                  <wp:effectExtent l="0" t="0" r="6350" b="6985"/>
                  <wp:docPr id="26" name="图片 26" descr="3b525a1e12b825088346c464f88e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b525a1e12b825088346c464f88e830"/>
                          <pic:cNvPicPr>
                            <a:picLocks noChangeAspect="1"/>
                          </pic:cNvPicPr>
                        </pic:nvPicPr>
                        <pic:blipFill>
                          <a:blip r:embed="rId14"/>
                          <a:stretch>
                            <a:fillRect/>
                          </a:stretch>
                        </pic:blipFill>
                        <pic:spPr>
                          <a:xfrm>
                            <a:off x="0" y="0"/>
                            <a:ext cx="2340610" cy="2446655"/>
                          </a:xfrm>
                          <a:prstGeom prst="rect">
                            <a:avLst/>
                          </a:prstGeom>
                        </pic:spPr>
                      </pic:pic>
                    </a:graphicData>
                  </a:graphic>
                </wp:inline>
              </w:drawing>
            </w:r>
          </w:p>
        </w:tc>
      </w:tr>
      <w:tr w14:paraId="4C48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4" w:type="dxa"/>
            <w:noWrap w:val="0"/>
            <w:vAlign w:val="center"/>
          </w:tcPr>
          <w:p w14:paraId="6B42E82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eastAsia="宋体" w:cs="Times New Roman"/>
                <w:color w:val="auto"/>
                <w:sz w:val="24"/>
                <w:szCs w:val="24"/>
                <w:vertAlign w:val="baseline"/>
                <w:lang w:val="en-US" w:eastAsia="zh-CN"/>
              </w:rPr>
              <w:t>腻子粉生产车间</w:t>
            </w:r>
          </w:p>
        </w:tc>
        <w:tc>
          <w:tcPr>
            <w:tcW w:w="3949" w:type="dxa"/>
            <w:noWrap w:val="0"/>
            <w:vAlign w:val="center"/>
          </w:tcPr>
          <w:p w14:paraId="370833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vertAlign w:val="baseline"/>
                <w:lang w:val="en-US" w:eastAsia="zh-CN"/>
              </w:rPr>
              <w:t>乳胶漆</w:t>
            </w:r>
            <w:r>
              <w:rPr>
                <w:rFonts w:hint="eastAsia" w:eastAsia="宋体" w:cs="Times New Roman"/>
                <w:color w:val="auto"/>
                <w:sz w:val="24"/>
                <w:szCs w:val="24"/>
                <w:vertAlign w:val="baseline"/>
                <w:lang w:val="en-US" w:eastAsia="zh-CN"/>
              </w:rPr>
              <w:t>投料间</w:t>
            </w:r>
          </w:p>
        </w:tc>
      </w:tr>
      <w:tr w14:paraId="69E4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63A2355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5408" behindDoc="0" locked="0" layoutInCell="1" allowOverlap="1">
                      <wp:simplePos x="0" y="0"/>
                      <wp:positionH relativeFrom="column">
                        <wp:posOffset>1928495</wp:posOffset>
                      </wp:positionH>
                      <wp:positionV relativeFrom="paragraph">
                        <wp:posOffset>2345055</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636975">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51.85pt;margin-top:184.65pt;height:144pt;width:144pt;mso-wrap-style:none;z-index:251665408;mso-width-relative:page;mso-height-relative:page;" filled="f" stroked="f" coordsize="21600,21600" o:gfxdata="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eY+WnZAAAACwEAAA8AAAAAAAAAAQAgAAAA&#10;IgAAAGRycy9kb3ducmV2LnhtbFBLAQIUABQAAAAIAIdO4kBHH80S0QEAAJkDAAAOAAAAAAAAAAEA&#10;IAAAACgBAABkcnMvZTJvRG9jLnhtbFBLBQYAAAAABgAGAFkBAABrBQAAAAA=&#10;">
                      <v:fill on="f" focussize="0,0"/>
                      <v:stroke on="f" weight="0.5pt"/>
                      <v:imagedata o:title=""/>
                      <o:lock v:ext="edit" aspectratio="f"/>
                      <v:textbox style="mso-fit-shape-to-text:t;">
                        <w:txbxContent>
                          <w:p w14:paraId="04636975">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ascii="Times New Roman" w:hAnsi="Times New Roman" w:eastAsia="宋体" w:cs="Times New Roman"/>
                <w:color w:val="auto"/>
                <w:vertAlign w:val="baseline"/>
                <w:lang w:eastAsia="zh-CN"/>
              </w:rPr>
              <w:drawing>
                <wp:inline distT="0" distB="0" distL="114300" distR="114300">
                  <wp:extent cx="2653030" cy="2556510"/>
                  <wp:effectExtent l="0" t="0" r="13970" b="3810"/>
                  <wp:docPr id="27" name="图片 27" descr="de47cd6570e4aefb44c92d7d48b6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e47cd6570e4aefb44c92d7d48b64fa"/>
                          <pic:cNvPicPr>
                            <a:picLocks noChangeAspect="1"/>
                          </pic:cNvPicPr>
                        </pic:nvPicPr>
                        <pic:blipFill>
                          <a:blip r:embed="rId15"/>
                          <a:stretch>
                            <a:fillRect/>
                          </a:stretch>
                        </pic:blipFill>
                        <pic:spPr>
                          <a:xfrm>
                            <a:off x="0" y="0"/>
                            <a:ext cx="2653030" cy="2556510"/>
                          </a:xfrm>
                          <a:prstGeom prst="rect">
                            <a:avLst/>
                          </a:prstGeom>
                        </pic:spPr>
                      </pic:pic>
                    </a:graphicData>
                  </a:graphic>
                </wp:inline>
              </w:drawing>
            </w:r>
          </w:p>
        </w:tc>
        <w:tc>
          <w:tcPr>
            <w:tcW w:w="3949" w:type="dxa"/>
            <w:noWrap w:val="0"/>
            <w:vAlign w:val="center"/>
          </w:tcPr>
          <w:p w14:paraId="3C9A42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6432" behindDoc="0" locked="0" layoutInCell="1" allowOverlap="1">
                      <wp:simplePos x="0" y="0"/>
                      <wp:positionH relativeFrom="column">
                        <wp:posOffset>1624965</wp:posOffset>
                      </wp:positionH>
                      <wp:positionV relativeFrom="paragraph">
                        <wp:posOffset>2345690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C942A8">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27.95pt;margin-top:184.7pt;height:144pt;width:144pt;mso-wrap-style:none;z-index:251666432;mso-width-relative:page;mso-height-relative:page;" filled="f" stroked="f" coordsize="21600,21600" o:gfxdata="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VnV9X2gAAAAsBAAAPAAAAAAAAAAEAIAAA&#10;ACIAAABkcnMvZG93bnJldi54bWxQSwECFAAUAAAACACHTuJAETLTFtEBAACZAwAADgAAAAAAAAAB&#10;ACAAAAApAQAAZHJzL2Uyb0RvYy54bWxQSwUGAAAAAAYABgBZAQAAbAUAAAAA&#10;">
                      <v:fill on="f" focussize="0,0"/>
                      <v:stroke on="f" weight="0.5pt"/>
                      <v:imagedata o:title=""/>
                      <o:lock v:ext="edit" aspectratio="f"/>
                      <v:textbox style="mso-fit-shape-to-text:t;">
                        <w:txbxContent>
                          <w:p w14:paraId="0FC942A8">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ascii="Times New Roman" w:hAnsi="Times New Roman" w:eastAsia="宋体" w:cs="Times New Roman"/>
                <w:color w:val="auto"/>
                <w:vertAlign w:val="baseline"/>
                <w:lang w:eastAsia="zh-CN"/>
              </w:rPr>
              <w:drawing>
                <wp:inline distT="0" distB="0" distL="114300" distR="114300">
                  <wp:extent cx="2340610" cy="2588260"/>
                  <wp:effectExtent l="0" t="0" r="6350" b="2540"/>
                  <wp:docPr id="28" name="图片 28" descr="72686f83ae9049634f2635751ed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2686f83ae9049634f2635751ed0590"/>
                          <pic:cNvPicPr>
                            <a:picLocks noChangeAspect="1"/>
                          </pic:cNvPicPr>
                        </pic:nvPicPr>
                        <pic:blipFill>
                          <a:blip r:embed="rId16"/>
                          <a:stretch>
                            <a:fillRect/>
                          </a:stretch>
                        </pic:blipFill>
                        <pic:spPr>
                          <a:xfrm>
                            <a:off x="0" y="0"/>
                            <a:ext cx="2340610" cy="2588260"/>
                          </a:xfrm>
                          <a:prstGeom prst="rect">
                            <a:avLst/>
                          </a:prstGeom>
                        </pic:spPr>
                      </pic:pic>
                    </a:graphicData>
                  </a:graphic>
                </wp:inline>
              </w:drawing>
            </w:r>
          </w:p>
        </w:tc>
      </w:tr>
      <w:tr w14:paraId="6754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6F99B3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砂壁产品投料间</w:t>
            </w:r>
          </w:p>
        </w:tc>
        <w:tc>
          <w:tcPr>
            <w:tcW w:w="3949" w:type="dxa"/>
            <w:noWrap w:val="0"/>
            <w:vAlign w:val="center"/>
          </w:tcPr>
          <w:p w14:paraId="0CB425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乳液罐区</w:t>
            </w:r>
          </w:p>
        </w:tc>
      </w:tr>
    </w:tbl>
    <w:p w14:paraId="52CC3B6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sectPr>
          <w:footerReference r:id="rId5" w:type="default"/>
          <w:pgSz w:w="11906" w:h="16838"/>
          <w:pgMar w:top="1701" w:right="1531" w:bottom="1701" w:left="1531" w:header="851" w:footer="1077" w:gutter="0"/>
          <w:pgNumType w:start="1"/>
          <w:cols w:space="720" w:num="1"/>
          <w:docGrid w:linePitch="312" w:charSpace="0"/>
        </w:sectPr>
      </w:pPr>
    </w:p>
    <w:tbl>
      <w:tblPr>
        <w:tblStyle w:val="29"/>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4"/>
        <w:gridCol w:w="3949"/>
      </w:tblGrid>
      <w:tr w14:paraId="3C77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15B4D2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9504" behindDoc="0" locked="0" layoutInCell="1" allowOverlap="1">
                      <wp:simplePos x="0" y="0"/>
                      <wp:positionH relativeFrom="column">
                        <wp:posOffset>1911985</wp:posOffset>
                      </wp:positionH>
                      <wp:positionV relativeFrom="paragraph">
                        <wp:posOffset>2288540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60FBEE">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50.55pt;margin-top:180.2pt;height:144pt;width:144pt;mso-wrap-style:none;z-index:251669504;mso-width-relative:page;mso-height-relative:page;" filled="f" stroked="f" coordsize="21600,21600" o:gfxdata="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3vb1DZAAAACwEAAA8AAAAAAAAAAQAgAAAA&#10;IgAAAGRycy9kb3ducmV2LnhtbFBLAQIUABQAAAAIAIdO4kAfqrUC0QEAAJkDAAAOAAAAAAAAAAEA&#10;IAAAACgBAABkcnMvZTJvRG9jLnhtbFBLBQYAAAAABgAGAFkBAABrBQAAAAA=&#10;">
                      <v:fill on="f" focussize="0,0"/>
                      <v:stroke on="f" weight="0.5pt"/>
                      <v:imagedata o:title=""/>
                      <o:lock v:ext="edit" aspectratio="f"/>
                      <v:textbox style="mso-fit-shape-to-text:t;">
                        <w:txbxContent>
                          <w:p w14:paraId="7F60FBEE">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eastAsia="宋体" w:cs="Times New Roman"/>
                <w:color w:val="auto"/>
                <w:sz w:val="24"/>
                <w:szCs w:val="24"/>
                <w:highlight w:val="none"/>
                <w:vertAlign w:val="baseline"/>
                <w:lang w:val="en-US" w:eastAsia="zh-CN"/>
              </w:rPr>
              <w:drawing>
                <wp:inline distT="0" distB="0" distL="114300" distR="114300">
                  <wp:extent cx="2653030" cy="2557145"/>
                  <wp:effectExtent l="0" t="0" r="13970" b="14605"/>
                  <wp:docPr id="29" name="图片 29" descr="435a1300f7ae8b8335f54d382b9b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35a1300f7ae8b8335f54d382b9b442"/>
                          <pic:cNvPicPr>
                            <a:picLocks noChangeAspect="1"/>
                          </pic:cNvPicPr>
                        </pic:nvPicPr>
                        <pic:blipFill>
                          <a:blip r:embed="rId17"/>
                          <a:stretch>
                            <a:fillRect/>
                          </a:stretch>
                        </pic:blipFill>
                        <pic:spPr>
                          <a:xfrm>
                            <a:off x="0" y="0"/>
                            <a:ext cx="2653030" cy="2557145"/>
                          </a:xfrm>
                          <a:prstGeom prst="rect">
                            <a:avLst/>
                          </a:prstGeom>
                        </pic:spPr>
                      </pic:pic>
                    </a:graphicData>
                  </a:graphic>
                </wp:inline>
              </w:drawing>
            </w:r>
          </w:p>
        </w:tc>
        <w:tc>
          <w:tcPr>
            <w:tcW w:w="3949" w:type="dxa"/>
            <w:noWrap w:val="0"/>
            <w:vAlign w:val="center"/>
          </w:tcPr>
          <w:p w14:paraId="644450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71552" behindDoc="0" locked="0" layoutInCell="1" allowOverlap="1">
                      <wp:simplePos x="0" y="0"/>
                      <wp:positionH relativeFrom="column">
                        <wp:posOffset>1636395</wp:posOffset>
                      </wp:positionH>
                      <wp:positionV relativeFrom="paragraph">
                        <wp:posOffset>2316480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5B96DD">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28.85pt;margin-top:182.4pt;height:144pt;width:144pt;mso-wrap-style:none;z-index:251671552;mso-width-relative:page;mso-height-relative:page;" filled="f" stroked="f" coordsize="21600,21600" o:gfxdata="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Nal9oAAAALAQAADwAAAAAAAAABACAA&#10;AAAiAAAAZHJzL2Rvd25yZXYueG1sUEsBAhQAFAAAAAgAh07iQAev/ZjSAQAAmQMAAA4AAAAAAAAA&#10;AQAgAAAAKQEAAGRycy9lMm9Eb2MueG1sUEsFBgAAAAAGAAYAWQEAAG0FAAAAAA==&#10;">
                      <v:fill on="f" focussize="0,0"/>
                      <v:stroke on="f" weight="0.5pt"/>
                      <v:imagedata o:title=""/>
                      <o:lock v:ext="edit" aspectratio="f"/>
                      <v:textbox style="mso-fit-shape-to-text:t;">
                        <w:txbxContent>
                          <w:p w14:paraId="0C5B96DD">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eastAsia="宋体" w:cs="Times New Roman"/>
                <w:color w:val="auto"/>
                <w:sz w:val="24"/>
                <w:szCs w:val="24"/>
                <w:highlight w:val="none"/>
                <w:vertAlign w:val="baseline"/>
                <w:lang w:val="en-US" w:eastAsia="zh-CN"/>
              </w:rPr>
              <w:drawing>
                <wp:inline distT="0" distB="0" distL="114300" distR="114300">
                  <wp:extent cx="2340610" cy="2532380"/>
                  <wp:effectExtent l="0" t="0" r="2540" b="1270"/>
                  <wp:docPr id="30" name="图片 30" descr="effbeba54b2004b19fd3261d22ce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ffbeba54b2004b19fd3261d22ce97a"/>
                          <pic:cNvPicPr>
                            <a:picLocks noChangeAspect="1"/>
                          </pic:cNvPicPr>
                        </pic:nvPicPr>
                        <pic:blipFill>
                          <a:blip r:embed="rId18"/>
                          <a:stretch>
                            <a:fillRect/>
                          </a:stretch>
                        </pic:blipFill>
                        <pic:spPr>
                          <a:xfrm>
                            <a:off x="0" y="0"/>
                            <a:ext cx="2340610" cy="2532380"/>
                          </a:xfrm>
                          <a:prstGeom prst="rect">
                            <a:avLst/>
                          </a:prstGeom>
                        </pic:spPr>
                      </pic:pic>
                    </a:graphicData>
                  </a:graphic>
                </wp:inline>
              </w:drawing>
            </w:r>
          </w:p>
        </w:tc>
      </w:tr>
      <w:tr w14:paraId="4B87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1DF864E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空压机房</w:t>
            </w:r>
          </w:p>
        </w:tc>
        <w:tc>
          <w:tcPr>
            <w:tcW w:w="3949" w:type="dxa"/>
            <w:noWrap w:val="0"/>
            <w:vAlign w:val="center"/>
          </w:tcPr>
          <w:p w14:paraId="3ECC9A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甲类仓库</w:t>
            </w:r>
          </w:p>
        </w:tc>
      </w:tr>
      <w:tr w14:paraId="4924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27E257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7456" behindDoc="0" locked="0" layoutInCell="1" allowOverlap="1">
                      <wp:simplePos x="0" y="0"/>
                      <wp:positionH relativeFrom="column">
                        <wp:posOffset>1988185</wp:posOffset>
                      </wp:positionH>
                      <wp:positionV relativeFrom="paragraph">
                        <wp:posOffset>2426335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25A10B">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56.55pt;margin-top:191.05pt;height:144pt;width:144pt;mso-wrap-style:none;z-index:251667456;mso-width-relative:page;mso-height-relative:page;" filled="f" stroked="f" coordsize="21600,21600" o:gfxdata="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n6vqnWAAAACwEAAA8AAAAAAAAAAQAgAAAAIgAA&#10;AGRycy9kb3ducmV2LnhtbFBLAQIUABQAAAAIAIdO4kAcK/aj0QEAAJkDAAAOAAAAAAAAAAEAIAAA&#10;ACUBAABkcnMvZTJvRG9jLnhtbFBLBQYAAAAABgAGAFkBAABoBQAAAAA=&#10;">
                      <v:fill on="f" focussize="0,0"/>
                      <v:stroke on="f" weight="0.5pt"/>
                      <v:imagedata o:title=""/>
                      <o:lock v:ext="edit" aspectratio="f"/>
                      <v:textbox style="mso-fit-shape-to-text:t;">
                        <w:txbxContent>
                          <w:p w14:paraId="3325A10B">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eastAsia="宋体" w:cs="Times New Roman"/>
                <w:color w:val="auto"/>
                <w:sz w:val="24"/>
                <w:szCs w:val="24"/>
                <w:highlight w:val="none"/>
                <w:vertAlign w:val="baseline"/>
                <w:lang w:val="en-US" w:eastAsia="zh-CN"/>
              </w:rPr>
              <w:drawing>
                <wp:inline distT="0" distB="0" distL="114300" distR="114300">
                  <wp:extent cx="2710815" cy="2667000"/>
                  <wp:effectExtent l="0" t="0" r="13335" b="0"/>
                  <wp:docPr id="31" name="图片 31" descr="2a15d51bac953278a1b8a4f3ac3c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a15d51bac953278a1b8a4f3ac3cb48"/>
                          <pic:cNvPicPr>
                            <a:picLocks noChangeAspect="1"/>
                          </pic:cNvPicPr>
                        </pic:nvPicPr>
                        <pic:blipFill>
                          <a:blip r:embed="rId19"/>
                          <a:stretch>
                            <a:fillRect/>
                          </a:stretch>
                        </pic:blipFill>
                        <pic:spPr>
                          <a:xfrm>
                            <a:off x="0" y="0"/>
                            <a:ext cx="2710815" cy="2667000"/>
                          </a:xfrm>
                          <a:prstGeom prst="rect">
                            <a:avLst/>
                          </a:prstGeom>
                        </pic:spPr>
                      </pic:pic>
                    </a:graphicData>
                  </a:graphic>
                </wp:inline>
              </w:drawing>
            </w:r>
          </w:p>
        </w:tc>
        <w:tc>
          <w:tcPr>
            <w:tcW w:w="3949" w:type="dxa"/>
            <w:noWrap w:val="0"/>
            <w:vAlign w:val="center"/>
          </w:tcPr>
          <w:p w14:paraId="1D1B29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8480" behindDoc="0" locked="0" layoutInCell="1" allowOverlap="1">
                      <wp:simplePos x="0" y="0"/>
                      <wp:positionH relativeFrom="column">
                        <wp:posOffset>1646555</wp:posOffset>
                      </wp:positionH>
                      <wp:positionV relativeFrom="paragraph">
                        <wp:posOffset>2426970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E707C0">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29.65pt;margin-top:191.1pt;height:144pt;width:144pt;mso-wrap-style:none;z-index:251668480;mso-width-relative:page;mso-height-relative:page;" filled="f" stroked="f" coordsize="21600,21600" o:gfxdata="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U2/InaAAAACwEAAA8AAAAAAAAAAQAgAAAA&#10;IgAAAGRycy9kb3ducmV2LnhtbFBLAQIUABQAAAAIAIdO4kASs5C30AEAAJkDAAAOAAAAAAAAAAEA&#10;IAAAACkBAABkcnMvZTJvRG9jLnhtbFBLBQYAAAAABgAGAFkBAABrBQAAAAA=&#10;">
                      <v:fill on="f" focussize="0,0"/>
                      <v:stroke on="f" weight="0.5pt"/>
                      <v:imagedata o:title=""/>
                      <o:lock v:ext="edit" aspectratio="f"/>
                      <v:textbox style="mso-fit-shape-to-text:t;">
                        <w:txbxContent>
                          <w:p w14:paraId="1DE707C0">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eastAsia="宋体" w:cs="Times New Roman"/>
                <w:color w:val="auto"/>
                <w:sz w:val="24"/>
                <w:szCs w:val="24"/>
                <w:highlight w:val="none"/>
                <w:vertAlign w:val="baseline"/>
                <w:lang w:val="en-US" w:eastAsia="zh-CN"/>
              </w:rPr>
              <w:drawing>
                <wp:inline distT="0" distB="0" distL="114300" distR="114300">
                  <wp:extent cx="2384425" cy="2673350"/>
                  <wp:effectExtent l="0" t="0" r="15875" b="12700"/>
                  <wp:docPr id="33" name="图片 33" descr="2ade79de41df9a99e5e4b4ef60cb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ade79de41df9a99e5e4b4ef60cb6b3"/>
                          <pic:cNvPicPr>
                            <a:picLocks noChangeAspect="1"/>
                          </pic:cNvPicPr>
                        </pic:nvPicPr>
                        <pic:blipFill>
                          <a:blip r:embed="rId20"/>
                          <a:stretch>
                            <a:fillRect/>
                          </a:stretch>
                        </pic:blipFill>
                        <pic:spPr>
                          <a:xfrm>
                            <a:off x="0" y="0"/>
                            <a:ext cx="2384425" cy="2673350"/>
                          </a:xfrm>
                          <a:prstGeom prst="rect">
                            <a:avLst/>
                          </a:prstGeom>
                        </pic:spPr>
                      </pic:pic>
                    </a:graphicData>
                  </a:graphic>
                </wp:inline>
              </w:drawing>
            </w:r>
          </w:p>
        </w:tc>
      </w:tr>
      <w:tr w14:paraId="5079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78539F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一般固废间</w:t>
            </w:r>
          </w:p>
        </w:tc>
        <w:tc>
          <w:tcPr>
            <w:tcW w:w="3949" w:type="dxa"/>
            <w:noWrap w:val="0"/>
            <w:vAlign w:val="center"/>
          </w:tcPr>
          <w:p w14:paraId="0C0D44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水性涂料成品库</w:t>
            </w:r>
          </w:p>
        </w:tc>
      </w:tr>
      <w:tr w14:paraId="67FF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0D4713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rPr>
              <w:drawing>
                <wp:inline distT="0" distB="0" distL="114300" distR="114300">
                  <wp:extent cx="2720340" cy="2551430"/>
                  <wp:effectExtent l="0" t="0" r="10160" b="1270"/>
                  <wp:docPr id="14" name="图片 14" descr="d288c7cfe701932ac334c415cff4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88c7cfe701932ac334c415cff499f"/>
                          <pic:cNvPicPr>
                            <a:picLocks noChangeAspect="1"/>
                          </pic:cNvPicPr>
                        </pic:nvPicPr>
                        <pic:blipFill>
                          <a:blip r:embed="rId21"/>
                          <a:stretch>
                            <a:fillRect/>
                          </a:stretch>
                        </pic:blipFill>
                        <pic:spPr>
                          <a:xfrm>
                            <a:off x="0" y="0"/>
                            <a:ext cx="2720340" cy="2551430"/>
                          </a:xfrm>
                          <a:prstGeom prst="rect">
                            <a:avLst/>
                          </a:prstGeom>
                        </pic:spPr>
                      </pic:pic>
                    </a:graphicData>
                  </a:graphic>
                </wp:inline>
              </w:drawing>
            </w:r>
            <w:r>
              <w:rPr>
                <w:rFonts w:hint="default" w:ascii="Times New Roman" w:hAnsi="Times New Roman" w:eastAsia="宋体" w:cs="Times New Roman"/>
                <w:color w:val="auto"/>
                <w:sz w:val="21"/>
              </w:rPr>
              <mc:AlternateContent>
                <mc:Choice Requires="wps">
                  <w:drawing>
                    <wp:anchor distT="0" distB="0" distL="114300" distR="114300" simplePos="0" relativeHeight="251670528" behindDoc="0" locked="0" layoutInCell="1" allowOverlap="1">
                      <wp:simplePos x="0" y="0"/>
                      <wp:positionH relativeFrom="column">
                        <wp:posOffset>1906270</wp:posOffset>
                      </wp:positionH>
                      <wp:positionV relativeFrom="paragraph">
                        <wp:posOffset>2249170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B8CE42F">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50.1pt;margin-top:177.1pt;height:144pt;width:144pt;mso-wrap-style:none;z-index:251670528;mso-width-relative:page;mso-height-relative:page;" filled="f" stroked="f" coordsize="21600,21600" o:gfxdata="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6K1LtkAAAALAQAADwAAAAAAAAABACAAAAAi&#10;AAAAZHJzL2Rvd25yZXYueG1sUEsBAhQAFAAAAAgAh07iQFGC45zQAQAAmQMAAA4AAAAAAAAAAQAg&#10;AAAAKAEAAGRycy9lMm9Eb2MueG1sUEsFBgAAAAAGAAYAWQEAAGoFAAAAAA==&#10;">
                      <v:fill on="f" focussize="0,0"/>
                      <v:stroke on="f" weight="0.5pt"/>
                      <v:imagedata o:title=""/>
                      <o:lock v:ext="edit" aspectratio="f"/>
                      <v:textbox style="mso-fit-shape-to-text:t;">
                        <w:txbxContent>
                          <w:p w14:paraId="0B8CE42F">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p>
        </w:tc>
        <w:tc>
          <w:tcPr>
            <w:tcW w:w="3949" w:type="dxa"/>
            <w:noWrap w:val="0"/>
            <w:vAlign w:val="center"/>
          </w:tcPr>
          <w:p w14:paraId="7284D1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72576" behindDoc="0" locked="0" layoutInCell="1" allowOverlap="1">
                      <wp:simplePos x="0" y="0"/>
                      <wp:positionH relativeFrom="column">
                        <wp:posOffset>1630680</wp:posOffset>
                      </wp:positionH>
                      <wp:positionV relativeFrom="paragraph">
                        <wp:posOffset>2284095</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687826B">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28.4pt;margin-top:179.85pt;height:144pt;width:144pt;mso-wrap-style:none;z-index:251672576;mso-width-relative:page;mso-height-relative:page;" filled="f" stroked="f" coordsize="21600,21600" o:gfxdata="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cm41doAAAALAQAADwAAAAAAAAABACAA&#10;AAAiAAAAZHJzL2Rvd25yZXYueG1sUEsBAhQAFAAAAAgAh07iQKv1wZDSAQAAmQMAAA4AAAAAAAAA&#10;AQAgAAAAKQEAAGRycy9lMm9Eb2MueG1sUEsFBgAAAAAGAAYAWQEAAG0FAAAAAA==&#10;">
                      <v:fill on="f" focussize="0,0"/>
                      <v:stroke on="f" weight="0.5pt"/>
                      <v:imagedata o:title=""/>
                      <o:lock v:ext="edit" aspectratio="f"/>
                      <v:textbox style="mso-fit-shape-to-text:t;">
                        <w:txbxContent>
                          <w:p w14:paraId="3687826B">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eastAsia="宋体" w:cs="Times New Roman"/>
                <w:color w:val="auto"/>
                <w:sz w:val="24"/>
                <w:szCs w:val="24"/>
                <w:highlight w:val="none"/>
                <w:vertAlign w:val="baseline"/>
                <w:lang w:val="en-US" w:eastAsia="zh-CN"/>
              </w:rPr>
              <w:drawing>
                <wp:inline distT="0" distB="0" distL="114300" distR="114300">
                  <wp:extent cx="2378710" cy="2530475"/>
                  <wp:effectExtent l="0" t="0" r="8890" b="9525"/>
                  <wp:docPr id="36" name="图片 36" descr="142aa002e49f6553f68a67a9c94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42aa002e49f6553f68a67a9c941529"/>
                          <pic:cNvPicPr>
                            <a:picLocks noChangeAspect="1"/>
                          </pic:cNvPicPr>
                        </pic:nvPicPr>
                        <pic:blipFill>
                          <a:blip r:embed="rId22"/>
                          <a:stretch>
                            <a:fillRect/>
                          </a:stretch>
                        </pic:blipFill>
                        <pic:spPr>
                          <a:xfrm>
                            <a:off x="0" y="0"/>
                            <a:ext cx="2378710" cy="2530475"/>
                          </a:xfrm>
                          <a:prstGeom prst="rect">
                            <a:avLst/>
                          </a:prstGeom>
                        </pic:spPr>
                      </pic:pic>
                    </a:graphicData>
                  </a:graphic>
                </wp:inline>
              </w:drawing>
            </w:r>
          </w:p>
        </w:tc>
      </w:tr>
      <w:tr w14:paraId="0322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0F157E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自建</w:t>
            </w:r>
            <w:r>
              <w:rPr>
                <w:rFonts w:hint="eastAsia" w:eastAsia="宋体" w:cs="Times New Roman"/>
                <w:color w:val="auto"/>
                <w:sz w:val="24"/>
                <w:szCs w:val="24"/>
                <w:highlight w:val="none"/>
                <w:vertAlign w:val="baseline"/>
                <w:lang w:val="en-US" w:eastAsia="zh-CN"/>
              </w:rPr>
              <w:t>污水处理系统</w:t>
            </w:r>
          </w:p>
        </w:tc>
        <w:tc>
          <w:tcPr>
            <w:tcW w:w="3949" w:type="dxa"/>
            <w:noWrap w:val="0"/>
            <w:vAlign w:val="center"/>
          </w:tcPr>
          <w:p w14:paraId="5AF0C2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原辅料仓库</w:t>
            </w:r>
          </w:p>
        </w:tc>
      </w:tr>
    </w:tbl>
    <w:p w14:paraId="12B315C3">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sectPr>
          <w:footerReference r:id="rId6" w:type="default"/>
          <w:pgSz w:w="11906" w:h="16838"/>
          <w:pgMar w:top="1701" w:right="1531" w:bottom="1701" w:left="1531" w:header="851" w:footer="1077" w:gutter="0"/>
          <w:pgNumType w:start="1"/>
          <w:cols w:space="720" w:num="1"/>
          <w:docGrid w:linePitch="312" w:charSpace="0"/>
        </w:sectPr>
      </w:pPr>
    </w:p>
    <w:p w14:paraId="0E3E6589">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一、建设项目基本情况</w:t>
      </w:r>
      <w:bookmarkEnd w:id="0"/>
    </w:p>
    <w:tbl>
      <w:tblPr>
        <w:tblStyle w:val="28"/>
        <w:tblW w:w="492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63"/>
        <w:gridCol w:w="497"/>
        <w:gridCol w:w="1815"/>
        <w:gridCol w:w="2246"/>
        <w:gridCol w:w="3411"/>
      </w:tblGrid>
      <w:tr w14:paraId="5AE2A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180FABD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4278" w:type="pct"/>
            <w:gridSpan w:val="3"/>
            <w:noWrap w:val="0"/>
            <w:vAlign w:val="center"/>
          </w:tcPr>
          <w:p w14:paraId="270BBF33">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水性涂料产品、腻子粉产品产能提升改造项目</w:t>
            </w:r>
          </w:p>
        </w:tc>
      </w:tr>
      <w:tr w14:paraId="00CDE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32C7D49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4278" w:type="pct"/>
            <w:gridSpan w:val="3"/>
            <w:noWrap w:val="0"/>
            <w:vAlign w:val="center"/>
          </w:tcPr>
          <w:p w14:paraId="3F1C640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rPr>
            </w:pPr>
            <w:r>
              <w:rPr>
                <w:rFonts w:hint="eastAsia" w:cs="Times New Roman"/>
                <w:color w:val="auto"/>
                <w:sz w:val="24"/>
                <w:szCs w:val="24"/>
                <w:lang w:val="en-US" w:eastAsia="zh-CN"/>
              </w:rPr>
              <w:t>2302-530124-04-02-529015</w:t>
            </w:r>
          </w:p>
        </w:tc>
      </w:tr>
      <w:tr w14:paraId="5A7F5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4DC5836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1039" w:type="pct"/>
            <w:noWrap w:val="0"/>
            <w:vAlign w:val="center"/>
          </w:tcPr>
          <w:p w14:paraId="6E0E5DEA">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绳闪</w:t>
            </w:r>
          </w:p>
        </w:tc>
        <w:tc>
          <w:tcPr>
            <w:tcW w:w="1286" w:type="pct"/>
            <w:noWrap w:val="0"/>
            <w:vAlign w:val="center"/>
          </w:tcPr>
          <w:p w14:paraId="1A78C1B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1953" w:type="pct"/>
            <w:noWrap w:val="0"/>
            <w:vAlign w:val="center"/>
          </w:tcPr>
          <w:p w14:paraId="0F53EE4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13608803653</w:t>
            </w:r>
          </w:p>
        </w:tc>
      </w:tr>
      <w:tr w14:paraId="299C81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17DB686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4278" w:type="pct"/>
            <w:gridSpan w:val="3"/>
            <w:noWrap w:val="0"/>
            <w:vAlign w:val="center"/>
          </w:tcPr>
          <w:p w14:paraId="16B3A703">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u w:val="single"/>
                <w:lang w:eastAsia="zh-CN"/>
              </w:rPr>
              <w:t>云南</w:t>
            </w:r>
            <w:r>
              <w:rPr>
                <w:rFonts w:hint="default" w:ascii="Times New Roman" w:hAnsi="Times New Roman" w:eastAsia="宋体" w:cs="Times New Roman"/>
                <w:color w:val="auto"/>
                <w:sz w:val="24"/>
                <w:szCs w:val="24"/>
                <w:u w:val="single"/>
              </w:rPr>
              <w:t>省</w:t>
            </w:r>
            <w:r>
              <w:rPr>
                <w:rFonts w:hint="default" w:ascii="Times New Roman" w:hAnsi="Times New Roman" w:eastAsia="宋体" w:cs="Times New Roman"/>
                <w:color w:val="auto"/>
                <w:sz w:val="24"/>
                <w:szCs w:val="24"/>
                <w:u w:val="single"/>
                <w:lang w:eastAsia="zh-CN"/>
              </w:rPr>
              <w:t>昆明市</w:t>
            </w:r>
            <w:r>
              <w:rPr>
                <w:rFonts w:hint="eastAsia" w:ascii="Times New Roman" w:hAnsi="Times New Roman" w:eastAsia="宋体" w:cs="Times New Roman"/>
                <w:color w:val="auto"/>
                <w:sz w:val="24"/>
                <w:szCs w:val="24"/>
                <w:u w:val="single"/>
                <w:lang w:eastAsia="zh-CN"/>
              </w:rPr>
              <w:t>富民县富民工业园区哨箐机械加工园</w:t>
            </w:r>
          </w:p>
        </w:tc>
      </w:tr>
      <w:tr w14:paraId="74074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564C3E4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4278" w:type="pct"/>
            <w:gridSpan w:val="3"/>
            <w:noWrap w:val="0"/>
            <w:vAlign w:val="center"/>
          </w:tcPr>
          <w:p w14:paraId="7EE107C9">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shd w:val="clear" w:color="auto" w:fill="auto"/>
              </w:rPr>
            </w:pPr>
            <w:r>
              <w:rPr>
                <w:rFonts w:hint="default" w:ascii="Times New Roman" w:hAnsi="Times New Roman" w:eastAsia="宋体" w:cs="Times New Roman"/>
                <w:color w:val="auto"/>
                <w:sz w:val="24"/>
                <w:szCs w:val="24"/>
                <w:shd w:val="clear" w:color="auto" w:fill="auto"/>
              </w:rPr>
              <w:t>（</w:t>
            </w:r>
            <w:r>
              <w:rPr>
                <w:rFonts w:hint="default" w:ascii="Times New Roman" w:hAnsi="Times New Roman" w:eastAsia="宋体" w:cs="Times New Roman"/>
                <w:color w:val="auto"/>
                <w:sz w:val="24"/>
                <w:szCs w:val="24"/>
                <w:u w:val="single"/>
                <w:shd w:val="clear" w:color="auto" w:fill="auto"/>
                <w:lang w:val="en-US" w:eastAsia="zh-CN"/>
              </w:rPr>
              <w:t>10</w:t>
            </w:r>
            <w:r>
              <w:rPr>
                <w:rFonts w:hint="eastAsia" w:ascii="Times New Roman" w:hAnsi="Times New Roman" w:eastAsia="宋体" w:cs="Times New Roman"/>
                <w:color w:val="auto"/>
                <w:sz w:val="24"/>
                <w:szCs w:val="24"/>
                <w:u w:val="single"/>
                <w:shd w:val="clear" w:color="auto" w:fill="auto"/>
                <w:lang w:val="en-US" w:eastAsia="zh-CN"/>
              </w:rPr>
              <w:t>2</w:t>
            </w:r>
            <w:r>
              <w:rPr>
                <w:rFonts w:hint="default" w:ascii="Times New Roman" w:hAnsi="Times New Roman" w:eastAsia="宋体" w:cs="Times New Roman"/>
                <w:color w:val="auto"/>
                <w:sz w:val="24"/>
                <w:szCs w:val="24"/>
                <w:shd w:val="clear" w:color="auto" w:fill="auto"/>
              </w:rPr>
              <w:t>度</w:t>
            </w:r>
            <w:r>
              <w:rPr>
                <w:rFonts w:hint="eastAsia" w:ascii="Times New Roman" w:hAnsi="Times New Roman" w:eastAsia="宋体" w:cs="Times New Roman"/>
                <w:color w:val="auto"/>
                <w:sz w:val="24"/>
                <w:szCs w:val="24"/>
                <w:u w:val="single"/>
                <w:shd w:val="clear" w:color="auto" w:fill="auto"/>
                <w:lang w:val="en-US" w:eastAsia="zh-CN"/>
              </w:rPr>
              <w:t>27</w:t>
            </w:r>
            <w:r>
              <w:rPr>
                <w:rFonts w:hint="default" w:ascii="Times New Roman" w:hAnsi="Times New Roman" w:eastAsia="宋体" w:cs="Times New Roman"/>
                <w:color w:val="auto"/>
                <w:sz w:val="24"/>
                <w:szCs w:val="24"/>
                <w:shd w:val="clear" w:color="auto" w:fill="auto"/>
              </w:rPr>
              <w:t>分</w:t>
            </w:r>
            <w:r>
              <w:rPr>
                <w:rFonts w:hint="eastAsia" w:ascii="Times New Roman" w:hAnsi="Times New Roman" w:eastAsia="宋体" w:cs="Times New Roman"/>
                <w:color w:val="auto"/>
                <w:sz w:val="24"/>
                <w:szCs w:val="24"/>
                <w:u w:val="single"/>
                <w:shd w:val="clear" w:color="auto" w:fill="auto"/>
                <w:lang w:val="en-US" w:eastAsia="zh-CN"/>
              </w:rPr>
              <w:t>44.478</w:t>
            </w:r>
            <w:r>
              <w:rPr>
                <w:rFonts w:hint="default" w:ascii="Times New Roman" w:hAnsi="Times New Roman" w:eastAsia="宋体" w:cs="Times New Roman"/>
                <w:color w:val="auto"/>
                <w:sz w:val="24"/>
                <w:szCs w:val="24"/>
                <w:shd w:val="clear" w:color="auto" w:fill="auto"/>
              </w:rPr>
              <w:t>秒，</w:t>
            </w:r>
            <w:r>
              <w:rPr>
                <w:rFonts w:hint="default" w:ascii="Times New Roman" w:hAnsi="Times New Roman" w:eastAsia="宋体" w:cs="Times New Roman"/>
                <w:color w:val="auto"/>
                <w:sz w:val="24"/>
                <w:szCs w:val="24"/>
                <w:u w:val="single"/>
                <w:shd w:val="clear" w:color="auto" w:fill="auto"/>
                <w:lang w:val="en-US" w:eastAsia="zh-CN"/>
              </w:rPr>
              <w:t>25</w:t>
            </w:r>
            <w:r>
              <w:rPr>
                <w:rFonts w:hint="default" w:ascii="Times New Roman" w:hAnsi="Times New Roman" w:eastAsia="宋体" w:cs="Times New Roman"/>
                <w:color w:val="auto"/>
                <w:sz w:val="24"/>
                <w:szCs w:val="24"/>
                <w:shd w:val="clear" w:color="auto" w:fill="auto"/>
              </w:rPr>
              <w:t>度</w:t>
            </w:r>
            <w:r>
              <w:rPr>
                <w:rFonts w:hint="eastAsia" w:ascii="Times New Roman" w:hAnsi="Times New Roman" w:eastAsia="宋体" w:cs="Times New Roman"/>
                <w:color w:val="auto"/>
                <w:sz w:val="24"/>
                <w:szCs w:val="24"/>
                <w:u w:val="single"/>
                <w:shd w:val="clear" w:color="auto" w:fill="auto"/>
                <w:lang w:val="en-US" w:eastAsia="zh-CN"/>
              </w:rPr>
              <w:t>16</w:t>
            </w:r>
            <w:r>
              <w:rPr>
                <w:rFonts w:hint="default" w:ascii="Times New Roman" w:hAnsi="Times New Roman" w:eastAsia="宋体" w:cs="Times New Roman"/>
                <w:color w:val="auto"/>
                <w:sz w:val="24"/>
                <w:szCs w:val="24"/>
                <w:shd w:val="clear" w:color="auto" w:fill="auto"/>
              </w:rPr>
              <w:t>分</w:t>
            </w:r>
            <w:r>
              <w:rPr>
                <w:rFonts w:hint="eastAsia" w:ascii="Times New Roman" w:hAnsi="Times New Roman" w:eastAsia="宋体" w:cs="Times New Roman"/>
                <w:color w:val="auto"/>
                <w:sz w:val="24"/>
                <w:szCs w:val="24"/>
                <w:u w:val="single"/>
                <w:shd w:val="clear" w:color="auto" w:fill="auto"/>
                <w:lang w:val="en-US" w:eastAsia="zh-CN"/>
              </w:rPr>
              <w:t>17.804</w:t>
            </w:r>
            <w:r>
              <w:rPr>
                <w:rFonts w:hint="default" w:ascii="Times New Roman" w:hAnsi="Times New Roman" w:eastAsia="宋体" w:cs="Times New Roman"/>
                <w:color w:val="auto"/>
                <w:sz w:val="24"/>
                <w:szCs w:val="24"/>
                <w:shd w:val="clear" w:color="auto" w:fill="auto"/>
              </w:rPr>
              <w:t>秒）</w:t>
            </w:r>
          </w:p>
        </w:tc>
      </w:tr>
      <w:tr w14:paraId="4054D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4B805DE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14:paraId="67E5E8F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039" w:type="pct"/>
            <w:noWrap w:val="0"/>
            <w:vAlign w:val="center"/>
          </w:tcPr>
          <w:p w14:paraId="26D2110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shd w:val="clear" w:color="auto" w:fill="auto"/>
                <w:lang w:val="en-US" w:eastAsia="zh-CN"/>
              </w:rPr>
            </w:pPr>
            <w:r>
              <w:rPr>
                <w:rFonts w:hint="default" w:ascii="Times New Roman" w:hAnsi="Times New Roman" w:eastAsia="宋体" w:cs="Times New Roman"/>
                <w:color w:val="auto"/>
                <w:sz w:val="24"/>
                <w:szCs w:val="24"/>
                <w:shd w:val="clear" w:color="auto" w:fill="auto"/>
                <w:lang w:val="en-US" w:eastAsia="zh-CN"/>
              </w:rPr>
              <w:t>涂料制造（C2641）</w:t>
            </w:r>
          </w:p>
          <w:p w14:paraId="725D486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lang w:eastAsia="zh-CN"/>
              </w:rPr>
            </w:pPr>
          </w:p>
        </w:tc>
        <w:tc>
          <w:tcPr>
            <w:tcW w:w="1286" w:type="pct"/>
            <w:noWrap w:val="0"/>
            <w:vAlign w:val="center"/>
          </w:tcPr>
          <w:p w14:paraId="1E5F6DF3">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shd w:val="clear" w:color="auto" w:fill="auto"/>
              </w:rPr>
            </w:pPr>
            <w:bookmarkStart w:id="1" w:name="_Hlk49843745"/>
            <w:r>
              <w:rPr>
                <w:rFonts w:hint="default" w:ascii="Times New Roman" w:hAnsi="Times New Roman" w:eastAsia="宋体" w:cs="Times New Roman"/>
                <w:color w:val="auto"/>
                <w:sz w:val="24"/>
                <w:szCs w:val="24"/>
                <w:shd w:val="clear" w:color="auto" w:fill="auto"/>
              </w:rPr>
              <w:t>建设项目行业类别</w:t>
            </w:r>
            <w:bookmarkEnd w:id="1"/>
          </w:p>
        </w:tc>
        <w:tc>
          <w:tcPr>
            <w:tcW w:w="1953" w:type="pct"/>
            <w:noWrap w:val="0"/>
            <w:vAlign w:val="center"/>
          </w:tcPr>
          <w:p w14:paraId="233C44A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shd w:val="clear" w:color="auto" w:fill="auto"/>
                <w:lang w:val="en-US" w:eastAsia="zh-CN"/>
              </w:rPr>
              <w:t>二十三、化学原料和化学制品制造业-44涂料、油墨、颜料及类似产品制造264</w:t>
            </w:r>
          </w:p>
        </w:tc>
      </w:tr>
      <w:tr w14:paraId="70515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782B30A0">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039" w:type="pct"/>
            <w:noWrap w:val="0"/>
            <w:vAlign w:val="center"/>
          </w:tcPr>
          <w:p w14:paraId="2C501A91">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新建（迁建）</w:t>
            </w:r>
          </w:p>
          <w:p w14:paraId="2716F7F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14:paraId="5948C88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扩建</w:t>
            </w:r>
          </w:p>
          <w:p w14:paraId="75345B4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p>
        </w:tc>
        <w:tc>
          <w:tcPr>
            <w:tcW w:w="1286" w:type="pct"/>
            <w:noWrap w:val="0"/>
            <w:vAlign w:val="center"/>
          </w:tcPr>
          <w:p w14:paraId="2979E50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建设项目申报情形</w:t>
            </w:r>
          </w:p>
        </w:tc>
        <w:tc>
          <w:tcPr>
            <w:tcW w:w="1953" w:type="pct"/>
            <w:noWrap w:val="0"/>
            <w:vAlign w:val="center"/>
          </w:tcPr>
          <w:p w14:paraId="1EA434BF">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 xml:space="preserve">首次申报项目             </w:t>
            </w:r>
          </w:p>
          <w:p w14:paraId="414C8EEB">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不予批准后再次申报项目</w:t>
            </w:r>
          </w:p>
          <w:p w14:paraId="6B595C1C">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 xml:space="preserve">超五年重新审核项目     </w:t>
            </w:r>
          </w:p>
          <w:p w14:paraId="081D5C18">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□重大变动重新报批项目</w:t>
            </w:r>
          </w:p>
        </w:tc>
      </w:tr>
      <w:tr w14:paraId="46171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387F9811">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14:paraId="223D72BA">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备案）部门（选填）</w:t>
            </w:r>
          </w:p>
        </w:tc>
        <w:tc>
          <w:tcPr>
            <w:tcW w:w="1039" w:type="pct"/>
            <w:noWrap w:val="0"/>
            <w:vAlign w:val="center"/>
          </w:tcPr>
          <w:p w14:paraId="32B40B1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富民</w:t>
            </w:r>
            <w:r>
              <w:rPr>
                <w:rFonts w:hint="default" w:ascii="Times New Roman" w:hAnsi="Times New Roman" w:eastAsia="宋体" w:cs="Times New Roman"/>
                <w:color w:val="auto"/>
                <w:sz w:val="24"/>
                <w:szCs w:val="24"/>
                <w:lang w:eastAsia="zh-CN"/>
              </w:rPr>
              <w:t>县发展和改革局</w:t>
            </w:r>
          </w:p>
        </w:tc>
        <w:tc>
          <w:tcPr>
            <w:tcW w:w="1286" w:type="pct"/>
            <w:noWrap w:val="0"/>
            <w:vAlign w:val="center"/>
          </w:tcPr>
          <w:p w14:paraId="332DA2A6">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14:paraId="03C95EBA">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备案）文号（选填）</w:t>
            </w:r>
          </w:p>
        </w:tc>
        <w:tc>
          <w:tcPr>
            <w:tcW w:w="1953" w:type="pct"/>
            <w:noWrap w:val="0"/>
            <w:vAlign w:val="center"/>
          </w:tcPr>
          <w:p w14:paraId="72A2665B">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2302-530124-04-02-529015</w:t>
            </w:r>
          </w:p>
        </w:tc>
      </w:tr>
      <w:tr w14:paraId="4CF90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7C05F0D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039" w:type="pct"/>
            <w:noWrap w:val="0"/>
            <w:vAlign w:val="center"/>
          </w:tcPr>
          <w:p w14:paraId="48806391">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170</w:t>
            </w:r>
          </w:p>
        </w:tc>
        <w:tc>
          <w:tcPr>
            <w:tcW w:w="1286" w:type="pct"/>
            <w:noWrap w:val="0"/>
            <w:tcMar>
              <w:top w:w="16" w:type="dxa"/>
              <w:left w:w="16" w:type="dxa"/>
              <w:right w:w="16" w:type="dxa"/>
            </w:tcMar>
            <w:vAlign w:val="center"/>
          </w:tcPr>
          <w:p w14:paraId="132A036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1953" w:type="pct"/>
            <w:noWrap w:val="0"/>
            <w:vAlign w:val="center"/>
          </w:tcPr>
          <w:p w14:paraId="21DDA9B3">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32</w:t>
            </w:r>
          </w:p>
        </w:tc>
      </w:tr>
      <w:tr w14:paraId="27C9C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195396C6">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039" w:type="pct"/>
            <w:noWrap w:val="0"/>
            <w:vAlign w:val="center"/>
          </w:tcPr>
          <w:p w14:paraId="611ABA9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18.8</w:t>
            </w:r>
          </w:p>
        </w:tc>
        <w:tc>
          <w:tcPr>
            <w:tcW w:w="1286" w:type="pct"/>
            <w:noWrap w:val="0"/>
            <w:tcMar>
              <w:top w:w="16" w:type="dxa"/>
              <w:left w:w="16" w:type="dxa"/>
              <w:right w:w="16" w:type="dxa"/>
            </w:tcMar>
            <w:vAlign w:val="center"/>
          </w:tcPr>
          <w:p w14:paraId="52D9753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1953" w:type="pct"/>
            <w:noWrap w:val="0"/>
            <w:vAlign w:val="center"/>
          </w:tcPr>
          <w:p w14:paraId="1AA6136C">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月</w:t>
            </w:r>
          </w:p>
        </w:tc>
      </w:tr>
      <w:tr w14:paraId="0F159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68F4022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039" w:type="pct"/>
            <w:noWrap w:val="0"/>
            <w:vAlign w:val="center"/>
          </w:tcPr>
          <w:p w14:paraId="6EAC927C">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否</w:t>
            </w:r>
          </w:p>
          <w:p w14:paraId="6069AB0B">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u w:val="single"/>
                <w:lang w:val="en-US" w:eastAsia="zh-CN"/>
              </w:rPr>
              <w:t xml:space="preserve">       </w:t>
            </w:r>
          </w:p>
        </w:tc>
        <w:tc>
          <w:tcPr>
            <w:tcW w:w="1286" w:type="pct"/>
            <w:noWrap w:val="0"/>
            <w:tcMar>
              <w:top w:w="16" w:type="dxa"/>
              <w:left w:w="16" w:type="dxa"/>
              <w:right w:w="16" w:type="dxa"/>
            </w:tcMar>
            <w:vAlign w:val="center"/>
          </w:tcPr>
          <w:p w14:paraId="7B7435B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用地（用海）面积（m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1953" w:type="pct"/>
            <w:noWrap w:val="0"/>
            <w:vAlign w:val="center"/>
          </w:tcPr>
          <w:p w14:paraId="78BC05B1">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41355</w:t>
            </w:r>
          </w:p>
        </w:tc>
      </w:tr>
      <w:tr w14:paraId="6865E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noWrap w:val="0"/>
            <w:vAlign w:val="center"/>
          </w:tcPr>
          <w:p w14:paraId="61CCE2C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4562" w:type="pct"/>
            <w:gridSpan w:val="4"/>
            <w:noWrap w:val="0"/>
            <w:vAlign w:val="center"/>
          </w:tcPr>
          <w:p w14:paraId="15125890">
            <w:pPr>
              <w:keepNext w:val="0"/>
              <w:keepLines w:val="0"/>
              <w:pageBreakBefore w:val="0"/>
              <w:suppressLineNumbers w:val="0"/>
              <w:kinsoku/>
              <w:wordWrap/>
              <w:overflowPunct/>
              <w:bidi w:val="0"/>
              <w:adjustRightInd w:val="0"/>
              <w:snapToGrid w:val="0"/>
              <w:spacing w:before="0" w:beforeAutospacing="0" w:after="0" w:afterAutospacing="0" w:line="240" w:lineRule="auto"/>
              <w:ind w:left="0" w:leftChars="0" w:right="0" w:firstLine="422" w:firstLineChars="200"/>
              <w:jc w:val="center"/>
              <w:textAlignment w:val="auto"/>
              <w:rPr>
                <w:rFonts w:hint="default"/>
                <w:b/>
                <w:bCs/>
                <w:color w:val="auto"/>
                <w:lang w:val="en-US" w:eastAsia="zh-CN"/>
              </w:rPr>
            </w:pPr>
            <w:r>
              <w:rPr>
                <w:rFonts w:hint="eastAsia"/>
                <w:b/>
                <w:bCs/>
                <w:color w:val="auto"/>
                <w:lang w:val="en-US" w:eastAsia="zh-CN"/>
              </w:rPr>
              <w:t>表1-1  专项评价设置情况一览表</w:t>
            </w:r>
          </w:p>
          <w:tbl>
            <w:tblPr>
              <w:tblStyle w:val="2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15"/>
              <w:gridCol w:w="3900"/>
              <w:gridCol w:w="2174"/>
              <w:gridCol w:w="790"/>
            </w:tblGrid>
            <w:tr w14:paraId="2DC00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15" w:type="dxa"/>
                  <w:tcBorders>
                    <w:tl2br w:val="nil"/>
                    <w:tr2bl w:val="nil"/>
                  </w:tcBorders>
                  <w:noWrap w:val="0"/>
                  <w:tcMar>
                    <w:top w:w="0" w:type="dxa"/>
                    <w:left w:w="51" w:type="dxa"/>
                    <w:bottom w:w="0" w:type="dxa"/>
                    <w:right w:w="51" w:type="dxa"/>
                  </w:tcMar>
                  <w:vAlign w:val="center"/>
                </w:tcPr>
                <w:p w14:paraId="4DA09AC0">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专项评价的类别</w:t>
                  </w:r>
                </w:p>
              </w:tc>
              <w:tc>
                <w:tcPr>
                  <w:tcW w:w="3900" w:type="dxa"/>
                  <w:tcBorders>
                    <w:tl2br w:val="nil"/>
                    <w:tr2bl w:val="nil"/>
                  </w:tcBorders>
                  <w:noWrap w:val="0"/>
                  <w:tcMar>
                    <w:top w:w="0" w:type="dxa"/>
                    <w:left w:w="51" w:type="dxa"/>
                    <w:bottom w:w="0" w:type="dxa"/>
                    <w:right w:w="51" w:type="dxa"/>
                  </w:tcMar>
                  <w:vAlign w:val="center"/>
                </w:tcPr>
                <w:p w14:paraId="6BF6ACE6">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设置原则</w:t>
                  </w:r>
                </w:p>
              </w:tc>
              <w:tc>
                <w:tcPr>
                  <w:tcW w:w="2174" w:type="dxa"/>
                  <w:tcBorders>
                    <w:tl2br w:val="nil"/>
                    <w:tr2bl w:val="nil"/>
                  </w:tcBorders>
                  <w:noWrap w:val="0"/>
                  <w:tcMar>
                    <w:top w:w="0" w:type="dxa"/>
                    <w:left w:w="51" w:type="dxa"/>
                    <w:bottom w:w="0" w:type="dxa"/>
                    <w:right w:w="51" w:type="dxa"/>
                  </w:tcMar>
                  <w:vAlign w:val="center"/>
                </w:tcPr>
                <w:p w14:paraId="751DA28C">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本项目情况</w:t>
                  </w:r>
                </w:p>
              </w:tc>
              <w:tc>
                <w:tcPr>
                  <w:tcW w:w="790" w:type="dxa"/>
                  <w:tcBorders>
                    <w:tl2br w:val="nil"/>
                    <w:tr2bl w:val="nil"/>
                  </w:tcBorders>
                  <w:noWrap w:val="0"/>
                  <w:tcMar>
                    <w:top w:w="0" w:type="dxa"/>
                    <w:left w:w="51" w:type="dxa"/>
                    <w:bottom w:w="0" w:type="dxa"/>
                    <w:right w:w="51" w:type="dxa"/>
                  </w:tcMar>
                  <w:vAlign w:val="center"/>
                </w:tcPr>
                <w:p w14:paraId="2FF9AECF">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专项评价设置情况</w:t>
                  </w:r>
                </w:p>
              </w:tc>
            </w:tr>
            <w:tr w14:paraId="456FA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5" w:type="dxa"/>
                  <w:tcBorders>
                    <w:tl2br w:val="nil"/>
                    <w:tr2bl w:val="nil"/>
                  </w:tcBorders>
                  <w:noWrap w:val="0"/>
                  <w:tcMar>
                    <w:top w:w="0" w:type="dxa"/>
                    <w:left w:w="51" w:type="dxa"/>
                    <w:bottom w:w="0" w:type="dxa"/>
                    <w:right w:w="51" w:type="dxa"/>
                  </w:tcMar>
                  <w:vAlign w:val="center"/>
                </w:tcPr>
                <w:p w14:paraId="218499BB">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3900" w:type="dxa"/>
                  <w:tcBorders>
                    <w:tl2br w:val="nil"/>
                    <w:tr2bl w:val="nil"/>
                  </w:tcBorders>
                  <w:noWrap w:val="0"/>
                  <w:tcMar>
                    <w:top w:w="0" w:type="dxa"/>
                    <w:left w:w="51" w:type="dxa"/>
                    <w:bottom w:w="0" w:type="dxa"/>
                    <w:right w:w="51" w:type="dxa"/>
                  </w:tcMar>
                  <w:vAlign w:val="center"/>
                </w:tcPr>
                <w:p w14:paraId="44948C3E">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排放废气含有毒有害污染物、二噁英、苯并[</w:t>
                  </w:r>
                  <w:r>
                    <w:rPr>
                      <w:rFonts w:hint="default" w:ascii="Times New Roman" w:hAnsi="Times New Roman" w:eastAsia="宋体" w:cs="Times New Roman"/>
                      <w:i/>
                      <w:color w:val="auto"/>
                      <w:sz w:val="21"/>
                      <w:szCs w:val="21"/>
                      <w:highlight w:val="none"/>
                    </w:rPr>
                    <w:t>a</w:t>
                  </w:r>
                  <w:r>
                    <w:rPr>
                      <w:rFonts w:hint="default" w:ascii="Times New Roman" w:hAnsi="Times New Roman" w:eastAsia="宋体" w:cs="Times New Roman"/>
                      <w:color w:val="auto"/>
                      <w:sz w:val="21"/>
                      <w:szCs w:val="21"/>
                      <w:highlight w:val="none"/>
                    </w:rPr>
                    <w:t>]芘、氰化物、氯气且厂界外500米范围内有环境空气保护目标的建设项目</w:t>
                  </w:r>
                </w:p>
              </w:tc>
              <w:tc>
                <w:tcPr>
                  <w:tcW w:w="2174" w:type="dxa"/>
                  <w:tcBorders>
                    <w:tl2br w:val="nil"/>
                    <w:tr2bl w:val="nil"/>
                  </w:tcBorders>
                  <w:noWrap w:val="0"/>
                  <w:tcMar>
                    <w:top w:w="0" w:type="dxa"/>
                    <w:left w:w="51" w:type="dxa"/>
                    <w:bottom w:w="0" w:type="dxa"/>
                    <w:right w:w="51" w:type="dxa"/>
                  </w:tcMar>
                  <w:vAlign w:val="center"/>
                </w:tcPr>
                <w:p w14:paraId="5D7AD23C">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本项目废气主要为颗粒物、非甲烷总烃、氨等废气</w:t>
                  </w: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有毒有害污染物、二噁英、苯并[</w:t>
                  </w:r>
                  <w:r>
                    <w:rPr>
                      <w:rFonts w:hint="default" w:ascii="Times New Roman" w:hAnsi="Times New Roman" w:eastAsia="宋体" w:cs="Times New Roman"/>
                      <w:i/>
                      <w:color w:val="auto"/>
                      <w:sz w:val="21"/>
                      <w:szCs w:val="21"/>
                      <w:highlight w:val="none"/>
                    </w:rPr>
                    <w:t>a</w:t>
                  </w:r>
                  <w:r>
                    <w:rPr>
                      <w:rFonts w:hint="default" w:ascii="Times New Roman" w:hAnsi="Times New Roman" w:eastAsia="宋体" w:cs="Times New Roman"/>
                      <w:color w:val="auto"/>
                      <w:sz w:val="21"/>
                      <w:szCs w:val="21"/>
                      <w:highlight w:val="none"/>
                    </w:rPr>
                    <w:t>]芘、氰化物、氯气</w:t>
                  </w:r>
                  <w:r>
                    <w:rPr>
                      <w:rFonts w:hint="default" w:ascii="Times New Roman" w:hAnsi="Times New Roman" w:eastAsia="宋体" w:cs="Times New Roman"/>
                      <w:color w:val="auto"/>
                      <w:sz w:val="21"/>
                      <w:szCs w:val="21"/>
                      <w:highlight w:val="none"/>
                      <w:lang w:val="en-US" w:eastAsia="zh-CN"/>
                    </w:rPr>
                    <w:t>排放</w:t>
                  </w:r>
                </w:p>
              </w:tc>
              <w:tc>
                <w:tcPr>
                  <w:tcW w:w="790" w:type="dxa"/>
                  <w:tcBorders>
                    <w:tl2br w:val="nil"/>
                    <w:tr2bl w:val="nil"/>
                  </w:tcBorders>
                  <w:noWrap w:val="0"/>
                  <w:tcMar>
                    <w:top w:w="0" w:type="dxa"/>
                    <w:left w:w="51" w:type="dxa"/>
                    <w:bottom w:w="0" w:type="dxa"/>
                    <w:right w:w="51" w:type="dxa"/>
                  </w:tcMar>
                  <w:vAlign w:val="center"/>
                </w:tcPr>
                <w:p w14:paraId="7815B608">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r w14:paraId="40EAD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5" w:type="dxa"/>
                  <w:tcBorders>
                    <w:tl2br w:val="nil"/>
                    <w:tr2bl w:val="nil"/>
                  </w:tcBorders>
                  <w:noWrap w:val="0"/>
                  <w:tcMar>
                    <w:top w:w="0" w:type="dxa"/>
                    <w:left w:w="51" w:type="dxa"/>
                    <w:bottom w:w="0" w:type="dxa"/>
                    <w:right w:w="51" w:type="dxa"/>
                  </w:tcMar>
                  <w:vAlign w:val="center"/>
                </w:tcPr>
                <w:p w14:paraId="106CEC16">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3900" w:type="dxa"/>
                  <w:tcBorders>
                    <w:tl2br w:val="nil"/>
                    <w:tr2bl w:val="nil"/>
                  </w:tcBorders>
                  <w:noWrap w:val="0"/>
                  <w:tcMar>
                    <w:top w:w="0" w:type="dxa"/>
                    <w:left w:w="51" w:type="dxa"/>
                    <w:bottom w:w="0" w:type="dxa"/>
                    <w:right w:w="51" w:type="dxa"/>
                  </w:tcMar>
                  <w:vAlign w:val="center"/>
                </w:tcPr>
                <w:p w14:paraId="753882CF">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新增工业废水直排建设项目（槽罐车外送污水处理厂的除外）；新增废水直排的污水集中处理厂</w:t>
                  </w:r>
                </w:p>
              </w:tc>
              <w:tc>
                <w:tcPr>
                  <w:tcW w:w="2174" w:type="dxa"/>
                  <w:tcBorders>
                    <w:tl2br w:val="nil"/>
                    <w:tr2bl w:val="nil"/>
                  </w:tcBorders>
                  <w:noWrap w:val="0"/>
                  <w:tcMar>
                    <w:top w:w="0" w:type="dxa"/>
                    <w:left w:w="51" w:type="dxa"/>
                    <w:bottom w:w="0" w:type="dxa"/>
                    <w:right w:w="51" w:type="dxa"/>
                  </w:tcMar>
                  <w:vAlign w:val="center"/>
                </w:tcPr>
                <w:p w14:paraId="48B4A03D">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本项目生产废水</w:t>
                  </w:r>
                  <w:r>
                    <w:rPr>
                      <w:rFonts w:hint="eastAsia" w:cs="Times New Roman"/>
                      <w:color w:val="auto"/>
                      <w:sz w:val="21"/>
                      <w:szCs w:val="21"/>
                      <w:highlight w:val="none"/>
                      <w:lang w:val="en-US" w:eastAsia="zh-CN"/>
                    </w:rPr>
                    <w:t>经自建污水处理系统处理后进入园区污水管网，</w:t>
                  </w:r>
                  <w:r>
                    <w:rPr>
                      <w:rFonts w:hint="default" w:ascii="Times New Roman" w:hAnsi="Times New Roman" w:eastAsia="宋体" w:cs="Times New Roman"/>
                      <w:color w:val="auto"/>
                      <w:sz w:val="21"/>
                      <w:szCs w:val="21"/>
                      <w:highlight w:val="none"/>
                      <w:lang w:val="en-US" w:eastAsia="zh-CN"/>
                    </w:rPr>
                    <w:t>不外排</w:t>
                  </w:r>
                </w:p>
              </w:tc>
              <w:tc>
                <w:tcPr>
                  <w:tcW w:w="790" w:type="dxa"/>
                  <w:tcBorders>
                    <w:tl2br w:val="nil"/>
                    <w:tr2bl w:val="nil"/>
                  </w:tcBorders>
                  <w:noWrap w:val="0"/>
                  <w:tcMar>
                    <w:top w:w="0" w:type="dxa"/>
                    <w:left w:w="51" w:type="dxa"/>
                    <w:bottom w:w="0" w:type="dxa"/>
                    <w:right w:w="51" w:type="dxa"/>
                  </w:tcMar>
                  <w:vAlign w:val="center"/>
                </w:tcPr>
                <w:p w14:paraId="0F7926AF">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r w14:paraId="0E97E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5" w:type="dxa"/>
                  <w:tcBorders>
                    <w:tl2br w:val="nil"/>
                    <w:tr2bl w:val="nil"/>
                  </w:tcBorders>
                  <w:noWrap w:val="0"/>
                  <w:tcMar>
                    <w:top w:w="0" w:type="dxa"/>
                    <w:left w:w="51" w:type="dxa"/>
                    <w:bottom w:w="0" w:type="dxa"/>
                    <w:right w:w="51" w:type="dxa"/>
                  </w:tcMar>
                  <w:vAlign w:val="center"/>
                </w:tcPr>
                <w:p w14:paraId="5F7B148D">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tc>
              <w:tc>
                <w:tcPr>
                  <w:tcW w:w="3900" w:type="dxa"/>
                  <w:tcBorders>
                    <w:tl2br w:val="nil"/>
                    <w:tr2bl w:val="nil"/>
                  </w:tcBorders>
                  <w:noWrap w:val="0"/>
                  <w:tcMar>
                    <w:top w:w="0" w:type="dxa"/>
                    <w:left w:w="51" w:type="dxa"/>
                    <w:bottom w:w="0" w:type="dxa"/>
                    <w:right w:w="51" w:type="dxa"/>
                  </w:tcMar>
                  <w:vAlign w:val="center"/>
                </w:tcPr>
                <w:p w14:paraId="1160F98D">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有毒有害和易燃易爆危险物质存储量超过临界量的建设项目</w:t>
                  </w:r>
                </w:p>
              </w:tc>
              <w:tc>
                <w:tcPr>
                  <w:tcW w:w="2174" w:type="dxa"/>
                  <w:tcBorders>
                    <w:tl2br w:val="nil"/>
                    <w:tr2bl w:val="nil"/>
                  </w:tcBorders>
                  <w:noWrap w:val="0"/>
                  <w:tcMar>
                    <w:top w:w="0" w:type="dxa"/>
                    <w:left w:w="51" w:type="dxa"/>
                    <w:bottom w:w="0" w:type="dxa"/>
                    <w:right w:w="51" w:type="dxa"/>
                  </w:tcMar>
                  <w:vAlign w:val="center"/>
                </w:tcPr>
                <w:p w14:paraId="71DFA2B4">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有毒有害</w:t>
                  </w:r>
                  <w:r>
                    <w:rPr>
                      <w:rFonts w:hint="eastAsia" w:cs="Times New Roman"/>
                      <w:color w:val="auto"/>
                      <w:sz w:val="21"/>
                      <w:szCs w:val="21"/>
                      <w:highlight w:val="none"/>
                      <w:lang w:eastAsia="zh-CN"/>
                    </w:rPr>
                    <w:t>物质产生，</w:t>
                  </w:r>
                  <w:r>
                    <w:rPr>
                      <w:rFonts w:hint="default" w:ascii="Times New Roman" w:hAnsi="Times New Roman" w:eastAsia="宋体" w:cs="Times New Roman"/>
                      <w:color w:val="auto"/>
                      <w:sz w:val="21"/>
                      <w:szCs w:val="21"/>
                      <w:highlight w:val="none"/>
                    </w:rPr>
                    <w:t>易燃易爆危险物质存储量</w:t>
                  </w:r>
                  <w:r>
                    <w:rPr>
                      <w:rFonts w:hint="default" w:ascii="Times New Roman" w:hAnsi="Times New Roman" w:eastAsia="宋体" w:cs="Times New Roman"/>
                      <w:color w:val="auto"/>
                      <w:sz w:val="21"/>
                      <w:szCs w:val="21"/>
                      <w:highlight w:val="none"/>
                      <w:lang w:val="en-US" w:eastAsia="zh-CN"/>
                    </w:rPr>
                    <w:t>未</w:t>
                  </w:r>
                  <w:r>
                    <w:rPr>
                      <w:rFonts w:hint="default" w:ascii="Times New Roman" w:hAnsi="Times New Roman" w:eastAsia="宋体" w:cs="Times New Roman"/>
                      <w:color w:val="auto"/>
                      <w:sz w:val="21"/>
                      <w:szCs w:val="21"/>
                      <w:highlight w:val="none"/>
                    </w:rPr>
                    <w:t>超过临界量</w:t>
                  </w:r>
                </w:p>
              </w:tc>
              <w:tc>
                <w:tcPr>
                  <w:tcW w:w="790" w:type="dxa"/>
                  <w:tcBorders>
                    <w:tl2br w:val="nil"/>
                    <w:tr2bl w:val="nil"/>
                  </w:tcBorders>
                  <w:noWrap w:val="0"/>
                  <w:tcMar>
                    <w:top w:w="0" w:type="dxa"/>
                    <w:left w:w="51" w:type="dxa"/>
                    <w:bottom w:w="0" w:type="dxa"/>
                    <w:right w:w="51" w:type="dxa"/>
                  </w:tcMar>
                  <w:vAlign w:val="center"/>
                </w:tcPr>
                <w:p w14:paraId="48458EB0">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r w14:paraId="34A9E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5" w:type="dxa"/>
                  <w:tcBorders>
                    <w:tl2br w:val="nil"/>
                    <w:tr2bl w:val="nil"/>
                  </w:tcBorders>
                  <w:noWrap w:val="0"/>
                  <w:tcMar>
                    <w:top w:w="0" w:type="dxa"/>
                    <w:left w:w="51" w:type="dxa"/>
                    <w:bottom w:w="0" w:type="dxa"/>
                    <w:right w:w="51" w:type="dxa"/>
                  </w:tcMar>
                  <w:vAlign w:val="center"/>
                </w:tcPr>
                <w:p w14:paraId="7E733E38">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3900" w:type="dxa"/>
                  <w:tcBorders>
                    <w:tl2br w:val="nil"/>
                    <w:tr2bl w:val="nil"/>
                  </w:tcBorders>
                  <w:noWrap w:val="0"/>
                  <w:tcMar>
                    <w:top w:w="0" w:type="dxa"/>
                    <w:left w:w="51" w:type="dxa"/>
                    <w:bottom w:w="0" w:type="dxa"/>
                    <w:right w:w="51" w:type="dxa"/>
                  </w:tcMar>
                  <w:vAlign w:val="center"/>
                </w:tcPr>
                <w:p w14:paraId="69063FAB">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取水口下游500米范围内有重要水生生物的自然产卵场、索饵场、越冬场和洄游通道的新增河道取水的污染类建设项目</w:t>
                  </w:r>
                </w:p>
              </w:tc>
              <w:tc>
                <w:tcPr>
                  <w:tcW w:w="2174" w:type="dxa"/>
                  <w:tcBorders>
                    <w:tl2br w:val="nil"/>
                    <w:tr2bl w:val="nil"/>
                  </w:tcBorders>
                  <w:noWrap w:val="0"/>
                  <w:tcMar>
                    <w:top w:w="0" w:type="dxa"/>
                    <w:left w:w="51" w:type="dxa"/>
                    <w:bottom w:w="0" w:type="dxa"/>
                    <w:right w:w="51" w:type="dxa"/>
                  </w:tcMar>
                  <w:vAlign w:val="center"/>
                </w:tcPr>
                <w:p w14:paraId="37AACA94">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项目无取水口</w:t>
                  </w:r>
                </w:p>
              </w:tc>
              <w:tc>
                <w:tcPr>
                  <w:tcW w:w="790" w:type="dxa"/>
                  <w:tcBorders>
                    <w:tl2br w:val="nil"/>
                    <w:tr2bl w:val="nil"/>
                  </w:tcBorders>
                  <w:noWrap w:val="0"/>
                  <w:tcMar>
                    <w:top w:w="0" w:type="dxa"/>
                    <w:left w:w="51" w:type="dxa"/>
                    <w:bottom w:w="0" w:type="dxa"/>
                    <w:right w:w="51" w:type="dxa"/>
                  </w:tcMar>
                  <w:vAlign w:val="center"/>
                </w:tcPr>
                <w:p w14:paraId="0BA224EC">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r w14:paraId="63CBF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5" w:type="dxa"/>
                  <w:tcBorders>
                    <w:tl2br w:val="nil"/>
                    <w:tr2bl w:val="nil"/>
                  </w:tcBorders>
                  <w:noWrap w:val="0"/>
                  <w:tcMar>
                    <w:top w:w="0" w:type="dxa"/>
                    <w:left w:w="51" w:type="dxa"/>
                    <w:bottom w:w="0" w:type="dxa"/>
                    <w:right w:w="51" w:type="dxa"/>
                  </w:tcMar>
                  <w:vAlign w:val="center"/>
                </w:tcPr>
                <w:p w14:paraId="0618B7ED">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海洋</w:t>
                  </w:r>
                </w:p>
              </w:tc>
              <w:tc>
                <w:tcPr>
                  <w:tcW w:w="3900" w:type="dxa"/>
                  <w:tcBorders>
                    <w:tl2br w:val="nil"/>
                    <w:tr2bl w:val="nil"/>
                  </w:tcBorders>
                  <w:noWrap w:val="0"/>
                  <w:tcMar>
                    <w:top w:w="0" w:type="dxa"/>
                    <w:left w:w="51" w:type="dxa"/>
                    <w:bottom w:w="0" w:type="dxa"/>
                    <w:right w:w="51" w:type="dxa"/>
                  </w:tcMar>
                  <w:vAlign w:val="center"/>
                </w:tcPr>
                <w:p w14:paraId="723A1F74">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直接向海排放污染物的海洋工程建设项目</w:t>
                  </w:r>
                </w:p>
              </w:tc>
              <w:tc>
                <w:tcPr>
                  <w:tcW w:w="2174" w:type="dxa"/>
                  <w:tcBorders>
                    <w:tl2br w:val="nil"/>
                    <w:tr2bl w:val="nil"/>
                  </w:tcBorders>
                  <w:noWrap w:val="0"/>
                  <w:tcMar>
                    <w:top w:w="0" w:type="dxa"/>
                    <w:left w:w="51" w:type="dxa"/>
                    <w:bottom w:w="0" w:type="dxa"/>
                    <w:right w:w="51" w:type="dxa"/>
                  </w:tcMar>
                  <w:vAlign w:val="center"/>
                </w:tcPr>
                <w:p w14:paraId="2AAC1B28">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highlight w:val="none"/>
                    </w:rPr>
                    <w:t>海洋工程建设项目</w:t>
                  </w:r>
                </w:p>
              </w:tc>
              <w:tc>
                <w:tcPr>
                  <w:tcW w:w="790" w:type="dxa"/>
                  <w:tcBorders>
                    <w:tl2br w:val="nil"/>
                    <w:tr2bl w:val="nil"/>
                  </w:tcBorders>
                  <w:noWrap w:val="0"/>
                  <w:tcMar>
                    <w:top w:w="0" w:type="dxa"/>
                    <w:left w:w="51" w:type="dxa"/>
                    <w:bottom w:w="0" w:type="dxa"/>
                    <w:right w:w="51" w:type="dxa"/>
                  </w:tcMar>
                  <w:vAlign w:val="center"/>
                </w:tcPr>
                <w:p w14:paraId="338CA76C">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bl>
          <w:p w14:paraId="43851EFD">
            <w:pPr>
              <w:pStyle w:val="12"/>
              <w:keepNext w:val="0"/>
              <w:keepLines w:val="0"/>
              <w:pageBreakBefore w:val="0"/>
              <w:suppressLineNumbers w:val="0"/>
              <w:kinsoku/>
              <w:wordWrap/>
              <w:overflowPunct/>
              <w:bidi w:val="0"/>
              <w:snapToGrid w:val="0"/>
              <w:spacing w:beforeAutospacing="0" w:afterAutospacing="0"/>
              <w:ind w:left="0" w:leftChars="0" w:right="0" w:firstLine="480" w:firstLineChars="200"/>
              <w:textAlignment w:val="auto"/>
              <w:rPr>
                <w:rFonts w:hint="default"/>
                <w:color w:val="auto"/>
                <w:lang w:val="en-US" w:eastAsia="zh-CN"/>
              </w:rPr>
            </w:pPr>
            <w:r>
              <w:rPr>
                <w:rFonts w:hint="eastAsia"/>
                <w:color w:val="auto"/>
                <w:sz w:val="24"/>
                <w:szCs w:val="24"/>
                <w:highlight w:val="none"/>
                <w:lang w:val="en-US" w:eastAsia="zh-CN"/>
              </w:rPr>
              <w:t>综上所述，本项目不设置专项评价。</w:t>
            </w:r>
          </w:p>
        </w:tc>
      </w:tr>
      <w:tr w14:paraId="0540F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noWrap w:val="0"/>
            <w:vAlign w:val="center"/>
          </w:tcPr>
          <w:p w14:paraId="5905D95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4562" w:type="pct"/>
            <w:gridSpan w:val="4"/>
            <w:noWrap w:val="0"/>
            <w:vAlign w:val="center"/>
          </w:tcPr>
          <w:p w14:paraId="43AC33ED">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规划名称：富民工业园区总体规划修编（2015-2030）；</w:t>
            </w:r>
          </w:p>
          <w:p w14:paraId="322D8273">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审批机关：昆明市工业和信息化委员会；</w:t>
            </w:r>
          </w:p>
          <w:p w14:paraId="4A639B6B">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审批文件名称及文号：《关于实施&lt;富民工业园区总体规划修编（2015-2030）&gt;的意见》（昆工信发[2015]181号）。</w:t>
            </w:r>
          </w:p>
        </w:tc>
      </w:tr>
      <w:tr w14:paraId="049FC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noWrap w:val="0"/>
            <w:vAlign w:val="center"/>
          </w:tcPr>
          <w:p w14:paraId="65D90A7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w:t>
            </w:r>
          </w:p>
          <w:p w14:paraId="5AE7CB5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评价情况</w:t>
            </w:r>
          </w:p>
        </w:tc>
        <w:tc>
          <w:tcPr>
            <w:tcW w:w="4562" w:type="pct"/>
            <w:gridSpan w:val="4"/>
            <w:noWrap w:val="0"/>
            <w:vAlign w:val="center"/>
          </w:tcPr>
          <w:p w14:paraId="5A96F272">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文件名称：《富民工业园区总体规划修编（</w:t>
            </w:r>
            <w:r>
              <w:rPr>
                <w:rFonts w:hint="default" w:ascii="Times New Roman" w:hAnsi="Times New Roman" w:eastAsia="宋体" w:cs="Times New Roman"/>
                <w:color w:val="auto"/>
                <w:sz w:val="24"/>
                <w:szCs w:val="22"/>
                <w:highlight w:val="none"/>
                <w:lang w:val="en-US" w:eastAsia="zh-CN"/>
              </w:rPr>
              <w:t>2015-2030</w:t>
            </w:r>
            <w:r>
              <w:rPr>
                <w:rFonts w:hint="eastAsia" w:ascii="Times New Roman" w:hAnsi="Times New Roman" w:eastAsia="宋体" w:cs="Times New Roman"/>
                <w:color w:val="auto"/>
                <w:sz w:val="24"/>
                <w:szCs w:val="22"/>
                <w:highlight w:val="none"/>
                <w:lang w:val="en-US" w:eastAsia="zh-CN"/>
              </w:rPr>
              <w:t>）环境影响报告书》；</w:t>
            </w:r>
          </w:p>
          <w:p w14:paraId="327CFB9A">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审查机关：原云南省环境保护厅；</w:t>
            </w:r>
          </w:p>
          <w:p w14:paraId="4A742898">
            <w:pPr>
              <w:pStyle w:val="69"/>
              <w:keepNext w:val="0"/>
              <w:keepLines w:val="0"/>
              <w:pageBreakBefore w:val="0"/>
              <w:suppressLineNumbers w:val="0"/>
              <w:kinsoku/>
              <w:wordWrap/>
              <w:overflowPunct/>
              <w:bidi w:val="0"/>
              <w:adjustRightInd/>
              <w:snapToGrid w:val="0"/>
              <w:spacing w:before="0" w:beforeAutospacing="0" w:after="0" w:afterAutospacing="0"/>
              <w:ind w:left="0" w:leftChars="0" w:right="0" w:rightChars="0" w:firstLine="480" w:firstLineChars="200"/>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sz w:val="24"/>
                <w:szCs w:val="22"/>
                <w:highlight w:val="none"/>
                <w:lang w:val="en-US" w:eastAsia="zh-CN"/>
              </w:rPr>
              <w:t>审查文件名称及文号：云南省环境保护厅关于《富民工业园区总体规划修编（</w:t>
            </w:r>
            <w:r>
              <w:rPr>
                <w:rFonts w:hint="default" w:ascii="Times New Roman" w:hAnsi="Times New Roman" w:eastAsia="宋体" w:cs="Times New Roman"/>
                <w:color w:val="auto"/>
                <w:sz w:val="24"/>
                <w:szCs w:val="22"/>
                <w:highlight w:val="none"/>
                <w:lang w:val="en-US" w:eastAsia="zh-CN"/>
              </w:rPr>
              <w:t>2015-2030</w:t>
            </w:r>
            <w:r>
              <w:rPr>
                <w:rFonts w:hint="eastAsia" w:ascii="Times New Roman" w:hAnsi="Times New Roman" w:eastAsia="宋体" w:cs="Times New Roman"/>
                <w:color w:val="auto"/>
                <w:sz w:val="24"/>
                <w:szCs w:val="22"/>
                <w:highlight w:val="none"/>
                <w:lang w:val="en-US" w:eastAsia="zh-CN"/>
              </w:rPr>
              <w:t>）环境影响报告书》审查意见（云环审【</w:t>
            </w:r>
            <w:r>
              <w:rPr>
                <w:rFonts w:hint="default" w:ascii="Times New Roman" w:hAnsi="Times New Roman" w:eastAsia="宋体" w:cs="Times New Roman"/>
                <w:color w:val="auto"/>
                <w:sz w:val="24"/>
                <w:szCs w:val="22"/>
                <w:highlight w:val="none"/>
                <w:lang w:val="en-US" w:eastAsia="zh-CN"/>
              </w:rPr>
              <w:t>2016</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10</w:t>
            </w:r>
            <w:r>
              <w:rPr>
                <w:rFonts w:hint="eastAsia" w:ascii="Times New Roman" w:hAnsi="Times New Roman" w:eastAsia="宋体" w:cs="Times New Roman"/>
                <w:color w:val="auto"/>
                <w:sz w:val="24"/>
                <w:szCs w:val="22"/>
                <w:highlight w:val="none"/>
                <w:lang w:val="en-US" w:eastAsia="zh-CN"/>
              </w:rPr>
              <w:t>号）。</w:t>
            </w:r>
          </w:p>
        </w:tc>
      </w:tr>
      <w:tr w14:paraId="07E2B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noWrap w:val="0"/>
            <w:vAlign w:val="center"/>
          </w:tcPr>
          <w:p w14:paraId="1363532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w:t>
            </w:r>
          </w:p>
          <w:p w14:paraId="77CEBA1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影响评价符合性分析</w:t>
            </w:r>
          </w:p>
        </w:tc>
        <w:tc>
          <w:tcPr>
            <w:tcW w:w="4562" w:type="pct"/>
            <w:gridSpan w:val="4"/>
            <w:noWrap w:val="0"/>
            <w:vAlign w:val="center"/>
          </w:tcPr>
          <w:p w14:paraId="7CF73368">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2" w:firstLineChars="200"/>
              <w:textAlignment w:val="auto"/>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1、与</w:t>
            </w:r>
            <w:r>
              <w:rPr>
                <w:rFonts w:hint="eastAsia" w:ascii="Times New Roman" w:hAnsi="Times New Roman" w:eastAsia="宋体" w:cs="Times New Roman"/>
                <w:b/>
                <w:bCs/>
                <w:color w:val="auto"/>
                <w:sz w:val="24"/>
                <w:szCs w:val="22"/>
                <w:highlight w:val="none"/>
                <w:lang w:eastAsia="zh-CN"/>
              </w:rPr>
              <w:t>《</w:t>
            </w:r>
            <w:r>
              <w:rPr>
                <w:rFonts w:hint="eastAsia" w:ascii="Times New Roman" w:hAnsi="Times New Roman" w:eastAsia="宋体" w:cs="Times New Roman"/>
                <w:b/>
                <w:bCs/>
                <w:color w:val="auto"/>
                <w:sz w:val="24"/>
                <w:szCs w:val="22"/>
                <w:highlight w:val="none"/>
                <w:lang w:val="en-US" w:eastAsia="zh-CN"/>
              </w:rPr>
              <w:t>富民工业园区总体规划修编（</w:t>
            </w:r>
            <w:r>
              <w:rPr>
                <w:rFonts w:hint="default" w:ascii="Times New Roman" w:hAnsi="Times New Roman" w:eastAsia="宋体" w:cs="Times New Roman"/>
                <w:b/>
                <w:bCs/>
                <w:color w:val="auto"/>
                <w:sz w:val="24"/>
                <w:szCs w:val="22"/>
                <w:highlight w:val="none"/>
                <w:lang w:val="en-US" w:eastAsia="zh-CN"/>
              </w:rPr>
              <w:t>2015-2030</w:t>
            </w:r>
            <w:r>
              <w:rPr>
                <w:rFonts w:hint="eastAsia" w:ascii="Times New Roman" w:hAnsi="Times New Roman" w:eastAsia="宋体" w:cs="Times New Roman"/>
                <w:b/>
                <w:bCs/>
                <w:color w:val="auto"/>
                <w:sz w:val="24"/>
                <w:szCs w:val="22"/>
                <w:highlight w:val="none"/>
                <w:lang w:val="en-US" w:eastAsia="zh-CN"/>
              </w:rPr>
              <w:t>）</w:t>
            </w:r>
            <w:r>
              <w:rPr>
                <w:rFonts w:hint="eastAsia" w:ascii="Times New Roman" w:hAnsi="Times New Roman" w:eastAsia="宋体" w:cs="Times New Roman"/>
                <w:b/>
                <w:bCs/>
                <w:color w:val="auto"/>
                <w:sz w:val="24"/>
                <w:szCs w:val="22"/>
                <w:highlight w:val="none"/>
                <w:lang w:eastAsia="zh-CN"/>
              </w:rPr>
              <w:t>》</w:t>
            </w:r>
            <w:r>
              <w:rPr>
                <w:rFonts w:hint="default" w:ascii="Times New Roman" w:hAnsi="Times New Roman" w:cs="Times New Roman"/>
                <w:b/>
                <w:bCs/>
                <w:color w:val="auto"/>
                <w:sz w:val="24"/>
                <w:szCs w:val="22"/>
                <w:highlight w:val="none"/>
              </w:rPr>
              <w:t>符合性分析</w:t>
            </w:r>
          </w:p>
          <w:p w14:paraId="681B6E5A">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eastAsia" w:ascii="宋体" w:hAnsi="宋体" w:eastAsia="宋体" w:cs="宋体"/>
                <w:color w:val="auto"/>
                <w:kern w:val="0"/>
                <w:sz w:val="24"/>
                <w:szCs w:val="24"/>
                <w:highlight w:val="none"/>
                <w:lang w:val="en-US" w:eastAsia="zh-CN" w:bidi="ar"/>
              </w:rPr>
            </w:pPr>
            <w:r>
              <w:rPr>
                <w:rFonts w:hint="default" w:ascii="Times New Roman" w:hAnsi="Times New Roman" w:eastAsia="宋体" w:cs="Times New Roman"/>
                <w:color w:val="auto"/>
                <w:sz w:val="24"/>
                <w:szCs w:val="22"/>
                <w:highlight w:val="none"/>
                <w:lang w:val="en-US" w:eastAsia="zh-CN"/>
              </w:rPr>
              <w:t>根据</w:t>
            </w:r>
            <w:r>
              <w:rPr>
                <w:rFonts w:hint="default" w:ascii="Times New Roman" w:hAnsi="Times New Roman" w:cs="Times New Roman"/>
                <w:color w:val="auto"/>
                <w:sz w:val="24"/>
                <w:szCs w:val="22"/>
                <w:highlight w:val="none"/>
              </w:rPr>
              <w:t>《</w:t>
            </w:r>
            <w:r>
              <w:rPr>
                <w:rFonts w:hint="eastAsia" w:ascii="Times New Roman" w:hAnsi="Times New Roman" w:eastAsia="宋体" w:cs="Times New Roman"/>
                <w:color w:val="auto"/>
                <w:sz w:val="24"/>
                <w:szCs w:val="22"/>
                <w:highlight w:val="none"/>
                <w:lang w:val="en-US" w:eastAsia="zh-CN"/>
              </w:rPr>
              <w:t>富民工业园区总体规划修编（</w:t>
            </w:r>
            <w:r>
              <w:rPr>
                <w:rFonts w:hint="default" w:ascii="Times New Roman" w:hAnsi="Times New Roman" w:eastAsia="宋体" w:cs="Times New Roman"/>
                <w:color w:val="auto"/>
                <w:sz w:val="24"/>
                <w:szCs w:val="22"/>
                <w:highlight w:val="none"/>
                <w:lang w:val="en-US" w:eastAsia="zh-CN"/>
              </w:rPr>
              <w:t>2015-2030</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cs="Times New Roman"/>
                <w:color w:val="auto"/>
                <w:sz w:val="24"/>
                <w:szCs w:val="22"/>
                <w:highlight w:val="none"/>
              </w:rPr>
              <w:t>》</w:t>
            </w:r>
            <w:r>
              <w:rPr>
                <w:rFonts w:hint="eastAsia" w:ascii="Times New Roman" w:hAnsi="Times New Roman" w:cs="Times New Roman"/>
                <w:color w:val="auto"/>
                <w:sz w:val="24"/>
                <w:szCs w:val="22"/>
                <w:highlight w:val="none"/>
                <w:lang w:eastAsia="zh-CN"/>
              </w:rPr>
              <w:t>：</w:t>
            </w:r>
          </w:p>
          <w:p w14:paraId="643BCF98">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1</w:t>
            </w:r>
            <w:r>
              <w:rPr>
                <w:rFonts w:hint="eastAsia" w:ascii="Times New Roman" w:hAnsi="Times New Roman" w:eastAsia="宋体" w:cs="Times New Roman"/>
                <w:color w:val="auto"/>
                <w:sz w:val="24"/>
                <w:szCs w:val="22"/>
                <w:highlight w:val="none"/>
                <w:lang w:val="en-US" w:eastAsia="zh-CN"/>
              </w:rPr>
              <w:t>）规划空间布局</w:t>
            </w:r>
          </w:p>
          <w:p w14:paraId="7FEE3039">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规划富民工业园区主要沿昆武高速公路、昆禄公路和轿子雪山旅游专线建设，并以昆禄公路、轿子雪山旅游专线、东散公路和北青公路作为各片区的交通联系纽带，呈带状组团发展格局，形成“一核、两轴、四片区、多组团、多节点”的总体空间发展结构。</w:t>
            </w:r>
          </w:p>
          <w:p w14:paraId="758222B3">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一核：县城综合服务中心，作为园区重要的生活及配套服务中心。</w:t>
            </w:r>
          </w:p>
          <w:p w14:paraId="698738AB">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两轴：是指沿昆武高速公路、昆禄公路和轿子雪山旅游专线形成的发展轴线。</w:t>
            </w:r>
          </w:p>
          <w:p w14:paraId="2FA5FE89">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四片区：是指在现有乡镇外开发建设的产业功能片区，包括白石岩——大白坡片区、大营——茨塘片区、散旦片区、款庄——东村片区四大工业片区。</w:t>
            </w:r>
          </w:p>
          <w:p w14:paraId="49582A4A">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多组团：指四个工业片区内部功能各异的产业组团，包括钛化工、装备制造、新材料、食品加工、机械加工等功能组团。</w:t>
            </w:r>
          </w:p>
          <w:p w14:paraId="7BA0397D">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多节点：指园区周边的关联乡镇以及四大工业片区中配套的综合服务节点，作为园区生活和配套服务的次级服务节点。</w:t>
            </w:r>
          </w:p>
          <w:p w14:paraId="6F6DB772">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2</w:t>
            </w:r>
            <w:r>
              <w:rPr>
                <w:rFonts w:hint="eastAsia" w:ascii="Times New Roman" w:hAnsi="Times New Roman" w:eastAsia="宋体" w:cs="Times New Roman"/>
                <w:color w:val="auto"/>
                <w:sz w:val="24"/>
                <w:szCs w:val="22"/>
                <w:highlight w:val="none"/>
                <w:lang w:val="en-US" w:eastAsia="zh-CN"/>
              </w:rPr>
              <w:t>）规划用地布局</w:t>
            </w:r>
          </w:p>
          <w:p w14:paraId="3C2755AB">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规划区用地主要以工业用地为主体，其余各类用地均围绕工业用地的发展需求而布局。</w:t>
            </w:r>
          </w:p>
          <w:p w14:paraId="084B0FF2">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①工业用地</w:t>
            </w:r>
          </w:p>
          <w:p w14:paraId="72CF32F7">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规划工业以集中分布为止，结合山地特征，采用分台式布局模式。各个工业片区与其他用地之间利用道路、绿化等加以适当隔离。对现状资源依托型、环境有一定污染的企业，逐步向富民工业园区集中发展。对现状零散且与居住区混杂的工业企业，建议逐步搬迁至工业区内集中发展。</w:t>
            </w:r>
          </w:p>
          <w:p w14:paraId="039E50F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结合园区产业发展战略和布局引导要求，结合产业特征及环境因素，规划园区主要以二类工业用地，作为传统产业、新型产业的主要发展空间。二类工业用地兼容一类工业用地。对于现在的三类工业，应当要求其提高产业发展水平，加速产业升级，并加强环境监管力度，逐步降低对生态环境的影响。三类工业用地在未来的改造或拆除重建过程中，应按照二类工业的要求进行建设。</w:t>
            </w:r>
          </w:p>
          <w:p w14:paraId="4D13935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规划工业用地面积</w:t>
            </w:r>
            <w:r>
              <w:rPr>
                <w:rFonts w:hint="default" w:ascii="Times New Roman" w:hAnsi="Times New Roman" w:eastAsia="宋体" w:cs="Times New Roman"/>
                <w:color w:val="auto"/>
                <w:sz w:val="24"/>
                <w:szCs w:val="22"/>
                <w:highlight w:val="none"/>
                <w:lang w:val="en-US" w:eastAsia="zh-CN"/>
              </w:rPr>
              <w:t>2202.45</w:t>
            </w:r>
            <w:r>
              <w:rPr>
                <w:rFonts w:hint="eastAsia" w:ascii="Times New Roman" w:hAnsi="Times New Roman" w:eastAsia="宋体" w:cs="Times New Roman"/>
                <w:color w:val="auto"/>
                <w:sz w:val="24"/>
                <w:szCs w:val="22"/>
                <w:highlight w:val="none"/>
                <w:lang w:val="en-US" w:eastAsia="zh-CN"/>
              </w:rPr>
              <w:t>公顷，占规划建设用地面积的</w:t>
            </w:r>
            <w:r>
              <w:rPr>
                <w:rFonts w:hint="default" w:ascii="Times New Roman" w:hAnsi="Times New Roman" w:eastAsia="宋体" w:cs="Times New Roman"/>
                <w:color w:val="auto"/>
                <w:sz w:val="24"/>
                <w:szCs w:val="22"/>
                <w:highlight w:val="none"/>
                <w:lang w:val="en-US" w:eastAsia="zh-CN"/>
              </w:rPr>
              <w:t>72.43%</w:t>
            </w:r>
            <w:r>
              <w:rPr>
                <w:rFonts w:hint="eastAsia" w:ascii="Times New Roman" w:hAnsi="Times New Roman" w:eastAsia="宋体" w:cs="Times New Roman"/>
                <w:color w:val="auto"/>
                <w:sz w:val="24"/>
                <w:szCs w:val="22"/>
                <w:highlight w:val="none"/>
                <w:lang w:val="en-US" w:eastAsia="zh-CN"/>
              </w:rPr>
              <w:t>。</w:t>
            </w:r>
          </w:p>
          <w:p w14:paraId="323EB78F">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②物流仓储用地</w:t>
            </w:r>
          </w:p>
          <w:p w14:paraId="0126D493">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依托昆武高速公路县城下道口，在大营——茨塘片区规划布局园区的物流中心。依托轿子山专线，在散旦西组团布局园区物流中心。同时，在各片区结合用地功能、片区产业发展需要布置物流仓储用地，以满足各片区的需求。</w:t>
            </w:r>
          </w:p>
          <w:p w14:paraId="4132EF6D">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园区物流仓储用地以一类物流仓储用地为主，兼容二类物流仓储用地。规划仓储物流用地面积约</w:t>
            </w:r>
            <w:r>
              <w:rPr>
                <w:rFonts w:hint="default" w:ascii="Times New Roman" w:hAnsi="Times New Roman" w:eastAsia="宋体" w:cs="Times New Roman"/>
                <w:color w:val="auto"/>
                <w:sz w:val="24"/>
                <w:szCs w:val="22"/>
                <w:highlight w:val="none"/>
                <w:lang w:val="en-US" w:eastAsia="zh-CN"/>
              </w:rPr>
              <w:t>67.51</w:t>
            </w:r>
            <w:r>
              <w:rPr>
                <w:rFonts w:hint="eastAsia" w:ascii="Times New Roman" w:hAnsi="Times New Roman" w:eastAsia="宋体" w:cs="Times New Roman"/>
                <w:color w:val="auto"/>
                <w:sz w:val="24"/>
                <w:szCs w:val="22"/>
                <w:highlight w:val="none"/>
                <w:lang w:val="en-US" w:eastAsia="zh-CN"/>
              </w:rPr>
              <w:t>公顷，占建设用地总面积的</w:t>
            </w:r>
            <w:r>
              <w:rPr>
                <w:rFonts w:hint="default" w:ascii="Times New Roman" w:hAnsi="Times New Roman" w:eastAsia="宋体" w:cs="Times New Roman"/>
                <w:color w:val="auto"/>
                <w:sz w:val="24"/>
                <w:szCs w:val="22"/>
                <w:highlight w:val="none"/>
                <w:lang w:val="en-US" w:eastAsia="zh-CN"/>
              </w:rPr>
              <w:t>2.22%</w:t>
            </w:r>
            <w:r>
              <w:rPr>
                <w:rFonts w:hint="eastAsia" w:ascii="Times New Roman" w:hAnsi="Times New Roman" w:eastAsia="宋体" w:cs="Times New Roman"/>
                <w:color w:val="auto"/>
                <w:sz w:val="24"/>
                <w:szCs w:val="22"/>
                <w:highlight w:val="none"/>
                <w:lang w:val="en-US" w:eastAsia="zh-CN"/>
              </w:rPr>
              <w:t>。</w:t>
            </w:r>
          </w:p>
          <w:p w14:paraId="17A560B9">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③公共管理与公共服务设施用地、商业服务业设施用地</w:t>
            </w:r>
          </w:p>
          <w:p w14:paraId="410B34B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园区规划公共管理与公共服务设施用地面积约</w:t>
            </w:r>
            <w:r>
              <w:rPr>
                <w:rFonts w:hint="default" w:ascii="Times New Roman" w:hAnsi="Times New Roman" w:eastAsia="宋体" w:cs="Times New Roman"/>
                <w:color w:val="auto"/>
                <w:sz w:val="24"/>
                <w:szCs w:val="22"/>
                <w:highlight w:val="none"/>
                <w:lang w:val="en-US" w:eastAsia="zh-CN"/>
              </w:rPr>
              <w:t>39.84</w:t>
            </w:r>
            <w:r>
              <w:rPr>
                <w:rFonts w:hint="eastAsia" w:ascii="Times New Roman" w:hAnsi="Times New Roman" w:eastAsia="宋体" w:cs="Times New Roman"/>
                <w:color w:val="auto"/>
                <w:sz w:val="24"/>
                <w:szCs w:val="22"/>
                <w:highlight w:val="none"/>
                <w:lang w:val="en-US" w:eastAsia="zh-CN"/>
              </w:rPr>
              <w:t>公顷，约占园区总建设用地的</w:t>
            </w:r>
            <w:r>
              <w:rPr>
                <w:rFonts w:hint="default" w:ascii="Times New Roman" w:hAnsi="Times New Roman" w:eastAsia="宋体" w:cs="Times New Roman"/>
                <w:color w:val="auto"/>
                <w:sz w:val="24"/>
                <w:szCs w:val="22"/>
                <w:highlight w:val="none"/>
                <w:lang w:val="en-US" w:eastAsia="zh-CN"/>
              </w:rPr>
              <w:t>1.31%</w:t>
            </w:r>
            <w:r>
              <w:rPr>
                <w:rFonts w:hint="eastAsia" w:ascii="Times New Roman" w:hAnsi="Times New Roman" w:eastAsia="宋体" w:cs="Times New Roman"/>
                <w:color w:val="auto"/>
                <w:sz w:val="24"/>
                <w:szCs w:val="22"/>
                <w:highlight w:val="none"/>
                <w:lang w:val="en-US" w:eastAsia="zh-CN"/>
              </w:rPr>
              <w:t>；园区规划商业设施用地面积约</w:t>
            </w:r>
            <w:r>
              <w:rPr>
                <w:rFonts w:hint="default" w:ascii="Times New Roman" w:hAnsi="Times New Roman" w:eastAsia="宋体" w:cs="Times New Roman"/>
                <w:color w:val="auto"/>
                <w:sz w:val="24"/>
                <w:szCs w:val="22"/>
                <w:highlight w:val="none"/>
                <w:lang w:val="en-US" w:eastAsia="zh-CN"/>
              </w:rPr>
              <w:t>39.25</w:t>
            </w:r>
            <w:r>
              <w:rPr>
                <w:rFonts w:hint="eastAsia" w:ascii="Times New Roman" w:hAnsi="Times New Roman" w:eastAsia="宋体" w:cs="Times New Roman"/>
                <w:color w:val="auto"/>
                <w:sz w:val="24"/>
                <w:szCs w:val="22"/>
                <w:highlight w:val="none"/>
                <w:lang w:val="en-US" w:eastAsia="zh-CN"/>
              </w:rPr>
              <w:t>公顷，约占园区总建设用地的</w:t>
            </w:r>
            <w:r>
              <w:rPr>
                <w:rFonts w:hint="default" w:ascii="Times New Roman" w:hAnsi="Times New Roman" w:eastAsia="宋体" w:cs="Times New Roman"/>
                <w:color w:val="auto"/>
                <w:sz w:val="24"/>
                <w:szCs w:val="22"/>
                <w:highlight w:val="none"/>
                <w:lang w:val="en-US" w:eastAsia="zh-CN"/>
              </w:rPr>
              <w:t>1.29%</w:t>
            </w:r>
            <w:r>
              <w:rPr>
                <w:rFonts w:hint="eastAsia" w:ascii="Times New Roman" w:hAnsi="Times New Roman" w:eastAsia="宋体" w:cs="Times New Roman"/>
                <w:color w:val="auto"/>
                <w:sz w:val="24"/>
                <w:szCs w:val="22"/>
                <w:highlight w:val="none"/>
                <w:lang w:val="en-US" w:eastAsia="zh-CN"/>
              </w:rPr>
              <w:t>。</w:t>
            </w:r>
          </w:p>
          <w:p w14:paraId="306A8CDB">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④居住用地</w:t>
            </w:r>
          </w:p>
          <w:p w14:paraId="702A9415">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居住用地布局按照“产城融合”的原则，大多数产业工人到县城和就近集镇居住，在远离集镇的组团适当布局配套居住用地，居住用地均布置于工业用地的上风向，规划居住用地以二类居住用地为主，适当布局一些一类居住用地。</w:t>
            </w:r>
          </w:p>
          <w:p w14:paraId="0537087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规划居住用地面积</w:t>
            </w:r>
            <w:r>
              <w:rPr>
                <w:rFonts w:hint="default" w:ascii="Times New Roman" w:hAnsi="Times New Roman" w:eastAsia="宋体" w:cs="Times New Roman"/>
                <w:color w:val="auto"/>
                <w:sz w:val="24"/>
                <w:szCs w:val="22"/>
                <w:highlight w:val="none"/>
                <w:lang w:val="en-US" w:eastAsia="zh-CN"/>
              </w:rPr>
              <w:t>59.05</w:t>
            </w:r>
            <w:r>
              <w:rPr>
                <w:rFonts w:hint="eastAsia" w:ascii="Times New Roman" w:hAnsi="Times New Roman" w:eastAsia="宋体" w:cs="Times New Roman"/>
                <w:color w:val="auto"/>
                <w:sz w:val="24"/>
                <w:szCs w:val="22"/>
                <w:highlight w:val="none"/>
                <w:lang w:val="en-US" w:eastAsia="zh-CN"/>
              </w:rPr>
              <w:t>公顷，占园区建设用地总面积的</w:t>
            </w:r>
            <w:r>
              <w:rPr>
                <w:rFonts w:hint="default" w:ascii="Times New Roman" w:hAnsi="Times New Roman" w:eastAsia="宋体" w:cs="Times New Roman"/>
                <w:color w:val="auto"/>
                <w:sz w:val="24"/>
                <w:szCs w:val="22"/>
                <w:highlight w:val="none"/>
                <w:lang w:val="en-US" w:eastAsia="zh-CN"/>
              </w:rPr>
              <w:t>1.94%</w:t>
            </w:r>
            <w:r>
              <w:rPr>
                <w:rFonts w:hint="eastAsia" w:ascii="Times New Roman" w:hAnsi="Times New Roman" w:eastAsia="宋体" w:cs="Times New Roman"/>
                <w:color w:val="auto"/>
                <w:sz w:val="24"/>
                <w:szCs w:val="22"/>
                <w:highlight w:val="none"/>
                <w:lang w:val="en-US" w:eastAsia="zh-CN"/>
              </w:rPr>
              <w:t>。</w:t>
            </w:r>
          </w:p>
          <w:p w14:paraId="6784A4A2">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⑤公用设施用地</w:t>
            </w:r>
          </w:p>
          <w:p w14:paraId="14BFAE3A">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规划公用设施用地面积约</w:t>
            </w:r>
            <w:r>
              <w:rPr>
                <w:rFonts w:hint="default" w:ascii="Times New Roman" w:hAnsi="Times New Roman" w:eastAsia="宋体" w:cs="Times New Roman"/>
                <w:color w:val="auto"/>
                <w:sz w:val="24"/>
                <w:szCs w:val="22"/>
                <w:highlight w:val="none"/>
                <w:lang w:val="en-US" w:eastAsia="zh-CN"/>
              </w:rPr>
              <w:t>37.88</w:t>
            </w:r>
            <w:r>
              <w:rPr>
                <w:rFonts w:hint="eastAsia" w:ascii="Times New Roman" w:hAnsi="Times New Roman" w:eastAsia="宋体" w:cs="Times New Roman"/>
                <w:color w:val="auto"/>
                <w:sz w:val="24"/>
                <w:szCs w:val="22"/>
                <w:highlight w:val="none"/>
                <w:lang w:val="en-US" w:eastAsia="zh-CN"/>
              </w:rPr>
              <w:t>公顷，占建设用地的面积约</w:t>
            </w:r>
            <w:r>
              <w:rPr>
                <w:rFonts w:hint="default" w:ascii="Times New Roman" w:hAnsi="Times New Roman" w:eastAsia="宋体" w:cs="Times New Roman"/>
                <w:color w:val="auto"/>
                <w:sz w:val="24"/>
                <w:szCs w:val="22"/>
                <w:highlight w:val="none"/>
                <w:lang w:val="en-US" w:eastAsia="zh-CN"/>
              </w:rPr>
              <w:t>1.25%</w:t>
            </w:r>
            <w:r>
              <w:rPr>
                <w:rFonts w:hint="eastAsia" w:ascii="Times New Roman" w:hAnsi="Times New Roman" w:eastAsia="宋体" w:cs="Times New Roman"/>
                <w:color w:val="auto"/>
                <w:sz w:val="24"/>
                <w:szCs w:val="22"/>
                <w:highlight w:val="none"/>
                <w:lang w:val="en-US" w:eastAsia="zh-CN"/>
              </w:rPr>
              <w:t>。</w:t>
            </w:r>
          </w:p>
          <w:p w14:paraId="5E941E3A">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3</w:t>
            </w:r>
            <w:r>
              <w:rPr>
                <w:rFonts w:hint="eastAsia" w:ascii="Times New Roman" w:hAnsi="Times New Roman" w:eastAsia="宋体" w:cs="Times New Roman"/>
                <w:color w:val="auto"/>
                <w:sz w:val="24"/>
                <w:szCs w:val="22"/>
                <w:highlight w:val="none"/>
                <w:lang w:val="en-US" w:eastAsia="zh-CN"/>
              </w:rPr>
              <w:t>）规划产业结构</w:t>
            </w:r>
          </w:p>
          <w:p w14:paraId="21DDA5AB">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园区产业规划构建“两轴三园六组团”的产业空间布局结构。</w:t>
            </w:r>
          </w:p>
          <w:p w14:paraId="6436F40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①两轴</w:t>
            </w:r>
          </w:p>
          <w:p w14:paraId="6AC176FF">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沿昆武高速公路和轿子山旅游专线形成两条产业发展轴线，其中沿昆武高速公路的产业发展轴着重发展钛产业、装备制造产业，辅以发展食品加工、机械加工、商贸物流等产业，是一条综合性产业发展轴；轿子山旅游专线沿线以发展新材料产业为主，辅以发展新能源、农副产品加工等产业，是富民县的战略性新兴产业发展轴线。</w:t>
            </w:r>
          </w:p>
          <w:p w14:paraId="63FEC201">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②三园</w:t>
            </w:r>
          </w:p>
          <w:p w14:paraId="09C4FF09">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在富民工业园区主要布局装备制造产业园、钛化工产业园和新材料产业园三大产业园区。</w:t>
            </w:r>
          </w:p>
          <w:p w14:paraId="0D20B10B">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装备制造产业园：以白石岩——哨箐组团为主，重点发展装备制造产业，辅以发展精细化工、机械加工、商贸物流等产业类型；</w:t>
            </w:r>
          </w:p>
          <w:p w14:paraId="08F6AF4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钛化工产业园：以大白坡组团为主，重点发展钛产业，向精细化工方向发展。打造全国重要的金属钛（钛材）生产基地；</w:t>
            </w:r>
          </w:p>
          <w:p w14:paraId="3445BE30">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新材料产业园：包括大营——茨塘组团、散旦组团、款庄——东村组团和赤鹫组团，主要发展以半导体为主导的新材料产业，辅以新能源、精细化工、农副产品加工、食品加工、商贸物流等产业的发展。</w:t>
            </w:r>
          </w:p>
          <w:p w14:paraId="2860A9D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③六个产业组团</w:t>
            </w:r>
          </w:p>
          <w:p w14:paraId="553EAF3E">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白石岩——哨筲组团：白石岩组团包含白石岩、</w:t>
            </w:r>
            <w:r>
              <w:rPr>
                <w:rFonts w:hint="eastAsia" w:cs="Times New Roman"/>
                <w:color w:val="auto"/>
                <w:sz w:val="24"/>
                <w:szCs w:val="22"/>
                <w:highlight w:val="none"/>
                <w:lang w:val="en-US" w:eastAsia="zh-CN"/>
              </w:rPr>
              <w:t>哨箐</w:t>
            </w:r>
            <w:r>
              <w:rPr>
                <w:rFonts w:hint="eastAsia" w:ascii="Times New Roman" w:hAnsi="Times New Roman" w:eastAsia="宋体" w:cs="Times New Roman"/>
                <w:color w:val="auto"/>
                <w:sz w:val="24"/>
                <w:szCs w:val="22"/>
                <w:highlight w:val="none"/>
                <w:lang w:val="en-US" w:eastAsia="zh-CN"/>
              </w:rPr>
              <w:t>、烟墩、麦竜四个片区，现状产业主要包括环保产业、机械加工、化工产业等。未来，白石岩组团将重点发展以节能环保设备为主导的装备制造业，同时，辅以发展精细化工产业，麦竜片区现有的磷化工产业在有条件的情况下应考虑逐步向钛化工产业园转移，形成化工产业集群。现状机械加工、环保产业可适当保留。</w:t>
            </w:r>
          </w:p>
          <w:p w14:paraId="01B2A093">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大白坡组团：大白坡组团现状产业发展主要包括大白坡钛产业园。未来应在现状钛化工发展的基础上，开发中高端钛化工产品，推动钛化工向精细化工方向发展。</w:t>
            </w:r>
          </w:p>
          <w:p w14:paraId="1F4A77B6">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赤组团：半导体为主的新材料，并延伸其产业链，打造半导体新材料产业园。</w:t>
            </w:r>
          </w:p>
          <w:p w14:paraId="7F2AC97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大营——茨塘组团：积极引导以半导体为主导的新材料产业的发展，并在现状东元食品产业园和大营五金建材产业园的发展基础上，延续食品加工、五金建材等产业的发展，重点建设云南台湾食品加工园，推动新型建材企业的入驻。</w:t>
            </w:r>
          </w:p>
          <w:p w14:paraId="6FE16DAE">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散旦组团：积极引导以半导体为主导的新材料产业的发展，充分发挥片区林产品资源丰富的优势，积极发展林产品加工、新材料等产业类型，同时适度发展农副产品加工业等产业。</w:t>
            </w:r>
          </w:p>
          <w:p w14:paraId="35CDAD3D">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款庄——东村组团：积极引导以半导体为主导的新材料产业的发展，辅以发展光伏发电、风力发电等新能源产业，依托东村片区已有的薰衣草产业园发展以芳香产业为主的精细化工产业，适度发展现状钛化工的基础上，钛化工向精细化工方向发展。</w:t>
            </w:r>
          </w:p>
          <w:p w14:paraId="1CC17429">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2" w:firstLineChars="200"/>
              <w:textAlignment w:val="auto"/>
              <w:rPr>
                <w:rFonts w:hint="default"/>
                <w:color w:val="auto"/>
              </w:rPr>
            </w:pPr>
            <w:r>
              <w:rPr>
                <w:rFonts w:hint="eastAsia" w:ascii="宋体" w:hAnsi="宋体" w:eastAsia="宋体" w:cs="宋体"/>
                <w:b/>
                <w:bCs/>
                <w:color w:val="auto"/>
                <w:kern w:val="0"/>
                <w:sz w:val="24"/>
                <w:szCs w:val="24"/>
                <w:lang w:val="en-US" w:eastAsia="zh-CN" w:bidi="ar"/>
              </w:rPr>
              <w:t>环保产业园组团：</w:t>
            </w:r>
            <w:r>
              <w:rPr>
                <w:rFonts w:hint="eastAsia" w:ascii="宋体" w:hAnsi="宋体" w:eastAsia="宋体" w:cs="宋体"/>
                <w:color w:val="auto"/>
                <w:kern w:val="0"/>
                <w:sz w:val="24"/>
                <w:szCs w:val="24"/>
                <w:lang w:val="en-US" w:eastAsia="zh-CN" w:bidi="ar"/>
              </w:rPr>
              <w:t>环保产业园组团按照“三生”理念（即生产、生活、生态）及新型工业综合体的先进工业园区建设模式进行建设，是集研发、生产、商务、物流、会展、销售、服务、教培、居住为一体的复合型园区。以环保装备技术与制造为核心，以环保设备制造业、清洁生产工艺示范产业、环境保护服务产业和园区配套产业为主要产业形态的环保产业园区。为此，环保产业园组团的产业群配置总体分为两大部分：一是环保装备生产制造业，二是环保现代服务业。</w:t>
            </w:r>
          </w:p>
          <w:p w14:paraId="6ED9EDA7">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color w:val="auto"/>
              </w:rPr>
            </w:pPr>
            <w:r>
              <w:rPr>
                <w:rFonts w:hint="eastAsia" w:ascii="宋体" w:hAnsi="宋体" w:eastAsia="宋体" w:cs="宋体"/>
                <w:color w:val="auto"/>
                <w:kern w:val="0"/>
                <w:sz w:val="24"/>
                <w:szCs w:val="24"/>
                <w:lang w:val="en-US" w:eastAsia="zh-CN" w:bidi="ar"/>
              </w:rPr>
              <w:t>环保产业园组团发展的定位为：云南省乃至中国西部地区最大的环保产业核心区，以工业化推进的城市拓展新区和绿色生态产业园区。</w:t>
            </w:r>
          </w:p>
          <w:p w14:paraId="3A1F1998">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本项目位于哨箐</w:t>
            </w:r>
            <w:r>
              <w:rPr>
                <w:rFonts w:hint="eastAsia" w:cs="Times New Roman"/>
                <w:color w:val="auto"/>
                <w:sz w:val="24"/>
                <w:szCs w:val="22"/>
                <w:highlight w:val="none"/>
                <w:lang w:val="en-US" w:eastAsia="zh-CN"/>
              </w:rPr>
              <w:t>组团</w:t>
            </w:r>
            <w:r>
              <w:rPr>
                <w:rFonts w:hint="eastAsia" w:ascii="Times New Roman" w:hAnsi="Times New Roman" w:eastAsia="宋体" w:cs="Times New Roman"/>
                <w:color w:val="auto"/>
                <w:sz w:val="24"/>
                <w:szCs w:val="22"/>
                <w:highlight w:val="none"/>
                <w:lang w:val="en-US" w:eastAsia="zh-CN"/>
              </w:rPr>
              <w:t>，重点发展装备制造业、辅助发展精细化工、机械加工、商贸物流等行业类型。本项目产品为</w:t>
            </w:r>
            <w:r>
              <w:rPr>
                <w:rFonts w:hint="eastAsia" w:cs="Times New Roman"/>
                <w:color w:val="auto"/>
                <w:sz w:val="24"/>
                <w:szCs w:val="22"/>
                <w:highlight w:val="none"/>
                <w:lang w:val="en-US" w:eastAsia="zh-CN"/>
              </w:rPr>
              <w:t>腻子粉和水性涂料</w:t>
            </w:r>
            <w:r>
              <w:rPr>
                <w:rFonts w:hint="eastAsia" w:ascii="Times New Roman" w:hAnsi="Times New Roman" w:eastAsia="宋体" w:cs="Times New Roman"/>
                <w:color w:val="auto"/>
                <w:sz w:val="24"/>
                <w:szCs w:val="22"/>
                <w:highlight w:val="none"/>
                <w:lang w:val="en-US" w:eastAsia="zh-CN"/>
              </w:rPr>
              <w:t>，</w:t>
            </w:r>
            <w:r>
              <w:rPr>
                <w:rFonts w:hint="eastAsia" w:cs="Times New Roman"/>
                <w:color w:val="auto"/>
                <w:sz w:val="24"/>
                <w:szCs w:val="22"/>
                <w:highlight w:val="none"/>
                <w:lang w:val="en-US" w:eastAsia="zh-CN"/>
              </w:rPr>
              <w:t>属于精细化工</w:t>
            </w:r>
            <w:r>
              <w:rPr>
                <w:rFonts w:hint="eastAsia" w:ascii="Times New Roman" w:hAnsi="Times New Roman" w:eastAsia="宋体" w:cs="Times New Roman"/>
                <w:color w:val="auto"/>
                <w:sz w:val="24"/>
                <w:szCs w:val="22"/>
                <w:highlight w:val="none"/>
                <w:lang w:val="en-US" w:eastAsia="zh-CN"/>
              </w:rPr>
              <w:t>，不属于</w:t>
            </w:r>
            <w:r>
              <w:rPr>
                <w:rFonts w:hint="default" w:ascii="Times New Roman" w:hAnsi="Times New Roman" w:eastAsia="宋体" w:cs="Times New Roman"/>
                <w:color w:val="auto"/>
                <w:sz w:val="24"/>
                <w:szCs w:val="22"/>
                <w:highlight w:val="none"/>
                <w:lang w:val="en-US" w:eastAsia="zh-CN"/>
              </w:rPr>
              <w:t>《规划》中</w:t>
            </w:r>
            <w:r>
              <w:rPr>
                <w:rFonts w:hint="eastAsia" w:ascii="Times New Roman" w:hAnsi="Times New Roman" w:eastAsia="宋体" w:cs="Times New Roman"/>
                <w:color w:val="auto"/>
                <w:sz w:val="24"/>
                <w:szCs w:val="22"/>
                <w:highlight w:val="none"/>
                <w:lang w:val="en-US" w:eastAsia="zh-CN"/>
              </w:rPr>
              <w:t>不符合规划产业的项目，且富民工业园区管理委员会已同意本项目入园，因此，本项目与哨箐</w:t>
            </w:r>
            <w:r>
              <w:rPr>
                <w:rFonts w:hint="eastAsia" w:cs="Times New Roman"/>
                <w:color w:val="auto"/>
                <w:sz w:val="24"/>
                <w:szCs w:val="22"/>
                <w:highlight w:val="none"/>
                <w:lang w:val="en-US" w:eastAsia="zh-CN"/>
              </w:rPr>
              <w:t>组团</w:t>
            </w:r>
            <w:r>
              <w:rPr>
                <w:rFonts w:hint="eastAsia" w:ascii="Times New Roman" w:hAnsi="Times New Roman" w:eastAsia="宋体" w:cs="Times New Roman"/>
                <w:color w:val="auto"/>
                <w:sz w:val="24"/>
                <w:szCs w:val="22"/>
                <w:highlight w:val="none"/>
                <w:lang w:val="en-US" w:eastAsia="zh-CN"/>
              </w:rPr>
              <w:t>定位不冲突</w:t>
            </w:r>
            <w:r>
              <w:rPr>
                <w:rFonts w:hint="default" w:ascii="Times New Roman" w:hAnsi="Times New Roman"/>
                <w:color w:val="auto"/>
                <w:szCs w:val="24"/>
                <w:highlight w:val="none"/>
              </w:rPr>
              <w:t>，</w:t>
            </w:r>
            <w:r>
              <w:rPr>
                <w:rFonts w:hint="eastAsia" w:ascii="Times New Roman" w:hAnsi="Times New Roman"/>
                <w:color w:val="auto"/>
                <w:sz w:val="24"/>
                <w:szCs w:val="24"/>
                <w:highlight w:val="none"/>
                <w:lang w:val="en-US" w:eastAsia="zh-CN"/>
              </w:rPr>
              <w:t>此外，</w:t>
            </w:r>
            <w:r>
              <w:rPr>
                <w:rFonts w:hint="default" w:ascii="Times New Roman" w:hAnsi="Times New Roman" w:cs="Times New Roman"/>
                <w:color w:val="auto"/>
                <w:sz w:val="24"/>
                <w:szCs w:val="24"/>
                <w:highlight w:val="none"/>
              </w:rPr>
              <w:t>项目所在地块属于M</w:t>
            </w:r>
            <w:r>
              <w:rPr>
                <w:rFonts w:hint="eastAsia" w:ascii="Times New Roman" w:hAnsi="Times New Roman" w:cs="Times New Roman"/>
                <w:color w:val="auto"/>
                <w:sz w:val="24"/>
                <w:szCs w:val="24"/>
                <w:highlight w:val="none"/>
                <w:lang w:val="en-US" w:eastAsia="zh-CN"/>
              </w:rPr>
              <w:t>2二类</w:t>
            </w:r>
            <w:r>
              <w:rPr>
                <w:rFonts w:hint="default" w:ascii="Times New Roman" w:hAnsi="Times New Roman" w:cs="Times New Roman"/>
                <w:color w:val="auto"/>
                <w:sz w:val="24"/>
                <w:szCs w:val="24"/>
                <w:highlight w:val="none"/>
              </w:rPr>
              <w:t>工业用地，</w:t>
            </w:r>
            <w:r>
              <w:rPr>
                <w:rFonts w:hint="eastAsia" w:ascii="Times New Roman" w:hAnsi="Times New Roman" w:eastAsia="宋体" w:cs="Times New Roman"/>
                <w:color w:val="auto"/>
                <w:sz w:val="24"/>
                <w:szCs w:val="24"/>
                <w:highlight w:val="none"/>
                <w:lang w:val="en-US" w:eastAsia="zh-CN"/>
              </w:rPr>
              <w:t>与园区规划用地类型相符。故本项目建设符合《富民工业园区总体规划修编（</w:t>
            </w:r>
            <w:r>
              <w:rPr>
                <w:rFonts w:hint="default" w:ascii="Times New Roman" w:hAnsi="Times New Roman" w:eastAsia="宋体" w:cs="Times New Roman"/>
                <w:color w:val="auto"/>
                <w:sz w:val="24"/>
                <w:szCs w:val="24"/>
                <w:highlight w:val="none"/>
                <w:lang w:val="en-US" w:eastAsia="zh-CN"/>
              </w:rPr>
              <w:t>2015~2030</w:t>
            </w:r>
            <w:r>
              <w:rPr>
                <w:rFonts w:hint="eastAsia" w:ascii="Times New Roman" w:hAnsi="Times New Roman" w:eastAsia="宋体" w:cs="Times New Roman"/>
                <w:color w:val="auto"/>
                <w:sz w:val="24"/>
                <w:szCs w:val="24"/>
                <w:highlight w:val="none"/>
                <w:lang w:val="en-US" w:eastAsia="zh-CN"/>
              </w:rPr>
              <w:t>年）》的相关规划要求。</w:t>
            </w:r>
          </w:p>
          <w:p w14:paraId="49167730">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2" w:firstLineChars="200"/>
              <w:textAlignment w:val="auto"/>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2、与《</w:t>
            </w:r>
            <w:r>
              <w:rPr>
                <w:rFonts w:hint="eastAsia" w:ascii="Times New Roman" w:hAnsi="Times New Roman" w:eastAsia="宋体" w:cs="Times New Roman"/>
                <w:b/>
                <w:bCs/>
                <w:color w:val="auto"/>
                <w:sz w:val="24"/>
                <w:szCs w:val="22"/>
                <w:highlight w:val="none"/>
                <w:lang w:val="en-US" w:eastAsia="zh-CN"/>
              </w:rPr>
              <w:t>富民工业园区总体规划修编（</w:t>
            </w:r>
            <w:r>
              <w:rPr>
                <w:rFonts w:hint="default" w:ascii="Times New Roman" w:hAnsi="Times New Roman" w:eastAsia="宋体" w:cs="Times New Roman"/>
                <w:b/>
                <w:bCs/>
                <w:color w:val="auto"/>
                <w:sz w:val="24"/>
                <w:szCs w:val="22"/>
                <w:highlight w:val="none"/>
                <w:lang w:val="en-US" w:eastAsia="zh-CN"/>
              </w:rPr>
              <w:t>2015~2030</w:t>
            </w:r>
            <w:r>
              <w:rPr>
                <w:rFonts w:hint="eastAsia" w:ascii="Times New Roman" w:hAnsi="Times New Roman" w:eastAsia="宋体" w:cs="Times New Roman"/>
                <w:b/>
                <w:bCs/>
                <w:color w:val="auto"/>
                <w:sz w:val="24"/>
                <w:szCs w:val="22"/>
                <w:highlight w:val="none"/>
                <w:lang w:val="en-US" w:eastAsia="zh-CN"/>
              </w:rPr>
              <w:t>年）</w:t>
            </w:r>
            <w:r>
              <w:rPr>
                <w:rFonts w:hint="default" w:ascii="Times New Roman" w:hAnsi="Times New Roman" w:cs="Times New Roman"/>
                <w:b/>
                <w:bCs/>
                <w:color w:val="auto"/>
                <w:sz w:val="24"/>
                <w:szCs w:val="22"/>
                <w:highlight w:val="none"/>
              </w:rPr>
              <w:t>环境影响报告书》及审查意见符合性分析</w:t>
            </w:r>
          </w:p>
          <w:p w14:paraId="4C72A5A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《富民工业园区总体规划修编（2015-2030）环境影响报告书》已于2016年6月11日取得了云南省环境保护厅关于《富民工业园区总体规划修编（2015-2030）环境影响报告书》审查意见的函（云环函〔2016〕10号）。</w:t>
            </w:r>
          </w:p>
          <w:p w14:paraId="61FD0530">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根据《富民工业园区总体规划修编（2015-2030）环境影响报告书》及审查意见，富民工业园区定位为新型工业园区，以装备制造、钛化工和新材料三大产业为主导的产业基地，集生产、生活配套为</w:t>
            </w:r>
            <w:r>
              <w:rPr>
                <w:rFonts w:hint="eastAsia" w:ascii="Times New Roman" w:hAnsi="Times New Roman"/>
                <w:color w:val="auto"/>
                <w:sz w:val="24"/>
                <w:szCs w:val="24"/>
                <w:highlight w:val="none"/>
                <w:lang w:val="en-US" w:eastAsia="zh-CN"/>
              </w:rPr>
              <w:t>一</w:t>
            </w:r>
            <w:r>
              <w:rPr>
                <w:rFonts w:hint="default" w:ascii="Times New Roman" w:hAnsi="Times New Roman"/>
                <w:color w:val="auto"/>
                <w:sz w:val="24"/>
                <w:szCs w:val="24"/>
                <w:highlight w:val="none"/>
              </w:rPr>
              <w:t>体的生态工业园。园区包括白石岩-大白坡、大营-茨塘、散旦</w:t>
            </w:r>
            <w:r>
              <w:rPr>
                <w:rFonts w:hint="eastAsia" w:ascii="Times New Roman" w:hAnsi="Times New Roman"/>
                <w:color w:val="auto"/>
                <w:sz w:val="24"/>
                <w:szCs w:val="24"/>
                <w:highlight w:val="none"/>
                <w:lang w:eastAsia="zh-CN"/>
              </w:rPr>
              <w:t>、</w:t>
            </w:r>
            <w:r>
              <w:rPr>
                <w:rFonts w:hint="default" w:ascii="Times New Roman" w:hAnsi="Times New Roman"/>
                <w:color w:val="auto"/>
                <w:sz w:val="24"/>
                <w:szCs w:val="24"/>
                <w:highlight w:val="none"/>
              </w:rPr>
              <w:t>款庄-东村四个工业片区。白石岩-大白坡片区规划为钛产业、装备制造、精细化工产业区；大营茨塘片区规划为以半导体为主导的新材料产业、食品加工、五金建材产业区；散旦片区规划为以半导体为主导的新材料产业、林产品加工、农副产品加工业产业区；款庄东村片区规划为以半导体为主导的新材料产业，辅以发光伏发电、风力发电等新能源产业区。</w:t>
            </w:r>
          </w:p>
          <w:p w14:paraId="52DC58D0">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本项目位于富民工业园区白石岩——大白坡片区</w:t>
            </w:r>
            <w:r>
              <w:rPr>
                <w:rFonts w:hint="eastAsia" w:cs="Times New Roman"/>
                <w:color w:val="auto"/>
                <w:sz w:val="24"/>
                <w:szCs w:val="24"/>
                <w:highlight w:val="none"/>
                <w:lang w:val="en-US" w:eastAsia="zh-CN"/>
              </w:rPr>
              <w:t>哨箐</w:t>
            </w:r>
            <w:r>
              <w:rPr>
                <w:rFonts w:hint="eastAsia" w:ascii="Times New Roman" w:hAnsi="Times New Roman" w:eastAsia="宋体" w:cs="Times New Roman"/>
                <w:color w:val="auto"/>
                <w:sz w:val="24"/>
                <w:szCs w:val="24"/>
                <w:highlight w:val="none"/>
                <w:lang w:val="en-US" w:eastAsia="zh-CN"/>
              </w:rPr>
              <w:t>组团，项目产品为</w:t>
            </w:r>
            <w:r>
              <w:rPr>
                <w:rFonts w:hint="eastAsia" w:cs="Times New Roman"/>
                <w:color w:val="auto"/>
                <w:sz w:val="24"/>
                <w:szCs w:val="24"/>
                <w:highlight w:val="none"/>
                <w:lang w:val="en-US" w:eastAsia="zh-CN"/>
              </w:rPr>
              <w:t>腻子粉、水性涂料</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属于精细化工产业</w:t>
            </w:r>
            <w:r>
              <w:rPr>
                <w:rFonts w:hint="eastAsia" w:ascii="Times New Roman" w:hAnsi="Times New Roman" w:eastAsia="宋体" w:cs="Times New Roman"/>
                <w:color w:val="auto"/>
                <w:sz w:val="24"/>
                <w:szCs w:val="24"/>
                <w:highlight w:val="none"/>
                <w:lang w:val="en-US" w:eastAsia="zh-CN"/>
              </w:rPr>
              <w:t>，与</w:t>
            </w:r>
            <w:r>
              <w:rPr>
                <w:rFonts w:hint="eastAsia" w:cs="Times New Roman"/>
                <w:color w:val="auto"/>
                <w:sz w:val="24"/>
                <w:szCs w:val="24"/>
                <w:highlight w:val="none"/>
                <w:lang w:val="en-US" w:eastAsia="zh-CN"/>
              </w:rPr>
              <w:t>哨箐</w:t>
            </w:r>
            <w:r>
              <w:rPr>
                <w:rFonts w:hint="eastAsia" w:ascii="Times New Roman" w:hAnsi="Times New Roman" w:eastAsia="宋体" w:cs="Times New Roman"/>
                <w:color w:val="auto"/>
                <w:sz w:val="24"/>
                <w:szCs w:val="24"/>
                <w:highlight w:val="none"/>
                <w:lang w:val="en-US" w:eastAsia="zh-CN"/>
              </w:rPr>
              <w:t>组团产业定位</w:t>
            </w:r>
            <w:r>
              <w:rPr>
                <w:rFonts w:hint="eastAsia" w:cs="Times New Roman"/>
                <w:color w:val="auto"/>
                <w:sz w:val="24"/>
                <w:szCs w:val="24"/>
                <w:highlight w:val="none"/>
                <w:lang w:val="en-US" w:eastAsia="zh-CN"/>
              </w:rPr>
              <w:t>相符</w:t>
            </w:r>
            <w:r>
              <w:rPr>
                <w:rFonts w:hint="default" w:ascii="Times New Roman" w:hAnsi="Times New Roman"/>
                <w:color w:val="auto"/>
                <w:sz w:val="24"/>
                <w:szCs w:val="24"/>
                <w:highlight w:val="none"/>
              </w:rPr>
              <w:t>，符合《富民工业园区总体规划修编（2015-2030）环境影响报告书》及审查意见</w:t>
            </w:r>
            <w:r>
              <w:rPr>
                <w:rFonts w:hint="default"/>
                <w:color w:val="auto"/>
                <w:sz w:val="24"/>
                <w:szCs w:val="24"/>
              </w:rPr>
              <w:t>中环境保护要求</w:t>
            </w:r>
            <w:r>
              <w:rPr>
                <w:rFonts w:hint="default" w:ascii="Times New Roman" w:hAnsi="Times New Roman"/>
                <w:color w:val="auto"/>
                <w:sz w:val="24"/>
                <w:szCs w:val="24"/>
                <w:highlight w:val="none"/>
              </w:rPr>
              <w:t>。</w:t>
            </w:r>
          </w:p>
          <w:p w14:paraId="323DA8F2">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项目选址与《富民工业园区总体规划修编（2015-2030）环境影响报告书》符合性分析详见表1-</w:t>
            </w:r>
            <w:r>
              <w:rPr>
                <w:rFonts w:hint="eastAsia"/>
                <w:color w:val="auto"/>
                <w:sz w:val="24"/>
                <w:szCs w:val="24"/>
                <w:highlight w:val="none"/>
                <w:lang w:val="en-US" w:eastAsia="zh-CN"/>
              </w:rPr>
              <w:t>2</w:t>
            </w:r>
            <w:r>
              <w:rPr>
                <w:rFonts w:hint="default" w:ascii="Times New Roman" w:hAnsi="Times New Roman"/>
                <w:color w:val="auto"/>
                <w:sz w:val="24"/>
                <w:szCs w:val="24"/>
                <w:highlight w:val="none"/>
              </w:rPr>
              <w:t>、项目选址与《富民工业园区总体规划修编（2015-2030）环境影响报告书》审查意见符合性分析详见表1-</w:t>
            </w:r>
            <w:r>
              <w:rPr>
                <w:rFonts w:hint="eastAsia"/>
                <w:color w:val="auto"/>
                <w:sz w:val="24"/>
                <w:szCs w:val="24"/>
                <w:highlight w:val="none"/>
                <w:lang w:val="en-US" w:eastAsia="zh-CN"/>
              </w:rPr>
              <w:t>3</w:t>
            </w:r>
            <w:r>
              <w:rPr>
                <w:rFonts w:hint="default" w:ascii="Times New Roman" w:hAnsi="Times New Roman"/>
                <w:color w:val="auto"/>
                <w:sz w:val="24"/>
                <w:szCs w:val="24"/>
                <w:highlight w:val="none"/>
              </w:rPr>
              <w:t>。</w:t>
            </w:r>
          </w:p>
          <w:p w14:paraId="28D45197">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Fonts w:hint="default" w:ascii="Times New Roman" w:hAnsi="Times New Roman"/>
                <w:b/>
                <w:bCs/>
                <w:color w:val="auto"/>
                <w:sz w:val="21"/>
                <w:szCs w:val="21"/>
                <w:highlight w:val="none"/>
              </w:rPr>
            </w:pPr>
            <w:r>
              <w:rPr>
                <w:rFonts w:hint="default" w:ascii="Times New Roman" w:hAnsi="Times New Roman"/>
                <w:b/>
                <w:bCs/>
                <w:color w:val="auto"/>
                <w:sz w:val="21"/>
                <w:szCs w:val="21"/>
                <w:highlight w:val="none"/>
              </w:rPr>
              <w:t>表1</w:t>
            </w:r>
            <w:r>
              <w:rPr>
                <w:rFonts w:hint="eastAsia"/>
                <w:b/>
                <w:bCs/>
                <w:color w:val="auto"/>
                <w:sz w:val="21"/>
                <w:szCs w:val="21"/>
                <w:highlight w:val="none"/>
                <w:lang w:val="en-US" w:eastAsia="zh-CN"/>
              </w:rPr>
              <w:t>-2</w:t>
            </w:r>
            <w:r>
              <w:rPr>
                <w:rFonts w:hint="default" w:ascii="Times New Roman" w:hAnsi="Times New Roman"/>
                <w:b/>
                <w:bCs/>
                <w:color w:val="auto"/>
                <w:sz w:val="21"/>
                <w:szCs w:val="21"/>
                <w:highlight w:val="none"/>
              </w:rPr>
              <w:t xml:space="preserve"> 项目选址与《富民工业园区总体规划修编（2015-2030）环境影响报告书》符合性分析</w:t>
            </w:r>
          </w:p>
          <w:tbl>
            <w:tblPr>
              <w:tblStyle w:val="28"/>
              <w:tblW w:w="777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2"/>
              <w:gridCol w:w="2683"/>
              <w:gridCol w:w="3699"/>
              <w:gridCol w:w="745"/>
            </w:tblGrid>
            <w:tr w14:paraId="74222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025D40D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序号</w:t>
                  </w:r>
                </w:p>
              </w:tc>
              <w:tc>
                <w:tcPr>
                  <w:tcW w:w="2683" w:type="dxa"/>
                  <w:noWrap w:val="0"/>
                  <w:vAlign w:val="center"/>
                </w:tcPr>
                <w:p w14:paraId="1454C17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《富民工业园区总体规划修编（2015-2030）环境影响报告书》要求</w:t>
                  </w:r>
                </w:p>
              </w:tc>
              <w:tc>
                <w:tcPr>
                  <w:tcW w:w="3699" w:type="dxa"/>
                  <w:noWrap w:val="0"/>
                  <w:vAlign w:val="center"/>
                </w:tcPr>
                <w:p w14:paraId="52FBFB0F">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项目情况</w:t>
                  </w:r>
                </w:p>
              </w:tc>
              <w:tc>
                <w:tcPr>
                  <w:tcW w:w="745" w:type="dxa"/>
                  <w:noWrap w:val="0"/>
                  <w:vAlign w:val="center"/>
                </w:tcPr>
                <w:p w14:paraId="1D7C858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符合性</w:t>
                  </w:r>
                </w:p>
              </w:tc>
            </w:tr>
            <w:tr w14:paraId="73FA3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7779" w:type="dxa"/>
                  <w:gridSpan w:val="4"/>
                  <w:noWrap w:val="0"/>
                  <w:vAlign w:val="center"/>
                </w:tcPr>
                <w:p w14:paraId="627BCBC4">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一、项目入园要求</w:t>
                  </w:r>
                </w:p>
              </w:tc>
            </w:tr>
            <w:tr w14:paraId="304B1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3843604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w:t>
                  </w:r>
                </w:p>
              </w:tc>
              <w:tc>
                <w:tcPr>
                  <w:tcW w:w="2683" w:type="dxa"/>
                  <w:noWrap w:val="0"/>
                  <w:vAlign w:val="center"/>
                </w:tcPr>
                <w:p w14:paraId="395B300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禁止国家及云南省产业政策中明令淘汰或限制的产业入园</w:t>
                  </w:r>
                </w:p>
              </w:tc>
              <w:tc>
                <w:tcPr>
                  <w:tcW w:w="3699" w:type="dxa"/>
                  <w:noWrap w:val="0"/>
                  <w:vAlign w:val="center"/>
                </w:tcPr>
                <w:p w14:paraId="0EDA221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本项目建设不属于国家发展改革委员《产业结构调整指导目录（2019年本）》中限制和淘汰类规定的范围，项目符合国家当前的产业</w:t>
                  </w:r>
                  <w:r>
                    <w:rPr>
                      <w:rFonts w:hint="eastAsia" w:ascii="Times New Roman" w:hAnsi="Times New Roman" w:eastAsia="宋体" w:cs="Times New Roman"/>
                      <w:color w:val="auto"/>
                      <w:sz w:val="21"/>
                      <w:szCs w:val="21"/>
                      <w:highlight w:val="none"/>
                      <w:lang w:val="en-US" w:eastAsia="zh-CN" w:bidi="ar-SA"/>
                    </w:rPr>
                    <w:t>政策</w:t>
                  </w:r>
                  <w:r>
                    <w:rPr>
                      <w:rFonts w:hint="default"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48C5F12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134A0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1E9B4DB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w:t>
                  </w:r>
                </w:p>
              </w:tc>
              <w:tc>
                <w:tcPr>
                  <w:tcW w:w="2683" w:type="dxa"/>
                  <w:noWrap w:val="0"/>
                  <w:vAlign w:val="center"/>
                </w:tcPr>
                <w:p w14:paraId="4061DDE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严格控制不符合《规划》中规划产业的项目入园</w:t>
                  </w:r>
                </w:p>
              </w:tc>
              <w:tc>
                <w:tcPr>
                  <w:tcW w:w="3699" w:type="dxa"/>
                  <w:noWrap w:val="0"/>
                  <w:vAlign w:val="center"/>
                </w:tcPr>
                <w:p w14:paraId="0AB7F91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本项目位于富民工业园区白石岩——大白坡片区</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组团，重点发展装备制造业、辅助发展精细化工、机械加工、商贸物流等行业类型，</w:t>
                  </w: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产品为</w:t>
                  </w:r>
                  <w:r>
                    <w:rPr>
                      <w:rFonts w:hint="eastAsia" w:cs="Times New Roman"/>
                      <w:color w:val="auto"/>
                      <w:sz w:val="21"/>
                      <w:szCs w:val="21"/>
                      <w:highlight w:val="none"/>
                      <w:lang w:val="en-US" w:eastAsia="zh-CN" w:bidi="ar-SA"/>
                    </w:rPr>
                    <w:t>腻子粉、水性涂料</w:t>
                  </w: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精细化工类项目</w:t>
                  </w:r>
                  <w:r>
                    <w:rPr>
                      <w:rFonts w:hint="eastAsia" w:ascii="Times New Roman" w:hAnsi="Times New Roman" w:eastAsia="宋体" w:cs="Times New Roman"/>
                      <w:color w:val="auto"/>
                      <w:sz w:val="21"/>
                      <w:szCs w:val="21"/>
                      <w:highlight w:val="none"/>
                      <w:lang w:val="en-US" w:eastAsia="zh-CN" w:bidi="ar-SA"/>
                    </w:rPr>
                    <w:t>，且</w:t>
                  </w:r>
                  <w:r>
                    <w:rPr>
                      <w:rFonts w:hint="eastAsia" w:cs="Times New Roman"/>
                      <w:color w:val="auto"/>
                      <w:sz w:val="21"/>
                      <w:szCs w:val="21"/>
                      <w:highlight w:val="none"/>
                      <w:lang w:val="en-US" w:eastAsia="zh-CN" w:bidi="ar-SA"/>
                    </w:rPr>
                    <w:t>已取得</w:t>
                  </w:r>
                  <w:r>
                    <w:rPr>
                      <w:rFonts w:hint="eastAsia" w:ascii="Times New Roman" w:hAnsi="Times New Roman" w:eastAsia="宋体" w:cs="Times New Roman"/>
                      <w:color w:val="auto"/>
                      <w:sz w:val="21"/>
                      <w:szCs w:val="21"/>
                      <w:highlight w:val="none"/>
                      <w:lang w:val="en-US" w:eastAsia="zh-CN" w:bidi="ar-SA"/>
                    </w:rPr>
                    <w:t>富民工业园区管理委员同意入园，因此，本项目与白石岩—大白坡片区</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组团</w:t>
                  </w:r>
                  <w:r>
                    <w:rPr>
                      <w:rFonts w:hint="eastAsia" w:cs="Times New Roman"/>
                      <w:color w:val="auto"/>
                      <w:sz w:val="21"/>
                      <w:szCs w:val="21"/>
                      <w:highlight w:val="none"/>
                      <w:lang w:val="en-US" w:eastAsia="zh-CN" w:bidi="ar-SA"/>
                    </w:rPr>
                    <w:t>，</w:t>
                  </w:r>
                  <w:r>
                    <w:rPr>
                      <w:rFonts w:hint="eastAsia" w:ascii="Times New Roman" w:hAnsi="Times New Roman" w:eastAsia="宋体" w:cs="Times New Roman"/>
                      <w:color w:val="auto"/>
                      <w:sz w:val="21"/>
                      <w:szCs w:val="21"/>
                      <w:highlight w:val="none"/>
                      <w:lang w:val="en-US" w:eastAsia="zh-CN" w:bidi="ar-SA"/>
                    </w:rPr>
                    <w:t>产业定位不冲突，项目与园区总体规划</w:t>
                  </w:r>
                  <w:r>
                    <w:rPr>
                      <w:rFonts w:hint="eastAsia" w:cs="Times New Roman"/>
                      <w:color w:val="auto"/>
                      <w:sz w:val="21"/>
                      <w:szCs w:val="21"/>
                      <w:highlight w:val="none"/>
                      <w:lang w:val="en-US" w:eastAsia="zh-CN" w:bidi="ar-SA"/>
                    </w:rPr>
                    <w:t>相符</w:t>
                  </w:r>
                  <w:r>
                    <w:rPr>
                      <w:rFonts w:hint="eastAsia"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6D24BCD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17CE2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67ACACC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w:t>
                  </w:r>
                </w:p>
              </w:tc>
              <w:tc>
                <w:tcPr>
                  <w:tcW w:w="2683" w:type="dxa"/>
                  <w:noWrap w:val="0"/>
                  <w:vAlign w:val="center"/>
                </w:tcPr>
                <w:p w14:paraId="12AF6C5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禁止未满足区域总量控制要求的项目入园</w:t>
                  </w:r>
                </w:p>
              </w:tc>
              <w:tc>
                <w:tcPr>
                  <w:tcW w:w="3699" w:type="dxa"/>
                  <w:noWrap w:val="0"/>
                  <w:vAlign w:val="center"/>
                </w:tcPr>
                <w:p w14:paraId="51DE345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根据《</w:t>
                  </w:r>
                  <w:r>
                    <w:rPr>
                      <w:rFonts w:hint="default" w:ascii="Times New Roman" w:hAnsi="Times New Roman" w:eastAsia="宋体" w:cs="Times New Roman"/>
                      <w:color w:val="auto"/>
                      <w:sz w:val="21"/>
                      <w:szCs w:val="21"/>
                      <w:highlight w:val="none"/>
                      <w:lang w:val="en-US" w:eastAsia="zh-CN" w:bidi="ar-SA"/>
                    </w:rPr>
                    <w:t>富民工业园区总体规划修编（2015-2030）环境影响报告书</w:t>
                  </w:r>
                  <w:r>
                    <w:rPr>
                      <w:rFonts w:hint="eastAsia" w:ascii="Times New Roman" w:hAnsi="Times New Roman" w:eastAsia="宋体" w:cs="Times New Roman"/>
                      <w:color w:val="auto"/>
                      <w:sz w:val="21"/>
                      <w:szCs w:val="21"/>
                      <w:highlight w:val="none"/>
                      <w:lang w:val="en-US" w:eastAsia="zh-CN" w:bidi="ar-SA"/>
                    </w:rPr>
                    <w:t>》，区域总量控制指标为：SO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、NO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、CODcr和氨氮，本项目不涉及SO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、NO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、CODcr和氨氮的排放，项目涉及“十四五”控制指标VOCs排放，但排放量较小，且能达标排放。</w:t>
                  </w:r>
                </w:p>
              </w:tc>
              <w:tc>
                <w:tcPr>
                  <w:tcW w:w="745" w:type="dxa"/>
                  <w:noWrap w:val="0"/>
                  <w:vAlign w:val="center"/>
                </w:tcPr>
                <w:p w14:paraId="54E4D4F9">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35CC9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1550815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w:t>
                  </w:r>
                </w:p>
              </w:tc>
              <w:tc>
                <w:tcPr>
                  <w:tcW w:w="2683" w:type="dxa"/>
                  <w:noWrap w:val="0"/>
                  <w:vAlign w:val="center"/>
                </w:tcPr>
                <w:p w14:paraId="57F21A6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入园企业必须建设生产废水处理和回用设施，工业生产废水循环利用率应不低于80%。</w:t>
                  </w:r>
                </w:p>
              </w:tc>
              <w:tc>
                <w:tcPr>
                  <w:tcW w:w="3699" w:type="dxa"/>
                  <w:noWrap w:val="0"/>
                  <w:vAlign w:val="center"/>
                </w:tcPr>
                <w:p w14:paraId="3314018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w:t>
                  </w:r>
                  <w:r>
                    <w:rPr>
                      <w:rFonts w:hint="eastAsia" w:cs="Times New Roman"/>
                      <w:color w:val="auto"/>
                      <w:sz w:val="21"/>
                      <w:szCs w:val="21"/>
                      <w:highlight w:val="none"/>
                      <w:lang w:val="en-US" w:eastAsia="zh-CN" w:bidi="ar-SA"/>
                    </w:rPr>
                    <w:t>无工艺废水，</w:t>
                  </w:r>
                  <w:r>
                    <w:rPr>
                      <w:rFonts w:hint="default" w:ascii="Times New Roman" w:hAnsi="Times New Roman" w:eastAsia="宋体" w:cs="Times New Roman"/>
                      <w:color w:val="auto"/>
                      <w:sz w:val="21"/>
                      <w:szCs w:val="21"/>
                      <w:highlight w:val="none"/>
                      <w:lang w:val="en-US" w:eastAsia="zh-CN" w:bidi="ar-SA"/>
                    </w:rPr>
                    <w:t>生产废水</w:t>
                  </w:r>
                  <w:r>
                    <w:rPr>
                      <w:rFonts w:hint="eastAsia" w:cs="Times New Roman"/>
                      <w:color w:val="auto"/>
                      <w:sz w:val="21"/>
                      <w:szCs w:val="21"/>
                      <w:highlight w:val="none"/>
                      <w:lang w:val="en-US" w:eastAsia="zh-CN" w:bidi="ar-SA"/>
                    </w:rPr>
                    <w:t>经入自建污水处理站处理达《污水排入城镇下水道水质标准》（GB/T31962-2015）表1 中A 等级标准后进入园区污水管网</w:t>
                  </w:r>
                  <w:r>
                    <w:rPr>
                      <w:rFonts w:hint="default"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286B2499">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68471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4C78C1E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w:t>
                  </w:r>
                </w:p>
              </w:tc>
              <w:tc>
                <w:tcPr>
                  <w:tcW w:w="2683" w:type="dxa"/>
                  <w:noWrap w:val="0"/>
                  <w:vAlign w:val="center"/>
                </w:tcPr>
                <w:p w14:paraId="21B9A1D2">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大营-茨塘片区的大营组团不宜布局大气污染较重的工业企业，减轻工业污染对县城规划区域的影响。</w:t>
                  </w:r>
                </w:p>
              </w:tc>
              <w:tc>
                <w:tcPr>
                  <w:tcW w:w="3699" w:type="dxa"/>
                  <w:noWrap w:val="0"/>
                  <w:vAlign w:val="center"/>
                </w:tcPr>
                <w:p w14:paraId="4EBC66C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w:t>
                  </w:r>
                  <w:r>
                    <w:rPr>
                      <w:rFonts w:hint="eastAsia" w:ascii="Times New Roman" w:hAnsi="Times New Roman" w:eastAsia="宋体" w:cs="Times New Roman"/>
                      <w:color w:val="auto"/>
                      <w:sz w:val="21"/>
                      <w:szCs w:val="21"/>
                      <w:highlight w:val="none"/>
                      <w:lang w:val="en-US" w:eastAsia="zh-CN" w:bidi="ar-SA"/>
                    </w:rPr>
                    <w:t>不在</w:t>
                  </w:r>
                  <w:r>
                    <w:rPr>
                      <w:rFonts w:hint="default" w:ascii="Times New Roman" w:hAnsi="Times New Roman" w:eastAsia="宋体" w:cs="Times New Roman"/>
                      <w:color w:val="auto"/>
                      <w:sz w:val="21"/>
                      <w:szCs w:val="21"/>
                      <w:highlight w:val="none"/>
                      <w:lang w:val="en-US" w:eastAsia="zh-CN" w:bidi="ar-SA"/>
                    </w:rPr>
                    <w:t>大营-茨塘片区</w:t>
                  </w:r>
                  <w:r>
                    <w:rPr>
                      <w:rFonts w:hint="eastAsia" w:ascii="Times New Roman" w:hAnsi="Times New Roman" w:eastAsia="宋体" w:cs="Times New Roman"/>
                      <w:color w:val="auto"/>
                      <w:sz w:val="21"/>
                      <w:szCs w:val="21"/>
                      <w:highlight w:val="none"/>
                      <w:lang w:val="en-US" w:eastAsia="zh-CN" w:bidi="ar-SA"/>
                    </w:rPr>
                    <w:t>，且项目</w:t>
                  </w:r>
                  <w:r>
                    <w:rPr>
                      <w:rFonts w:hint="default" w:ascii="Times New Roman" w:hAnsi="Times New Roman" w:eastAsia="宋体" w:cs="Times New Roman"/>
                      <w:color w:val="auto"/>
                      <w:sz w:val="21"/>
                      <w:szCs w:val="21"/>
                      <w:highlight w:val="none"/>
                      <w:lang w:val="en-US" w:eastAsia="zh-CN" w:bidi="ar-SA"/>
                    </w:rPr>
                    <w:t>不属于高污染工业企业</w:t>
                  </w:r>
                </w:p>
              </w:tc>
              <w:tc>
                <w:tcPr>
                  <w:tcW w:w="745" w:type="dxa"/>
                  <w:noWrap w:val="0"/>
                  <w:vAlign w:val="center"/>
                </w:tcPr>
                <w:p w14:paraId="08F05864">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0074E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7779" w:type="dxa"/>
                  <w:gridSpan w:val="4"/>
                  <w:noWrap w:val="0"/>
                  <w:vAlign w:val="center"/>
                </w:tcPr>
                <w:p w14:paraId="43D415B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入驻项目环保要</w:t>
                  </w:r>
                  <w:r>
                    <w:rPr>
                      <w:rFonts w:hint="eastAsia" w:ascii="Times New Roman" w:hAnsi="Times New Roman" w:eastAsia="宋体" w:cs="Times New Roman"/>
                      <w:color w:val="auto"/>
                      <w:sz w:val="21"/>
                      <w:szCs w:val="21"/>
                      <w:highlight w:val="none"/>
                      <w:lang w:val="en-US" w:eastAsia="zh-CN" w:bidi="ar-SA"/>
                    </w:rPr>
                    <w:t>求</w:t>
                  </w:r>
                </w:p>
              </w:tc>
            </w:tr>
            <w:tr w14:paraId="5AAC4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56072EC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w:t>
                  </w:r>
                </w:p>
              </w:tc>
              <w:tc>
                <w:tcPr>
                  <w:tcW w:w="2683" w:type="dxa"/>
                  <w:noWrap w:val="0"/>
                  <w:vAlign w:val="center"/>
                </w:tcPr>
                <w:p w14:paraId="67E728B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项目必须实现达标排放，同时满足规划区总量控制要求</w:t>
                  </w:r>
                </w:p>
              </w:tc>
              <w:tc>
                <w:tcPr>
                  <w:tcW w:w="3699" w:type="dxa"/>
                  <w:noWrap w:val="0"/>
                  <w:vAlign w:val="center"/>
                </w:tcPr>
                <w:p w14:paraId="26D3AAB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根据工程分析，本项目可实现达标排放</w:t>
                  </w:r>
                  <w:r>
                    <w:rPr>
                      <w:rFonts w:hint="eastAsia" w:ascii="Times New Roman" w:hAnsi="Times New Roman" w:eastAsia="宋体" w:cs="Times New Roman"/>
                      <w:color w:val="auto"/>
                      <w:sz w:val="21"/>
                      <w:szCs w:val="21"/>
                      <w:highlight w:val="none"/>
                      <w:lang w:val="en-US" w:eastAsia="zh-CN" w:bidi="ar-SA"/>
                    </w:rPr>
                    <w:t>，根据《</w:t>
                  </w:r>
                  <w:r>
                    <w:rPr>
                      <w:rFonts w:hint="default" w:ascii="Times New Roman" w:hAnsi="Times New Roman" w:eastAsia="宋体" w:cs="Times New Roman"/>
                      <w:color w:val="auto"/>
                      <w:sz w:val="21"/>
                      <w:szCs w:val="21"/>
                      <w:highlight w:val="none"/>
                      <w:lang w:val="en-US" w:eastAsia="zh-CN" w:bidi="ar-SA"/>
                    </w:rPr>
                    <w:t>富民工业园区总体规划修编（2015-2030）环境影响报告书</w:t>
                  </w:r>
                  <w:r>
                    <w:rPr>
                      <w:rFonts w:hint="eastAsia" w:ascii="Times New Roman" w:hAnsi="Times New Roman" w:eastAsia="宋体" w:cs="Times New Roman"/>
                      <w:color w:val="auto"/>
                      <w:sz w:val="21"/>
                      <w:szCs w:val="21"/>
                      <w:highlight w:val="none"/>
                      <w:lang w:val="en-US" w:eastAsia="zh-CN" w:bidi="ar-SA"/>
                    </w:rPr>
                    <w:t>》，区域总量控制指标为：SO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、NO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、CODcr和氨氮，本项目不涉及SO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、NO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、CODcr和氨氮的排放，项目涉及“十四五”控制指标VOCs排放，但排放量较小，且能达标排放</w:t>
                  </w:r>
                </w:p>
              </w:tc>
              <w:tc>
                <w:tcPr>
                  <w:tcW w:w="745" w:type="dxa"/>
                  <w:noWrap w:val="0"/>
                  <w:vAlign w:val="center"/>
                </w:tcPr>
                <w:p w14:paraId="3B21506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45C3D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39E77ED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w:t>
                  </w:r>
                </w:p>
              </w:tc>
              <w:tc>
                <w:tcPr>
                  <w:tcW w:w="2683" w:type="dxa"/>
                  <w:noWrap w:val="0"/>
                  <w:vAlign w:val="center"/>
                </w:tcPr>
                <w:p w14:paraId="469462E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入驻项目应采取满足</w:t>
                  </w:r>
                  <w:r>
                    <w:rPr>
                      <w:rFonts w:hint="eastAsia" w:ascii="Times New Roman" w:hAnsi="Times New Roman" w:eastAsia="宋体" w:cs="Times New Roman"/>
                      <w:color w:val="auto"/>
                      <w:sz w:val="21"/>
                      <w:szCs w:val="21"/>
                      <w:highlight w:val="none"/>
                      <w:lang w:val="en-US" w:eastAsia="zh-CN" w:bidi="ar-SA"/>
                    </w:rPr>
                    <w:t>达</w:t>
                  </w:r>
                  <w:r>
                    <w:rPr>
                      <w:rFonts w:hint="default" w:ascii="Times New Roman" w:hAnsi="Times New Roman" w:eastAsia="宋体" w:cs="Times New Roman"/>
                      <w:color w:val="auto"/>
                      <w:sz w:val="21"/>
                      <w:szCs w:val="21"/>
                      <w:highlight w:val="none"/>
                      <w:lang w:val="en-US" w:eastAsia="zh-CN" w:bidi="ar-SA"/>
                    </w:rPr>
                    <w:t>标排放要求、运行稳定、技术先进、经济效益好的污染治理设施、措施；</w:t>
                  </w:r>
                </w:p>
              </w:tc>
              <w:tc>
                <w:tcPr>
                  <w:tcW w:w="3699" w:type="dxa"/>
                  <w:noWrap w:val="0"/>
                  <w:vAlign w:val="center"/>
                </w:tcPr>
                <w:p w14:paraId="7C8077F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本项目大气污染物主要为颗粒物，</w:t>
                  </w:r>
                  <w:r>
                    <w:rPr>
                      <w:rFonts w:hint="eastAsia" w:cs="Times New Roman"/>
                      <w:color w:val="auto"/>
                      <w:sz w:val="21"/>
                      <w:szCs w:val="21"/>
                      <w:highlight w:val="none"/>
                      <w:lang w:val="en-US" w:eastAsia="zh-CN" w:bidi="ar-SA"/>
                    </w:rPr>
                    <w:t>非甲烷总烃等、氨，</w:t>
                  </w:r>
                  <w:r>
                    <w:rPr>
                      <w:rFonts w:hint="eastAsia" w:ascii="Times New Roman" w:hAnsi="Times New Roman" w:eastAsia="宋体" w:cs="Times New Roman"/>
                      <w:color w:val="auto"/>
                      <w:sz w:val="21"/>
                      <w:szCs w:val="21"/>
                      <w:highlight w:val="none"/>
                      <w:lang w:val="en-US" w:eastAsia="zh-CN" w:bidi="ar-SA"/>
                    </w:rPr>
                    <w:t>项目生产期间</w:t>
                  </w:r>
                  <w:r>
                    <w:rPr>
                      <w:rFonts w:hint="eastAsia" w:cs="Times New Roman"/>
                      <w:color w:val="auto"/>
                      <w:sz w:val="21"/>
                      <w:szCs w:val="21"/>
                      <w:highlight w:val="none"/>
                      <w:lang w:val="en-US" w:eastAsia="zh-CN" w:bidi="ar-SA"/>
                    </w:rPr>
                    <w:t>投料产生的粉尘</w:t>
                  </w:r>
                  <w:r>
                    <w:rPr>
                      <w:rFonts w:hint="eastAsia" w:ascii="Times New Roman" w:hAnsi="Times New Roman" w:eastAsia="宋体" w:cs="Times New Roman"/>
                      <w:color w:val="auto"/>
                      <w:sz w:val="21"/>
                      <w:szCs w:val="21"/>
                      <w:highlight w:val="none"/>
                      <w:lang w:val="en-US" w:eastAsia="zh-CN" w:bidi="ar-SA"/>
                    </w:rPr>
                    <w:t>经布袋除尘处理后可达标排放，</w:t>
                  </w:r>
                  <w:r>
                    <w:rPr>
                      <w:rFonts w:hint="eastAsia" w:cs="Times New Roman"/>
                      <w:color w:val="auto"/>
                      <w:sz w:val="21"/>
                      <w:szCs w:val="21"/>
                      <w:highlight w:val="none"/>
                      <w:lang w:val="en-US" w:eastAsia="zh-CN" w:bidi="ar-SA"/>
                    </w:rPr>
                    <w:t>水性涂料生产产生的非甲烷总烃采用UV光解+活性炭吸附装置处理后达标排放，</w:t>
                  </w:r>
                  <w:r>
                    <w:rPr>
                      <w:rFonts w:hint="eastAsia" w:ascii="Times New Roman" w:hAnsi="Times New Roman" w:eastAsia="宋体" w:cs="Times New Roman"/>
                      <w:color w:val="auto"/>
                      <w:sz w:val="21"/>
                      <w:szCs w:val="21"/>
                      <w:highlight w:val="none"/>
                      <w:lang w:val="en-US" w:eastAsia="zh-CN" w:bidi="ar-SA"/>
                    </w:rPr>
                    <w:t>对环境影响可接受；</w:t>
                  </w:r>
                  <w:r>
                    <w:rPr>
                      <w:rFonts w:hint="default" w:ascii="Times New Roman" w:hAnsi="Times New Roman" w:eastAsia="宋体" w:cs="Times New Roman"/>
                      <w:color w:val="auto"/>
                      <w:sz w:val="21"/>
                      <w:szCs w:val="21"/>
                      <w:highlight w:val="none"/>
                      <w:lang w:val="en-US" w:eastAsia="zh-CN" w:bidi="ar-SA"/>
                    </w:rPr>
                    <w:t>项目生产废水</w:t>
                  </w:r>
                  <w:r>
                    <w:rPr>
                      <w:rFonts w:hint="eastAsia" w:ascii="Times New Roman" w:hAnsi="Times New Roman" w:eastAsia="宋体" w:cs="Times New Roman"/>
                      <w:color w:val="auto"/>
                      <w:sz w:val="21"/>
                      <w:szCs w:val="21"/>
                      <w:highlight w:val="none"/>
                      <w:lang w:val="en-US" w:eastAsia="zh-CN" w:bidi="ar-SA"/>
                    </w:rPr>
                    <w:t>及</w:t>
                  </w:r>
                  <w:r>
                    <w:rPr>
                      <w:rFonts w:hint="default" w:ascii="Times New Roman" w:hAnsi="Times New Roman" w:eastAsia="宋体" w:cs="Times New Roman"/>
                      <w:color w:val="auto"/>
                      <w:sz w:val="21"/>
                      <w:szCs w:val="21"/>
                      <w:highlight w:val="none"/>
                      <w:lang w:val="en-US" w:eastAsia="zh-CN" w:bidi="ar-SA"/>
                    </w:rPr>
                    <w:t>生活污水</w:t>
                  </w:r>
                  <w:r>
                    <w:rPr>
                      <w:rFonts w:hint="eastAsia" w:cs="Times New Roman"/>
                      <w:color w:val="auto"/>
                      <w:sz w:val="21"/>
                      <w:szCs w:val="21"/>
                      <w:highlight w:val="none"/>
                      <w:lang w:val="en-US" w:eastAsia="zh-CN" w:bidi="ar-SA"/>
                    </w:rPr>
                    <w:t>经自建污水处理站处理后进入园区污水管网</w:t>
                  </w:r>
                  <w:r>
                    <w:rPr>
                      <w:rFonts w:hint="default" w:ascii="Times New Roman" w:hAnsi="Times New Roman" w:eastAsia="宋体" w:cs="Times New Roman"/>
                      <w:color w:val="auto"/>
                      <w:sz w:val="21"/>
                      <w:szCs w:val="21"/>
                      <w:highlight w:val="none"/>
                      <w:lang w:val="en-US" w:eastAsia="zh-CN" w:bidi="ar-SA"/>
                    </w:rPr>
                    <w:t>。废水、废气、噪声均属于满足达标排放要求、运行稳定、技术先进、经济效益好的污染治理设施、措施。</w:t>
                  </w:r>
                </w:p>
              </w:tc>
              <w:tc>
                <w:tcPr>
                  <w:tcW w:w="745" w:type="dxa"/>
                  <w:noWrap w:val="0"/>
                  <w:vAlign w:val="center"/>
                </w:tcPr>
                <w:p w14:paraId="4168844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773D0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73AF4A8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w:t>
                  </w:r>
                </w:p>
              </w:tc>
              <w:tc>
                <w:tcPr>
                  <w:tcW w:w="2683" w:type="dxa"/>
                  <w:noWrap w:val="0"/>
                  <w:vAlign w:val="center"/>
                </w:tcPr>
                <w:p w14:paraId="684AA3B3">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对排放相同特征污染物的企业，应鼓励企业之间设联合污染治理措施，以降低污染治理成本；</w:t>
                  </w:r>
                </w:p>
              </w:tc>
              <w:tc>
                <w:tcPr>
                  <w:tcW w:w="3699" w:type="dxa"/>
                  <w:noWrap w:val="0"/>
                  <w:vAlign w:val="center"/>
                </w:tcPr>
                <w:p w14:paraId="1CF7095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本项目与项目周边</w:t>
                  </w:r>
                  <w:r>
                    <w:rPr>
                      <w:rFonts w:hint="default" w:ascii="Times New Roman" w:hAnsi="Times New Roman" w:eastAsia="宋体" w:cs="Times New Roman"/>
                      <w:color w:val="auto"/>
                      <w:sz w:val="21"/>
                      <w:szCs w:val="21"/>
                      <w:highlight w:val="none"/>
                      <w:lang w:val="en-US" w:eastAsia="zh-CN" w:bidi="ar-SA"/>
                    </w:rPr>
                    <w:t>公司</w:t>
                  </w:r>
                  <w:r>
                    <w:rPr>
                      <w:rFonts w:hint="eastAsia" w:ascii="Times New Roman" w:hAnsi="Times New Roman" w:eastAsia="宋体" w:cs="Times New Roman"/>
                      <w:color w:val="auto"/>
                      <w:sz w:val="21"/>
                      <w:szCs w:val="21"/>
                      <w:highlight w:val="none"/>
                      <w:lang w:val="en-US" w:eastAsia="zh-CN" w:bidi="ar-SA"/>
                    </w:rPr>
                    <w:t>之间不属于同类型企业，不具备</w:t>
                  </w:r>
                  <w:r>
                    <w:rPr>
                      <w:rFonts w:hint="default" w:ascii="Times New Roman" w:hAnsi="Times New Roman" w:eastAsia="宋体" w:cs="Times New Roman"/>
                      <w:color w:val="auto"/>
                      <w:sz w:val="21"/>
                      <w:szCs w:val="21"/>
                      <w:highlight w:val="none"/>
                      <w:lang w:val="en-US" w:eastAsia="zh-CN" w:bidi="ar-SA"/>
                    </w:rPr>
                    <w:t>建设联合污染治理措施</w:t>
                  </w:r>
                  <w:r>
                    <w:rPr>
                      <w:rFonts w:hint="eastAsia" w:ascii="Times New Roman" w:hAnsi="Times New Roman" w:eastAsia="宋体" w:cs="Times New Roman"/>
                      <w:color w:val="auto"/>
                      <w:sz w:val="21"/>
                      <w:szCs w:val="21"/>
                      <w:highlight w:val="none"/>
                      <w:lang w:val="en-US" w:eastAsia="zh-CN" w:bidi="ar-SA"/>
                    </w:rPr>
                    <w:t>的条件</w:t>
                  </w:r>
                </w:p>
              </w:tc>
              <w:tc>
                <w:tcPr>
                  <w:tcW w:w="745" w:type="dxa"/>
                  <w:noWrap w:val="0"/>
                  <w:vAlign w:val="center"/>
                </w:tcPr>
                <w:p w14:paraId="70BDB08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799EB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4841E7A4">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w:t>
                  </w:r>
                </w:p>
              </w:tc>
              <w:tc>
                <w:tcPr>
                  <w:tcW w:w="2683" w:type="dxa"/>
                  <w:noWrap w:val="0"/>
                  <w:vAlign w:val="center"/>
                </w:tcPr>
                <w:p w14:paraId="2D4B894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入驻企业产生的各种工业固体</w:t>
                  </w:r>
                  <w:r>
                    <w:rPr>
                      <w:rFonts w:hint="default" w:ascii="Times New Roman" w:hAnsi="Times New Roman" w:eastAsia="宋体" w:cs="Times New Roman"/>
                      <w:color w:val="auto"/>
                      <w:sz w:val="21"/>
                      <w:szCs w:val="21"/>
                      <w:highlight w:val="none"/>
                      <w:lang w:val="en-US" w:eastAsia="zh-CN" w:bidi="ar-SA"/>
                    </w:rPr>
                    <w:cr/>
                  </w:r>
                  <w:r>
                    <w:rPr>
                      <w:rFonts w:hint="default" w:ascii="Times New Roman" w:hAnsi="Times New Roman" w:eastAsia="宋体" w:cs="Times New Roman"/>
                      <w:color w:val="auto"/>
                      <w:sz w:val="21"/>
                      <w:szCs w:val="21"/>
                      <w:highlight w:val="none"/>
                      <w:lang w:val="en-US" w:eastAsia="zh-CN" w:bidi="ar-SA"/>
                    </w:rPr>
                    <w:t>弃物，应满足“减量化、资源化、无害化”要求，实现废物的零排放；</w:t>
                  </w:r>
                </w:p>
              </w:tc>
              <w:tc>
                <w:tcPr>
                  <w:tcW w:w="3699" w:type="dxa"/>
                  <w:noWrap w:val="0"/>
                  <w:vAlign w:val="center"/>
                </w:tcPr>
                <w:p w14:paraId="10D92D1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项目固体废物做到有效处置，处置率100%。</w:t>
                  </w:r>
                </w:p>
              </w:tc>
              <w:tc>
                <w:tcPr>
                  <w:tcW w:w="745" w:type="dxa"/>
                  <w:noWrap w:val="0"/>
                  <w:vAlign w:val="center"/>
                </w:tcPr>
                <w:p w14:paraId="762D28B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5CBEC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52FA6C7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w:t>
                  </w:r>
                </w:p>
              </w:tc>
              <w:tc>
                <w:tcPr>
                  <w:tcW w:w="2683" w:type="dxa"/>
                  <w:noWrap w:val="0"/>
                  <w:vAlign w:val="center"/>
                </w:tcPr>
                <w:p w14:paraId="782D92E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限制发展高</w:t>
                  </w:r>
                  <w:r>
                    <w:rPr>
                      <w:rFonts w:hint="eastAsia" w:ascii="Times New Roman" w:hAnsi="Times New Roman" w:eastAsia="宋体" w:cs="Times New Roman"/>
                      <w:color w:val="auto"/>
                      <w:sz w:val="21"/>
                      <w:szCs w:val="21"/>
                      <w:highlight w:val="none"/>
                      <w:lang w:val="en-US" w:eastAsia="zh-CN" w:bidi="ar-SA"/>
                    </w:rPr>
                    <w:t>耗</w:t>
                  </w:r>
                  <w:r>
                    <w:rPr>
                      <w:rFonts w:hint="default" w:ascii="Times New Roman" w:hAnsi="Times New Roman" w:eastAsia="宋体" w:cs="Times New Roman"/>
                      <w:color w:val="auto"/>
                      <w:sz w:val="21"/>
                      <w:szCs w:val="21"/>
                      <w:highlight w:val="none"/>
                      <w:lang w:val="en-US" w:eastAsia="zh-CN" w:bidi="ar-SA"/>
                    </w:rPr>
                    <w:t>水、高排水产业；</w:t>
                  </w:r>
                </w:p>
              </w:tc>
              <w:tc>
                <w:tcPr>
                  <w:tcW w:w="3699" w:type="dxa"/>
                  <w:noWrap w:val="0"/>
                  <w:vAlign w:val="center"/>
                </w:tcPr>
                <w:p w14:paraId="0805E6A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本项目不属于高</w:t>
                  </w:r>
                  <w:r>
                    <w:rPr>
                      <w:rFonts w:hint="eastAsia" w:ascii="Times New Roman" w:hAnsi="Times New Roman" w:eastAsia="宋体" w:cs="Times New Roman"/>
                      <w:color w:val="auto"/>
                      <w:sz w:val="21"/>
                      <w:szCs w:val="21"/>
                      <w:highlight w:val="none"/>
                      <w:lang w:val="en-US" w:eastAsia="zh-CN" w:bidi="ar-SA"/>
                    </w:rPr>
                    <w:t>耗</w:t>
                  </w:r>
                  <w:r>
                    <w:rPr>
                      <w:rFonts w:hint="default" w:ascii="Times New Roman" w:hAnsi="Times New Roman" w:eastAsia="宋体" w:cs="Times New Roman"/>
                      <w:color w:val="auto"/>
                      <w:sz w:val="21"/>
                      <w:szCs w:val="21"/>
                      <w:highlight w:val="none"/>
                      <w:lang w:val="en-US" w:eastAsia="zh-CN" w:bidi="ar-SA"/>
                    </w:rPr>
                    <w:t>水、高排水企业</w:t>
                  </w:r>
                </w:p>
              </w:tc>
              <w:tc>
                <w:tcPr>
                  <w:tcW w:w="745" w:type="dxa"/>
                  <w:noWrap w:val="0"/>
                  <w:vAlign w:val="center"/>
                </w:tcPr>
                <w:p w14:paraId="772E90B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10245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3B4B728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w:t>
                  </w:r>
                </w:p>
              </w:tc>
              <w:tc>
                <w:tcPr>
                  <w:tcW w:w="2683" w:type="dxa"/>
                  <w:noWrap w:val="0"/>
                  <w:vAlign w:val="center"/>
                </w:tcPr>
                <w:p w14:paraId="381FBE1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应鼓励各入驻企业积极参与和本企业有关的环保技术的研发，并尽快形成生产力</w:t>
                  </w:r>
                </w:p>
              </w:tc>
              <w:tc>
                <w:tcPr>
                  <w:tcW w:w="3699" w:type="dxa"/>
                  <w:noWrap w:val="0"/>
                  <w:vAlign w:val="center"/>
                </w:tcPr>
                <w:p w14:paraId="4130EBF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0A5E797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不冲突</w:t>
                  </w:r>
                </w:p>
              </w:tc>
            </w:tr>
            <w:tr w14:paraId="17B75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049D5DA2">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w:t>
                  </w:r>
                </w:p>
              </w:tc>
              <w:tc>
                <w:tcPr>
                  <w:tcW w:w="2683" w:type="dxa"/>
                  <w:noWrap w:val="0"/>
                  <w:vAlign w:val="center"/>
                </w:tcPr>
                <w:p w14:paraId="7AE3AE8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企业选址应符合《昆明市河道管理条例》的相关要求；</w:t>
                  </w:r>
                </w:p>
              </w:tc>
              <w:tc>
                <w:tcPr>
                  <w:tcW w:w="3699" w:type="dxa"/>
                  <w:noWrap w:val="0"/>
                  <w:vAlign w:val="center"/>
                </w:tcPr>
                <w:p w14:paraId="6E26D31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根据《昆明市河道管理条例（2016年修订版）》，无堤防的河道管理范围为水域、沙洲、湿地、滩地及河口两侧不小于10m距离、河道管理范围以外10-100m范围为河道的保护范围。本项目距离最近河道超过</w:t>
                  </w:r>
                  <w:r>
                    <w:rPr>
                      <w:rFonts w:hint="eastAsia" w:cs="Times New Roman"/>
                      <w:color w:val="auto"/>
                      <w:sz w:val="21"/>
                      <w:szCs w:val="21"/>
                      <w:highlight w:val="none"/>
                      <w:lang w:val="en-US" w:eastAsia="zh-CN" w:bidi="ar-SA"/>
                    </w:rPr>
                    <w:t>1.3k</w:t>
                  </w:r>
                  <w:r>
                    <w:rPr>
                      <w:rFonts w:hint="default" w:ascii="Times New Roman" w:hAnsi="Times New Roman" w:eastAsia="宋体" w:cs="Times New Roman"/>
                      <w:color w:val="auto"/>
                      <w:sz w:val="21"/>
                      <w:szCs w:val="21"/>
                      <w:highlight w:val="none"/>
                      <w:lang w:val="en-US" w:eastAsia="zh-CN" w:bidi="ar-SA"/>
                    </w:rPr>
                    <w:t>m</w:t>
                  </w:r>
                  <w:r>
                    <w:rPr>
                      <w:rFonts w:hint="eastAsia" w:ascii="Times New Roman" w:hAnsi="Times New Roman" w:eastAsia="宋体" w:cs="Times New Roman"/>
                      <w:color w:val="auto"/>
                      <w:sz w:val="21"/>
                      <w:szCs w:val="21"/>
                      <w:highlight w:val="none"/>
                      <w:lang w:val="en-US" w:eastAsia="zh-CN" w:bidi="ar-SA"/>
                    </w:rPr>
                    <w:t>（螳螂川），不在河道管理范围内</w:t>
                  </w:r>
                  <w:r>
                    <w:rPr>
                      <w:rFonts w:hint="default"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6D7B6F1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符合</w:t>
                  </w:r>
                </w:p>
              </w:tc>
            </w:tr>
            <w:tr w14:paraId="1BB55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7BBE17C9">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8</w:t>
                  </w:r>
                </w:p>
              </w:tc>
              <w:tc>
                <w:tcPr>
                  <w:tcW w:w="2683" w:type="dxa"/>
                  <w:noWrap w:val="0"/>
                  <w:vAlign w:val="center"/>
                </w:tcPr>
                <w:p w14:paraId="2800ECD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入驻企业清洁生产水平应达到国内先进水平以上</w:t>
                  </w:r>
                </w:p>
              </w:tc>
              <w:tc>
                <w:tcPr>
                  <w:tcW w:w="3699" w:type="dxa"/>
                  <w:noWrap w:val="0"/>
                  <w:vAlign w:val="center"/>
                </w:tcPr>
                <w:p w14:paraId="2B0AF10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项目能耗较低，对所在地完成能源消耗总量和强度目标、煤炭消费减量替代目标的影响等方面的分析评价</w:t>
                  </w:r>
                  <w:r>
                    <w:rPr>
                      <w:rFonts w:hint="eastAsia" w:ascii="Times New Roman" w:hAnsi="Times New Roman" w:eastAsia="宋体" w:cs="Times New Roman"/>
                      <w:color w:val="auto"/>
                      <w:sz w:val="21"/>
                      <w:szCs w:val="21"/>
                      <w:highlight w:val="none"/>
                      <w:lang w:val="en-US" w:eastAsia="zh-CN" w:bidi="ar-SA"/>
                    </w:rPr>
                    <w:t>，能满足</w:t>
                  </w:r>
                  <w:r>
                    <w:rPr>
                      <w:rFonts w:hint="default" w:ascii="Times New Roman" w:hAnsi="Times New Roman" w:eastAsia="宋体" w:cs="Times New Roman"/>
                      <w:color w:val="auto"/>
                      <w:sz w:val="21"/>
                      <w:szCs w:val="21"/>
                      <w:highlight w:val="none"/>
                      <w:lang w:val="en-US" w:eastAsia="zh-CN" w:bidi="ar-SA"/>
                    </w:rPr>
                    <w:t>国内先进水平。</w:t>
                  </w:r>
                </w:p>
              </w:tc>
              <w:tc>
                <w:tcPr>
                  <w:tcW w:w="745" w:type="dxa"/>
                  <w:noWrap w:val="0"/>
                  <w:vAlign w:val="center"/>
                </w:tcPr>
                <w:p w14:paraId="2DFF61F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48FD7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45383202">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9</w:t>
                  </w:r>
                </w:p>
              </w:tc>
              <w:tc>
                <w:tcPr>
                  <w:tcW w:w="2683" w:type="dxa"/>
                  <w:noWrap w:val="0"/>
                  <w:vAlign w:val="center"/>
                </w:tcPr>
                <w:p w14:paraId="75A1625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入驻企业与居民点的距离应满足大气防护距离要求。</w:t>
                  </w:r>
                </w:p>
              </w:tc>
              <w:tc>
                <w:tcPr>
                  <w:tcW w:w="3699" w:type="dxa"/>
                  <w:noWrap w:val="0"/>
                  <w:vAlign w:val="center"/>
                </w:tcPr>
                <w:p w14:paraId="6B2BED7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本项目无需设置大气防护距离且最近居民点距离项目</w:t>
                  </w:r>
                  <w:r>
                    <w:rPr>
                      <w:rFonts w:hint="eastAsia" w:cs="Times New Roman"/>
                      <w:color w:val="auto"/>
                      <w:sz w:val="21"/>
                      <w:szCs w:val="21"/>
                      <w:highlight w:val="none"/>
                      <w:lang w:val="en-US" w:eastAsia="zh-CN" w:bidi="ar-SA"/>
                    </w:rPr>
                    <w:t>130</w:t>
                  </w:r>
                  <w:r>
                    <w:rPr>
                      <w:rFonts w:hint="default" w:ascii="Times New Roman" w:hAnsi="Times New Roman" w:eastAsia="宋体" w:cs="Times New Roman"/>
                      <w:color w:val="auto"/>
                      <w:sz w:val="21"/>
                      <w:szCs w:val="21"/>
                      <w:highlight w:val="none"/>
                      <w:lang w:val="en-US" w:eastAsia="zh-CN" w:bidi="ar-SA"/>
                    </w:rPr>
                    <w:t>m</w:t>
                  </w: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哨箐村散户</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3CDB2A9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6FAC2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39938194">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10</w:t>
                  </w:r>
                </w:p>
              </w:tc>
              <w:tc>
                <w:tcPr>
                  <w:tcW w:w="2683" w:type="dxa"/>
                  <w:noWrap w:val="0"/>
                  <w:vAlign w:val="center"/>
                </w:tcPr>
                <w:p w14:paraId="103E066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入驻企业废水污染物含重金属、有毒、有害和难于生物降解的，需</w:t>
                  </w:r>
                  <w:r>
                    <w:rPr>
                      <w:rFonts w:hint="default" w:ascii="Times New Roman" w:hAnsi="Times New Roman" w:eastAsia="宋体" w:cs="Times New Roman"/>
                      <w:color w:val="auto"/>
                      <w:sz w:val="21"/>
                      <w:szCs w:val="21"/>
                      <w:highlight w:val="none"/>
                      <w:lang w:val="en-US" w:eastAsia="zh-CN" w:bidi="ar-SA"/>
                    </w:rPr>
                    <w:cr/>
                  </w:r>
                  <w:r>
                    <w:rPr>
                      <w:rFonts w:hint="default" w:ascii="Times New Roman" w:hAnsi="Times New Roman" w:eastAsia="宋体" w:cs="Times New Roman"/>
                      <w:color w:val="auto"/>
                      <w:sz w:val="21"/>
                      <w:szCs w:val="21"/>
                      <w:highlight w:val="none"/>
                      <w:lang w:val="en-US" w:eastAsia="zh-CN" w:bidi="ar-SA"/>
                    </w:rPr>
                    <w:t>取严格的污水处理措施。</w:t>
                  </w:r>
                </w:p>
              </w:tc>
              <w:tc>
                <w:tcPr>
                  <w:tcW w:w="3699" w:type="dxa"/>
                  <w:noWrap w:val="0"/>
                  <w:vAlign w:val="center"/>
                </w:tcPr>
                <w:p w14:paraId="5261252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本项目废水不含重金属、有毒、有害和难于生物</w:t>
                  </w:r>
                  <w:r>
                    <w:rPr>
                      <w:rFonts w:hint="eastAsia" w:ascii="Times New Roman" w:hAnsi="Times New Roman" w:eastAsia="宋体" w:cs="Times New Roman"/>
                      <w:color w:val="auto"/>
                      <w:sz w:val="21"/>
                      <w:szCs w:val="21"/>
                      <w:highlight w:val="none"/>
                      <w:lang w:val="en-US" w:eastAsia="zh-CN" w:bidi="ar-SA"/>
                    </w:rPr>
                    <w:t>降</w:t>
                  </w:r>
                  <w:r>
                    <w:rPr>
                      <w:rFonts w:hint="default" w:ascii="Times New Roman" w:hAnsi="Times New Roman" w:eastAsia="宋体" w:cs="Times New Roman"/>
                      <w:color w:val="auto"/>
                      <w:sz w:val="21"/>
                      <w:szCs w:val="21"/>
                      <w:highlight w:val="none"/>
                      <w:lang w:val="en-US" w:eastAsia="zh-CN" w:bidi="ar-SA"/>
                    </w:rPr>
                    <w:t>解的污染物</w:t>
                  </w:r>
                </w:p>
              </w:tc>
              <w:tc>
                <w:tcPr>
                  <w:tcW w:w="745" w:type="dxa"/>
                  <w:noWrap w:val="0"/>
                  <w:vAlign w:val="center"/>
                </w:tcPr>
                <w:p w14:paraId="4787C95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符合</w:t>
                  </w:r>
                </w:p>
              </w:tc>
            </w:tr>
            <w:tr w14:paraId="77F55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7779" w:type="dxa"/>
                  <w:gridSpan w:val="4"/>
                  <w:noWrap w:val="0"/>
                  <w:vAlign w:val="center"/>
                </w:tcPr>
                <w:p w14:paraId="2DCD871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禁止入园要求</w:t>
                  </w:r>
                </w:p>
              </w:tc>
            </w:tr>
            <w:tr w14:paraId="25D67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55A38839">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w:t>
                  </w:r>
                </w:p>
              </w:tc>
              <w:tc>
                <w:tcPr>
                  <w:tcW w:w="2683" w:type="dxa"/>
                  <w:noWrap w:val="0"/>
                  <w:vAlign w:val="center"/>
                </w:tcPr>
                <w:p w14:paraId="0AE3A33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禁止国家及云南省产业政策中明令淘汰或限制的产业入园。</w:t>
                  </w:r>
                </w:p>
              </w:tc>
              <w:tc>
                <w:tcPr>
                  <w:tcW w:w="3699" w:type="dxa"/>
                  <w:noWrap w:val="0"/>
                  <w:vAlign w:val="center"/>
                </w:tcPr>
                <w:p w14:paraId="0AA9206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不属于</w:t>
                  </w:r>
                  <w:r>
                    <w:rPr>
                      <w:rFonts w:hint="default" w:ascii="Times New Roman" w:hAnsi="Times New Roman" w:eastAsia="宋体" w:cs="Times New Roman"/>
                      <w:color w:val="auto"/>
                      <w:sz w:val="21"/>
                      <w:szCs w:val="21"/>
                      <w:highlight w:val="none"/>
                      <w:lang w:val="en-US" w:eastAsia="zh-CN" w:bidi="ar-SA"/>
                    </w:rPr>
                    <w:t>国家及云南省产业政策中明令淘汰或限制</w:t>
                  </w:r>
                </w:p>
              </w:tc>
              <w:tc>
                <w:tcPr>
                  <w:tcW w:w="745" w:type="dxa"/>
                  <w:noWrap w:val="0"/>
                  <w:vAlign w:val="center"/>
                </w:tcPr>
                <w:p w14:paraId="44DC03E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071DE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7F039E3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w:t>
                  </w:r>
                </w:p>
              </w:tc>
              <w:tc>
                <w:tcPr>
                  <w:tcW w:w="2683" w:type="dxa"/>
                  <w:noWrap w:val="0"/>
                  <w:vAlign w:val="center"/>
                </w:tcPr>
                <w:p w14:paraId="08BD246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严格控制不符合《规划》中规划产业的项目入园。</w:t>
                  </w:r>
                </w:p>
              </w:tc>
              <w:tc>
                <w:tcPr>
                  <w:tcW w:w="3699" w:type="dxa"/>
                  <w:noWrap w:val="0"/>
                  <w:vAlign w:val="center"/>
                </w:tcPr>
                <w:p w14:paraId="4C86FE03">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本项目位于富民工业园区白石岩—大白坡片区</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组团，重点发展装备制造业、辅助发展精细化工，</w:t>
                  </w:r>
                  <w:r>
                    <w:rPr>
                      <w:rFonts w:hint="eastAsia" w:cs="Times New Roman"/>
                      <w:color w:val="auto"/>
                      <w:sz w:val="21"/>
                      <w:szCs w:val="21"/>
                      <w:highlight w:val="none"/>
                      <w:lang w:val="en-US" w:eastAsia="zh-CN" w:bidi="ar-SA"/>
                    </w:rPr>
                    <w:t>本项目属于精细化工，</w:t>
                  </w:r>
                  <w:r>
                    <w:rPr>
                      <w:rFonts w:hint="eastAsia" w:ascii="Times New Roman" w:hAnsi="Times New Roman" w:eastAsia="宋体" w:cs="Times New Roman"/>
                      <w:color w:val="auto"/>
                      <w:sz w:val="21"/>
                      <w:szCs w:val="21"/>
                      <w:highlight w:val="none"/>
                      <w:lang w:val="en-US" w:eastAsia="zh-CN" w:bidi="ar-SA"/>
                    </w:rPr>
                    <w:t>且富民工业园区管理委员会</w:t>
                  </w:r>
                  <w:r>
                    <w:rPr>
                      <w:rFonts w:hint="eastAsia" w:cs="Times New Roman"/>
                      <w:color w:val="auto"/>
                      <w:sz w:val="21"/>
                      <w:szCs w:val="21"/>
                      <w:highlight w:val="none"/>
                      <w:lang w:val="en-US" w:eastAsia="zh-CN" w:bidi="ar-SA"/>
                    </w:rPr>
                    <w:t>同意项目入园。</w:t>
                  </w:r>
                  <w:r>
                    <w:rPr>
                      <w:rFonts w:hint="eastAsia" w:ascii="Times New Roman" w:hAnsi="Times New Roman" w:eastAsia="宋体" w:cs="Times New Roman"/>
                      <w:color w:val="auto"/>
                      <w:sz w:val="21"/>
                      <w:szCs w:val="21"/>
                      <w:highlight w:val="none"/>
                      <w:lang w:val="en-US" w:eastAsia="zh-CN" w:bidi="ar-SA"/>
                    </w:rPr>
                    <w:t>因此，本项目与白石岩—大白坡片区</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产业定位不冲突，项目与园区总体规划不冲突。</w:t>
                  </w:r>
                </w:p>
              </w:tc>
              <w:tc>
                <w:tcPr>
                  <w:tcW w:w="745" w:type="dxa"/>
                  <w:noWrap w:val="0"/>
                  <w:vAlign w:val="center"/>
                </w:tcPr>
                <w:p w14:paraId="4DCB4749">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77A04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0830682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w:t>
                  </w:r>
                </w:p>
              </w:tc>
              <w:tc>
                <w:tcPr>
                  <w:tcW w:w="2683" w:type="dxa"/>
                  <w:noWrap w:val="0"/>
                  <w:vAlign w:val="center"/>
                </w:tcPr>
                <w:p w14:paraId="546FCB6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（3）禁止未满足区域总量控制要求的项目入园。</w:t>
                  </w:r>
                </w:p>
              </w:tc>
              <w:tc>
                <w:tcPr>
                  <w:tcW w:w="3699" w:type="dxa"/>
                  <w:noWrap w:val="0"/>
                  <w:vAlign w:val="center"/>
                </w:tcPr>
                <w:p w14:paraId="14949FF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不涉及SO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、NO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、CODcr和氨氮等总量指标的排放。项目涉及“十四五”控制指标VOCs排放，但排放量较小，且能</w:t>
                  </w:r>
                  <w:r>
                    <w:rPr>
                      <w:rFonts w:hint="eastAsia" w:cs="Times New Roman"/>
                      <w:color w:val="auto"/>
                      <w:sz w:val="21"/>
                      <w:szCs w:val="21"/>
                      <w:highlight w:val="none"/>
                      <w:lang w:val="en-US" w:eastAsia="zh-CN" w:bidi="ar-SA"/>
                    </w:rPr>
                    <w:t>满足</w:t>
                  </w:r>
                  <w:r>
                    <w:rPr>
                      <w:rFonts w:hint="eastAsia" w:ascii="Times New Roman" w:hAnsi="Times New Roman" w:eastAsia="宋体" w:cs="Times New Roman"/>
                      <w:color w:val="auto"/>
                      <w:sz w:val="21"/>
                      <w:szCs w:val="21"/>
                      <w:highlight w:val="none"/>
                      <w:lang w:val="en-US" w:eastAsia="zh-CN" w:bidi="ar-SA"/>
                    </w:rPr>
                    <w:t>达标排放。</w:t>
                  </w:r>
                </w:p>
              </w:tc>
              <w:tc>
                <w:tcPr>
                  <w:tcW w:w="745" w:type="dxa"/>
                  <w:noWrap w:val="0"/>
                  <w:vAlign w:val="center"/>
                </w:tcPr>
                <w:p w14:paraId="35C3FAF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179AC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52" w:type="dxa"/>
                  <w:noWrap w:val="0"/>
                  <w:vAlign w:val="center"/>
                </w:tcPr>
                <w:p w14:paraId="1646B20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w:t>
                  </w:r>
                </w:p>
              </w:tc>
              <w:tc>
                <w:tcPr>
                  <w:tcW w:w="2683" w:type="dxa"/>
                  <w:noWrap w:val="0"/>
                  <w:vAlign w:val="center"/>
                </w:tcPr>
                <w:p w14:paraId="1F0B4C3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（4）严格控制高钛渣、钛白粉项目入驻，引进的钛产业企业要以钛产品精深加工为主的工业企业。</w:t>
                  </w:r>
                </w:p>
              </w:tc>
              <w:tc>
                <w:tcPr>
                  <w:tcW w:w="3699" w:type="dxa"/>
                  <w:noWrap w:val="0"/>
                  <w:vAlign w:val="center"/>
                </w:tcPr>
                <w:p w14:paraId="7991361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不属于</w:t>
                  </w:r>
                  <w:r>
                    <w:rPr>
                      <w:rFonts w:hint="default" w:ascii="Times New Roman" w:hAnsi="Times New Roman" w:eastAsia="宋体" w:cs="Times New Roman"/>
                      <w:color w:val="auto"/>
                      <w:sz w:val="21"/>
                      <w:szCs w:val="21"/>
                      <w:highlight w:val="none"/>
                      <w:lang w:val="en-US" w:eastAsia="zh-CN" w:bidi="ar-SA"/>
                    </w:rPr>
                    <w:t>高钛渣、钛白粉项目</w:t>
                  </w:r>
                </w:p>
              </w:tc>
              <w:tc>
                <w:tcPr>
                  <w:tcW w:w="745" w:type="dxa"/>
                  <w:noWrap w:val="0"/>
                  <w:vAlign w:val="center"/>
                </w:tcPr>
                <w:p w14:paraId="25950B4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6773B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 w:hRule="atLeast"/>
                <w:jc w:val="center"/>
              </w:trPr>
              <w:tc>
                <w:tcPr>
                  <w:tcW w:w="652" w:type="dxa"/>
                  <w:noWrap w:val="0"/>
                  <w:vAlign w:val="center"/>
                </w:tcPr>
                <w:p w14:paraId="233DB0C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w:t>
                  </w:r>
                </w:p>
              </w:tc>
              <w:tc>
                <w:tcPr>
                  <w:tcW w:w="2683" w:type="dxa"/>
                  <w:noWrap w:val="0"/>
                  <w:vAlign w:val="center"/>
                </w:tcPr>
                <w:p w14:paraId="26B716B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（5）项目入园时（特别是钛化工等企业），应充分考虑是否满足环境大气防护距离的要求，防止入驻企业产生的废气、噪声等对敏感目标的影。</w:t>
                  </w:r>
                </w:p>
              </w:tc>
              <w:tc>
                <w:tcPr>
                  <w:tcW w:w="3699" w:type="dxa"/>
                  <w:noWrap w:val="0"/>
                  <w:vAlign w:val="center"/>
                </w:tcPr>
                <w:p w14:paraId="054F4BF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无需设置</w:t>
                  </w:r>
                  <w:r>
                    <w:rPr>
                      <w:rFonts w:hint="default" w:ascii="Times New Roman" w:hAnsi="Times New Roman" w:eastAsia="宋体" w:cs="Times New Roman"/>
                      <w:color w:val="auto"/>
                      <w:sz w:val="21"/>
                      <w:szCs w:val="21"/>
                      <w:highlight w:val="none"/>
                      <w:lang w:val="en-US" w:eastAsia="zh-CN" w:bidi="ar-SA"/>
                    </w:rPr>
                    <w:t>大气防护距离且最近敏感目标距离项目</w:t>
                  </w:r>
                  <w:r>
                    <w:rPr>
                      <w:rFonts w:hint="eastAsia" w:cs="Times New Roman"/>
                      <w:color w:val="auto"/>
                      <w:sz w:val="21"/>
                      <w:szCs w:val="21"/>
                      <w:highlight w:val="none"/>
                      <w:lang w:val="en-US" w:eastAsia="zh-CN" w:bidi="ar-SA"/>
                    </w:rPr>
                    <w:t>130</w:t>
                  </w:r>
                  <w:r>
                    <w:rPr>
                      <w:rFonts w:hint="default" w:ascii="Times New Roman" w:hAnsi="Times New Roman" w:eastAsia="宋体" w:cs="Times New Roman"/>
                      <w:color w:val="auto"/>
                      <w:sz w:val="21"/>
                      <w:szCs w:val="21"/>
                      <w:highlight w:val="none"/>
                      <w:lang w:val="en-US" w:eastAsia="zh-CN" w:bidi="ar-SA"/>
                    </w:rPr>
                    <w:t>m</w:t>
                  </w: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，废气、噪声对其</w:t>
                  </w:r>
                  <w:r>
                    <w:rPr>
                      <w:rFonts w:hint="eastAsia" w:ascii="Times New Roman" w:hAnsi="Times New Roman" w:eastAsia="宋体" w:cs="Times New Roman"/>
                      <w:color w:val="auto"/>
                      <w:sz w:val="21"/>
                      <w:szCs w:val="21"/>
                      <w:highlight w:val="none"/>
                      <w:lang w:val="en-US" w:eastAsia="zh-CN" w:bidi="ar-SA"/>
                    </w:rPr>
                    <w:t>影响可接受</w:t>
                  </w:r>
                  <w:r>
                    <w:rPr>
                      <w:rFonts w:hint="default"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6F0A517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6E4F5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 w:hRule="atLeast"/>
                <w:jc w:val="center"/>
              </w:trPr>
              <w:tc>
                <w:tcPr>
                  <w:tcW w:w="652" w:type="dxa"/>
                  <w:noWrap w:val="0"/>
                  <w:vAlign w:val="center"/>
                </w:tcPr>
                <w:p w14:paraId="04FC846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w:t>
                  </w:r>
                </w:p>
              </w:tc>
              <w:tc>
                <w:tcPr>
                  <w:tcW w:w="2683" w:type="dxa"/>
                  <w:noWrap w:val="0"/>
                  <w:vAlign w:val="center"/>
                </w:tcPr>
                <w:p w14:paraId="3B975A1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（6）靠近城、集镇的区域（白石岩组团南部、环保产业园、大营组团、款庄组团、东村组团靠近集镇一侧），不易引进高污染的工业企业，特别是大气污染型企业。</w:t>
                  </w:r>
                </w:p>
              </w:tc>
              <w:tc>
                <w:tcPr>
                  <w:tcW w:w="3699" w:type="dxa"/>
                  <w:noWrap w:val="0"/>
                  <w:vAlign w:val="center"/>
                </w:tcPr>
                <w:p w14:paraId="125769E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处于</w:t>
                  </w:r>
                  <w:r>
                    <w:rPr>
                      <w:rFonts w:hint="eastAsia" w:cs="Times New Roman"/>
                      <w:color w:val="auto"/>
                      <w:sz w:val="21"/>
                      <w:szCs w:val="21"/>
                      <w:highlight w:val="none"/>
                      <w:lang w:val="en-US" w:eastAsia="zh-CN" w:bidi="ar-SA"/>
                    </w:rPr>
                    <w:t>哨箐组团</w:t>
                  </w:r>
                  <w:r>
                    <w:rPr>
                      <w:rFonts w:hint="eastAsia" w:ascii="Times New Roman" w:hAnsi="Times New Roman" w:eastAsia="宋体" w:cs="Times New Roman"/>
                      <w:color w:val="auto"/>
                      <w:sz w:val="21"/>
                      <w:szCs w:val="21"/>
                      <w:highlight w:val="none"/>
                      <w:lang w:val="en-US" w:eastAsia="zh-CN" w:bidi="ar-SA"/>
                    </w:rPr>
                    <w:t>，不在</w:t>
                  </w:r>
                  <w:r>
                    <w:rPr>
                      <w:rFonts w:hint="default" w:ascii="Times New Roman" w:hAnsi="Times New Roman" w:eastAsia="宋体" w:cs="Times New Roman"/>
                      <w:color w:val="auto"/>
                      <w:sz w:val="21"/>
                      <w:szCs w:val="21"/>
                      <w:highlight w:val="none"/>
                      <w:lang w:val="en-US" w:eastAsia="zh-CN" w:bidi="ar-SA"/>
                    </w:rPr>
                    <w:t>环保产业园</w:t>
                  </w:r>
                  <w:r>
                    <w:rPr>
                      <w:rFonts w:hint="eastAsia" w:cs="Times New Roman"/>
                      <w:color w:val="auto"/>
                      <w:sz w:val="21"/>
                      <w:szCs w:val="21"/>
                      <w:highlight w:val="none"/>
                      <w:lang w:val="en-US" w:eastAsia="zh-CN" w:bidi="ar-SA"/>
                    </w:rPr>
                    <w:t>内</w:t>
                  </w:r>
                  <w:r>
                    <w:rPr>
                      <w:rFonts w:hint="eastAsia" w:ascii="Times New Roman" w:hAnsi="Times New Roman" w:eastAsia="宋体" w:cs="Times New Roman"/>
                      <w:color w:val="auto"/>
                      <w:sz w:val="21"/>
                      <w:szCs w:val="21"/>
                      <w:highlight w:val="none"/>
                      <w:lang w:val="en-US" w:eastAsia="zh-CN" w:bidi="ar-SA"/>
                    </w:rPr>
                    <w:t>，且项目</w:t>
                  </w:r>
                  <w:r>
                    <w:rPr>
                      <w:rFonts w:hint="default" w:ascii="Times New Roman" w:hAnsi="Times New Roman" w:eastAsia="宋体" w:cs="Times New Roman"/>
                      <w:color w:val="auto"/>
                      <w:sz w:val="21"/>
                      <w:szCs w:val="21"/>
                      <w:highlight w:val="none"/>
                      <w:lang w:val="en-US" w:eastAsia="zh-CN" w:bidi="ar-SA"/>
                    </w:rPr>
                    <w:t>不</w:t>
                  </w:r>
                  <w:r>
                    <w:rPr>
                      <w:rFonts w:hint="eastAsia" w:ascii="Times New Roman" w:hAnsi="Times New Roman" w:eastAsia="宋体" w:cs="Times New Roman"/>
                      <w:color w:val="auto"/>
                      <w:sz w:val="21"/>
                      <w:szCs w:val="21"/>
                      <w:highlight w:val="none"/>
                      <w:lang w:val="en-US" w:eastAsia="zh-CN" w:bidi="ar-SA"/>
                    </w:rPr>
                    <w:t>属于高污染工业企业</w:t>
                  </w:r>
                </w:p>
              </w:tc>
              <w:tc>
                <w:tcPr>
                  <w:tcW w:w="745" w:type="dxa"/>
                  <w:noWrap w:val="0"/>
                  <w:vAlign w:val="center"/>
                </w:tcPr>
                <w:p w14:paraId="70F8592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067EC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 w:hRule="atLeast"/>
                <w:jc w:val="center"/>
              </w:trPr>
              <w:tc>
                <w:tcPr>
                  <w:tcW w:w="652" w:type="dxa"/>
                  <w:noWrap w:val="0"/>
                  <w:vAlign w:val="center"/>
                </w:tcPr>
                <w:p w14:paraId="5CBD161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w:t>
                  </w:r>
                </w:p>
              </w:tc>
              <w:tc>
                <w:tcPr>
                  <w:tcW w:w="2683" w:type="dxa"/>
                  <w:noWrap w:val="0"/>
                  <w:vAlign w:val="center"/>
                </w:tcPr>
                <w:p w14:paraId="2BCF174F">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规划白石岩组团、大营—茨塘片区东元村片段、散旦片区的西部组团款庄—东村片区的东村组团、大栗园组团、和平组团区域岩溶发育，地下水环境较为敏感，不宜布局水质复杂、水量较大的企业；企业入驻时，需对区域水文地质条件进行充分论证，确保企业入驻产生的污染物不影响区域地下水水质。</w:t>
                  </w:r>
                </w:p>
              </w:tc>
              <w:tc>
                <w:tcPr>
                  <w:tcW w:w="3699" w:type="dxa"/>
                  <w:noWrap w:val="0"/>
                  <w:vAlign w:val="center"/>
                </w:tcPr>
                <w:p w14:paraId="051B222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不在</w:t>
                  </w:r>
                  <w:r>
                    <w:rPr>
                      <w:rFonts w:hint="default" w:ascii="Times New Roman" w:hAnsi="Times New Roman" w:eastAsia="宋体" w:cs="Times New Roman"/>
                      <w:color w:val="auto"/>
                      <w:sz w:val="21"/>
                      <w:szCs w:val="21"/>
                      <w:highlight w:val="none"/>
                      <w:lang w:val="en-US" w:eastAsia="zh-CN" w:bidi="ar-SA"/>
                    </w:rPr>
                    <w:t>白石岩组团、大营—茨塘片区东元村片段、散旦片区的西部组团款庄—东村片区的东村组团、大栗园组团、和平组团区</w:t>
                  </w:r>
                  <w:r>
                    <w:rPr>
                      <w:rFonts w:hint="eastAsia" w:ascii="Times New Roman" w:hAnsi="Times New Roman" w:eastAsia="宋体" w:cs="Times New Roman"/>
                      <w:color w:val="auto"/>
                      <w:sz w:val="21"/>
                      <w:szCs w:val="21"/>
                      <w:highlight w:val="none"/>
                      <w:lang w:val="en-US" w:eastAsia="zh-CN" w:bidi="ar-SA"/>
                    </w:rPr>
                    <w:t>，且项目不属于</w:t>
                  </w:r>
                  <w:r>
                    <w:rPr>
                      <w:rFonts w:hint="default" w:ascii="Times New Roman" w:hAnsi="Times New Roman" w:eastAsia="宋体" w:cs="Times New Roman"/>
                      <w:color w:val="auto"/>
                      <w:sz w:val="21"/>
                      <w:szCs w:val="21"/>
                      <w:highlight w:val="none"/>
                      <w:lang w:val="en-US" w:eastAsia="zh-CN" w:bidi="ar-SA"/>
                    </w:rPr>
                    <w:t>水质复杂、水量大的企业</w:t>
                  </w:r>
                  <w:r>
                    <w:rPr>
                      <w:rFonts w:hint="eastAsia"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307DD91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bl>
          <w:p w14:paraId="4FE63D28">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Fonts w:hint="default" w:ascii="Times New Roman" w:hAnsi="Times New Roman"/>
                <w:b/>
                <w:color w:val="auto"/>
                <w:szCs w:val="24"/>
                <w:highlight w:val="none"/>
              </w:rPr>
            </w:pPr>
            <w:r>
              <w:rPr>
                <w:rFonts w:hint="default" w:ascii="Times New Roman" w:hAnsi="Times New Roman"/>
                <w:b/>
                <w:color w:val="auto"/>
                <w:szCs w:val="24"/>
                <w:highlight w:val="none"/>
              </w:rPr>
              <w:t>表1-</w:t>
            </w:r>
            <w:r>
              <w:rPr>
                <w:rFonts w:hint="eastAsia"/>
                <w:b/>
                <w:color w:val="auto"/>
                <w:szCs w:val="24"/>
                <w:highlight w:val="none"/>
                <w:lang w:val="en-US" w:eastAsia="zh-CN"/>
              </w:rPr>
              <w:t>3</w:t>
            </w:r>
            <w:r>
              <w:rPr>
                <w:rFonts w:hint="default" w:ascii="Times New Roman" w:hAnsi="Times New Roman"/>
                <w:b/>
                <w:color w:val="auto"/>
                <w:szCs w:val="24"/>
                <w:highlight w:val="none"/>
              </w:rPr>
              <w:t xml:space="preserve">   与《富民工业园区总体规划修编（2015-2030）环境影响报告书》</w:t>
            </w:r>
          </w:p>
          <w:p w14:paraId="2F69624E">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Fonts w:hint="default" w:ascii="Times New Roman" w:hAnsi="Times New Roman"/>
                <w:b/>
                <w:color w:val="auto"/>
                <w:szCs w:val="24"/>
                <w:highlight w:val="none"/>
              </w:rPr>
            </w:pPr>
            <w:r>
              <w:rPr>
                <w:rFonts w:hint="default" w:ascii="Times New Roman" w:hAnsi="Times New Roman"/>
                <w:b/>
                <w:color w:val="auto"/>
                <w:szCs w:val="24"/>
                <w:highlight w:val="none"/>
              </w:rPr>
              <w:t>审查意见符合性分析</w:t>
            </w:r>
          </w:p>
          <w:tbl>
            <w:tblPr>
              <w:tblStyle w:val="28"/>
              <w:tblW w:w="76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6"/>
              <w:gridCol w:w="4041"/>
              <w:gridCol w:w="2446"/>
              <w:gridCol w:w="565"/>
            </w:tblGrid>
            <w:tr w14:paraId="0AA41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0B25951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序号</w:t>
                  </w:r>
                </w:p>
              </w:tc>
              <w:tc>
                <w:tcPr>
                  <w:tcW w:w="4041" w:type="dxa"/>
                  <w:noWrap w:val="0"/>
                  <w:vAlign w:val="center"/>
                </w:tcPr>
                <w:p w14:paraId="4A94D552">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审查意见要求</w:t>
                  </w:r>
                </w:p>
              </w:tc>
              <w:tc>
                <w:tcPr>
                  <w:tcW w:w="2446" w:type="dxa"/>
                  <w:noWrap w:val="0"/>
                  <w:vAlign w:val="center"/>
                </w:tcPr>
                <w:p w14:paraId="6ACDD4C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项目情况</w:t>
                  </w:r>
                </w:p>
              </w:tc>
              <w:tc>
                <w:tcPr>
                  <w:tcW w:w="565" w:type="dxa"/>
                  <w:noWrap w:val="0"/>
                  <w:vAlign w:val="center"/>
                </w:tcPr>
                <w:p w14:paraId="31A197E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符合性</w:t>
                  </w:r>
                </w:p>
              </w:tc>
            </w:tr>
            <w:tr w14:paraId="5286E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5CA361B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w:t>
                  </w:r>
                </w:p>
              </w:tc>
              <w:tc>
                <w:tcPr>
                  <w:tcW w:w="4041" w:type="dxa"/>
                  <w:noWrap w:val="0"/>
                  <w:vAlign w:val="center"/>
                </w:tcPr>
                <w:p w14:paraId="5BB65CE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园区主要环境制约因素是目前螳螂川不能满足水环境功能区划水质要求，不具备主要污染物的纳污能力和环境容量规划。审批及实施中应根据制约因素进一步调整优化各片区功能定位、产业布局、结构、规模和开发时序，严格环境准入，提高节能减排和清洁生产水平，发展循环经济，尽快建设和完善园区内污水处理和再生水利用设施，提高重复用水率，减少生产生活废水排放，同时加强对螳螂川流域的水污染综合整治，腾出环境容量，实现园区可持续发展。在水环境质量未达标前，应当推行“污染物超量削减替代”制度，排放COD、氨氮等主要污染物的新建项目，实行区域内现役源1.5-2倍的削减量替代。将中水回用率作为园区管理重要考核指标，严格控制排水量大的企业。</w:t>
                  </w:r>
                </w:p>
                <w:p w14:paraId="4CD53C6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入园企业必须建设生产废水处理和回用设施，生产废水循环利用必须达到各相关行业的标准要求，工业园区生产废水循环利用率应不低于80%，尽量做到区域内水资源的合理循环和分质分级利用。</w:t>
                  </w:r>
                </w:p>
              </w:tc>
              <w:tc>
                <w:tcPr>
                  <w:tcW w:w="2446" w:type="dxa"/>
                  <w:noWrap w:val="0"/>
                  <w:vAlign w:val="center"/>
                </w:tcPr>
                <w:p w14:paraId="3851758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目前项目所在区域污水管网已覆盖，污水处理厂已投入运营。</w:t>
                  </w:r>
                  <w:r>
                    <w:rPr>
                      <w:rFonts w:hint="eastAsia" w:ascii="Times New Roman" w:hAnsi="Times New Roman" w:cs="Times New Roman"/>
                      <w:color w:val="auto"/>
                      <w:sz w:val="21"/>
                      <w:szCs w:val="21"/>
                      <w:highlight w:val="none"/>
                      <w:lang w:val="en-US" w:eastAsia="zh-CN"/>
                    </w:rPr>
                    <w:t>生活废水经隔油池、化粪池处理</w:t>
                  </w:r>
                  <w:r>
                    <w:rPr>
                      <w:rFonts w:hint="eastAsia" w:cs="Times New Roman"/>
                      <w:color w:val="auto"/>
                      <w:sz w:val="21"/>
                      <w:szCs w:val="21"/>
                      <w:highlight w:val="none"/>
                      <w:lang w:val="en-US" w:eastAsia="zh-CN"/>
                    </w:rPr>
                    <w:t>后同生产废水一并进入自建污水处理站处理达《污水排入城镇下水道水质标准》（GB/T-31962-2015）表1 A等级标准后</w:t>
                  </w:r>
                  <w:r>
                    <w:rPr>
                      <w:rFonts w:hint="eastAsia" w:cs="Times New Roman"/>
                      <w:color w:val="auto"/>
                      <w:sz w:val="21"/>
                      <w:szCs w:val="21"/>
                      <w:highlight w:val="none"/>
                      <w:lang w:val="en-US" w:eastAsia="zh-CN" w:bidi="ar-SA"/>
                    </w:rPr>
                    <w:t>排入园区污水管网，进入富民工业园区哨箐机械产业园污水处理厂。</w:t>
                  </w:r>
                </w:p>
              </w:tc>
              <w:tc>
                <w:tcPr>
                  <w:tcW w:w="565" w:type="dxa"/>
                  <w:noWrap w:val="0"/>
                  <w:vAlign w:val="center"/>
                </w:tcPr>
                <w:p w14:paraId="186D32EF">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6E3AA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285FACA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w:t>
                  </w:r>
                </w:p>
              </w:tc>
              <w:tc>
                <w:tcPr>
                  <w:tcW w:w="4041" w:type="dxa"/>
                  <w:noWrap w:val="0"/>
                  <w:vAlign w:val="center"/>
                </w:tcPr>
                <w:p w14:paraId="0B3E168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园区内有部份耕地、林地和基本农田，园区规划为工业用地与《富民县土地利用总体规划(2010-2020)》存在冲突与《富民城市总体规划修(2009-2025年)》、《富民农业科技示范园总体规划(2011-2020)》、《富民生态县建设规(2008-2020)》存在部份不符，同时将《昆明市富民县重点水源地水资源保护规划》中的长梨园、张锅村泉点水源地划入了大营茨塘片区，不符合水源地保护的相关要求。规划实施过程中，应与相关规划主管部门沟通协调，确保园区规划符合上位规划的要求，并与相关规划协调一致。</w:t>
                  </w:r>
                </w:p>
              </w:tc>
              <w:tc>
                <w:tcPr>
                  <w:tcW w:w="2446" w:type="dxa"/>
                  <w:noWrap w:val="0"/>
                  <w:vAlign w:val="center"/>
                </w:tcPr>
                <w:p w14:paraId="39CEA3E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项目用地不属于</w:t>
                  </w:r>
                  <w:r>
                    <w:rPr>
                      <w:rFonts w:hint="default" w:ascii="Times New Roman" w:hAnsi="Times New Roman" w:eastAsia="宋体" w:cs="Times New Roman"/>
                      <w:color w:val="auto"/>
                      <w:sz w:val="21"/>
                      <w:szCs w:val="21"/>
                      <w:highlight w:val="none"/>
                      <w:lang w:val="en-US" w:eastAsia="zh-CN" w:bidi="ar-SA"/>
                    </w:rPr>
                    <w:t>耕地、林地和基本农田</w:t>
                  </w:r>
                  <w:r>
                    <w:rPr>
                      <w:rFonts w:hint="eastAsia" w:ascii="Times New Roman" w:hAnsi="Times New Roman" w:eastAsia="宋体" w:cs="Times New Roman"/>
                      <w:color w:val="auto"/>
                      <w:sz w:val="21"/>
                      <w:szCs w:val="21"/>
                      <w:highlight w:val="none"/>
                      <w:lang w:val="en-US" w:eastAsia="zh-CN" w:bidi="ar-SA"/>
                    </w:rPr>
                    <w:t>，不涉及</w:t>
                  </w:r>
                  <w:r>
                    <w:rPr>
                      <w:rFonts w:hint="default" w:ascii="Times New Roman" w:hAnsi="Times New Roman" w:eastAsia="宋体" w:cs="Times New Roman"/>
                      <w:color w:val="auto"/>
                      <w:sz w:val="21"/>
                      <w:szCs w:val="21"/>
                      <w:highlight w:val="none"/>
                      <w:lang w:val="en-US" w:eastAsia="zh-CN" w:bidi="ar-SA"/>
                    </w:rPr>
                    <w:t>长梨园、张锅村泉点水</w:t>
                  </w:r>
                  <w:r>
                    <w:rPr>
                      <w:rFonts w:hint="eastAsia" w:ascii="Times New Roman" w:hAnsi="Times New Roman" w:eastAsia="宋体" w:cs="Times New Roman"/>
                      <w:color w:val="auto"/>
                      <w:sz w:val="21"/>
                      <w:szCs w:val="21"/>
                      <w:highlight w:val="none"/>
                      <w:lang w:val="en-US" w:eastAsia="zh-CN" w:bidi="ar-SA"/>
                    </w:rPr>
                    <w:t>。</w:t>
                  </w:r>
                </w:p>
              </w:tc>
              <w:tc>
                <w:tcPr>
                  <w:tcW w:w="565" w:type="dxa"/>
                  <w:noWrap w:val="0"/>
                  <w:vAlign w:val="center"/>
                </w:tcPr>
                <w:p w14:paraId="0E6D643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33DF6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3CBA926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w:t>
                  </w:r>
                </w:p>
              </w:tc>
              <w:tc>
                <w:tcPr>
                  <w:tcW w:w="4041" w:type="dxa"/>
                  <w:noWrap w:val="0"/>
                  <w:vAlign w:val="center"/>
                </w:tcPr>
                <w:p w14:paraId="2393735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园区规划组团多，布局分散；同一产业在片区和组团中重复布局，如四个片区均布局新材料产业，片区间、组团间易形成相互竞争；大营、散旦片区存在污染产业与食品加工产业混合布局；多组团的大营、散旦、款庄东村片区，产业布局混杂，多产业间存在相互影响、相互污染的可能。规划应进一步优化调整各片区产业定位和布局，每个片区应以一个主导产业为主，强化产业集聚导向，同时充分考虑各产业间的环境相容性。</w:t>
                  </w:r>
                </w:p>
              </w:tc>
              <w:tc>
                <w:tcPr>
                  <w:tcW w:w="2446" w:type="dxa"/>
                  <w:noWrap w:val="0"/>
                  <w:vAlign w:val="center"/>
                </w:tcPr>
                <w:p w14:paraId="4E858F8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本项目位于</w:t>
                  </w:r>
                  <w:r>
                    <w:rPr>
                      <w:rFonts w:hint="eastAsia" w:ascii="Times New Roman" w:hAnsi="Times New Roman" w:eastAsia="宋体" w:cs="Times New Roman"/>
                      <w:color w:val="auto"/>
                      <w:sz w:val="21"/>
                      <w:szCs w:val="21"/>
                      <w:highlight w:val="none"/>
                      <w:lang w:val="en-US" w:eastAsia="zh-CN" w:bidi="ar-SA"/>
                    </w:rPr>
                    <w:t>富民工业园区白石岩——大白坡片区</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组团</w:t>
                  </w:r>
                  <w:r>
                    <w:rPr>
                      <w:rFonts w:hint="default" w:ascii="Times New Roman" w:hAnsi="Times New Roman" w:eastAsia="宋体" w:cs="Times New Roman"/>
                      <w:color w:val="auto"/>
                      <w:sz w:val="21"/>
                      <w:szCs w:val="21"/>
                      <w:highlight w:val="none"/>
                      <w:lang w:val="en-US" w:eastAsia="zh-CN" w:bidi="ar-SA"/>
                    </w:rPr>
                    <w:t>，周围500m范围内</w:t>
                  </w:r>
                  <w:r>
                    <w:rPr>
                      <w:rFonts w:hint="eastAsia" w:cs="Times New Roman"/>
                      <w:color w:val="auto"/>
                      <w:sz w:val="21"/>
                      <w:szCs w:val="21"/>
                      <w:highlight w:val="none"/>
                      <w:lang w:val="en-US" w:eastAsia="zh-CN" w:bidi="ar-SA"/>
                    </w:rPr>
                    <w:t>主要分布有电器加工、机械生产企业</w:t>
                  </w:r>
                  <w:r>
                    <w:rPr>
                      <w:rFonts w:hint="default" w:ascii="Times New Roman" w:hAnsi="Times New Roman" w:eastAsia="宋体" w:cs="Times New Roman"/>
                      <w:color w:val="auto"/>
                      <w:sz w:val="21"/>
                      <w:szCs w:val="21"/>
                      <w:highlight w:val="none"/>
                      <w:lang w:val="en-US" w:eastAsia="zh-CN" w:bidi="ar-SA"/>
                    </w:rPr>
                    <w:t>，没有食品加工企业。因此，和周围环境具有相容性。</w:t>
                  </w:r>
                </w:p>
              </w:tc>
              <w:tc>
                <w:tcPr>
                  <w:tcW w:w="565" w:type="dxa"/>
                  <w:noWrap w:val="0"/>
                  <w:vAlign w:val="center"/>
                </w:tcPr>
                <w:p w14:paraId="606B53E2">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095A7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17374D6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w:t>
                  </w:r>
                </w:p>
              </w:tc>
              <w:tc>
                <w:tcPr>
                  <w:tcW w:w="4041" w:type="dxa"/>
                  <w:noWrap w:val="0"/>
                  <w:vAlign w:val="center"/>
                </w:tcPr>
                <w:p w14:paraId="414060C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富民县城四周均为山体，不利于大气污染物扩散，县城周边的工业组团白石岩-大白坡片区的白石岩组团、环保产业园，大营茨塘片区的大营组团不宜布局大气污染较重的工业企业，减轻工业污染对县城规划区域的影响。</w:t>
                  </w:r>
                </w:p>
              </w:tc>
              <w:tc>
                <w:tcPr>
                  <w:tcW w:w="2446" w:type="dxa"/>
                  <w:noWrap w:val="0"/>
                  <w:vAlign w:val="center"/>
                </w:tcPr>
                <w:p w14:paraId="5BE946D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本项目不属于大气污染严重的工业。</w:t>
                  </w:r>
                </w:p>
              </w:tc>
              <w:tc>
                <w:tcPr>
                  <w:tcW w:w="565" w:type="dxa"/>
                  <w:noWrap w:val="0"/>
                  <w:vAlign w:val="center"/>
                </w:tcPr>
                <w:p w14:paraId="6649797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57DDC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1546921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w:t>
                  </w:r>
                </w:p>
              </w:tc>
              <w:tc>
                <w:tcPr>
                  <w:tcW w:w="4041" w:type="dxa"/>
                  <w:noWrap w:val="0"/>
                  <w:vAlign w:val="center"/>
                </w:tcPr>
                <w:p w14:paraId="3D54E7C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园区白石岩-大白坡片区部分区域距离螳螂川两岸较近，规划实施过程中，新入驻的企业应符合《昆明市河道管理条例》的相关规定，对于现状不符合的企业，应逐步搬迁或淘汰。</w:t>
                  </w:r>
                </w:p>
              </w:tc>
              <w:tc>
                <w:tcPr>
                  <w:tcW w:w="2446" w:type="dxa"/>
                  <w:noWrap w:val="0"/>
                  <w:vAlign w:val="center"/>
                </w:tcPr>
                <w:p w14:paraId="6AD7C23F">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根据《昆明市河道管理条例（2016年修订版）》，无堤防的河道管理范围为水域、沙洲、湿地、滩地及河口两侧不小于10m距离、河道管理范围以外10-100m范围为河道的保护范围。本项目距离最近河道超过</w:t>
                  </w:r>
                  <w:r>
                    <w:rPr>
                      <w:rFonts w:hint="eastAsia" w:cs="Times New Roman"/>
                      <w:color w:val="auto"/>
                      <w:sz w:val="21"/>
                      <w:szCs w:val="21"/>
                      <w:highlight w:val="none"/>
                      <w:lang w:val="en-US" w:eastAsia="zh-CN" w:bidi="ar-SA"/>
                    </w:rPr>
                    <w:t>1.3k</w:t>
                  </w:r>
                  <w:r>
                    <w:rPr>
                      <w:rFonts w:hint="default" w:ascii="Times New Roman" w:hAnsi="Times New Roman" w:eastAsia="宋体" w:cs="Times New Roman"/>
                      <w:color w:val="auto"/>
                      <w:sz w:val="21"/>
                      <w:szCs w:val="21"/>
                      <w:highlight w:val="none"/>
                      <w:lang w:val="en-US" w:eastAsia="zh-CN" w:bidi="ar-SA"/>
                    </w:rPr>
                    <w:t>m</w:t>
                  </w:r>
                  <w:r>
                    <w:rPr>
                      <w:rFonts w:hint="eastAsia" w:ascii="Times New Roman" w:hAnsi="Times New Roman" w:eastAsia="宋体" w:cs="Times New Roman"/>
                      <w:color w:val="auto"/>
                      <w:sz w:val="21"/>
                      <w:szCs w:val="21"/>
                      <w:highlight w:val="none"/>
                      <w:lang w:val="en-US" w:eastAsia="zh-CN" w:bidi="ar-SA"/>
                    </w:rPr>
                    <w:t>（</w:t>
                  </w:r>
                  <w:r>
                    <w:rPr>
                      <w:rFonts w:hint="eastAsia" w:ascii="宋体" w:hAnsi="宋体" w:eastAsia="宋体" w:cs="宋体"/>
                      <w:i w:val="0"/>
                      <w:iCs w:val="0"/>
                      <w:color w:val="auto"/>
                      <w:kern w:val="0"/>
                      <w:sz w:val="21"/>
                      <w:szCs w:val="21"/>
                      <w:u w:val="none"/>
                      <w:lang w:val="en-US" w:eastAsia="zh-CN" w:bidi="ar"/>
                    </w:rPr>
                    <w:t>螳螂川</w:t>
                  </w:r>
                  <w:r>
                    <w:rPr>
                      <w:rFonts w:hint="eastAsia" w:ascii="Times New Roman" w:hAnsi="Times New Roman" w:eastAsia="宋体" w:cs="Times New Roman"/>
                      <w:color w:val="auto"/>
                      <w:sz w:val="21"/>
                      <w:szCs w:val="21"/>
                      <w:highlight w:val="none"/>
                      <w:lang w:val="en-US" w:eastAsia="zh-CN" w:bidi="ar-SA"/>
                    </w:rPr>
                    <w:t>），不在河道管理范围内。</w:t>
                  </w:r>
                </w:p>
              </w:tc>
              <w:tc>
                <w:tcPr>
                  <w:tcW w:w="565" w:type="dxa"/>
                  <w:noWrap w:val="0"/>
                  <w:vAlign w:val="center"/>
                </w:tcPr>
                <w:p w14:paraId="4A1E334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3F022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619024BF">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w:t>
                  </w:r>
                </w:p>
              </w:tc>
              <w:tc>
                <w:tcPr>
                  <w:tcW w:w="4041" w:type="dxa"/>
                  <w:noWrap w:val="0"/>
                  <w:vAlign w:val="center"/>
                </w:tcPr>
                <w:p w14:paraId="40A3704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规划白石岩组团、大营—茨塘片区东元村片段、散旦片区的西部组团、款庄—东村片区的东村组团、大栗园组团、和平组团区域岩溶发育，地下水环境较为敏感，企业入驻时，需对区域水文地质条件进行充分论证，确保企业入驻产生的污染物不影响区域地下水水质。</w:t>
                  </w:r>
                </w:p>
              </w:tc>
              <w:tc>
                <w:tcPr>
                  <w:tcW w:w="2446" w:type="dxa"/>
                  <w:noWrap w:val="0"/>
                  <w:vAlign w:val="center"/>
                </w:tcPr>
                <w:p w14:paraId="1B844732">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w:t>
                  </w:r>
                  <w:r>
                    <w:rPr>
                      <w:rFonts w:hint="eastAsia" w:ascii="Times New Roman" w:hAnsi="Times New Roman" w:eastAsia="宋体" w:cs="Times New Roman"/>
                      <w:color w:val="auto"/>
                      <w:sz w:val="21"/>
                      <w:szCs w:val="21"/>
                      <w:highlight w:val="none"/>
                      <w:lang w:val="en-US" w:eastAsia="zh-CN" w:bidi="ar-SA"/>
                    </w:rPr>
                    <w:t>位于富民工业园区白石岩——大白坡片区</w:t>
                  </w:r>
                  <w:r>
                    <w:rPr>
                      <w:rFonts w:hint="eastAsia" w:cs="Times New Roman"/>
                      <w:color w:val="auto"/>
                      <w:sz w:val="21"/>
                      <w:szCs w:val="21"/>
                      <w:highlight w:val="none"/>
                      <w:lang w:val="en-US" w:eastAsia="zh-CN" w:bidi="ar-SA"/>
                    </w:rPr>
                    <w:t>哨箐组团</w:t>
                  </w:r>
                  <w:r>
                    <w:rPr>
                      <w:rFonts w:hint="default" w:ascii="Times New Roman" w:hAnsi="Times New Roman" w:eastAsia="宋体" w:cs="Times New Roman"/>
                      <w:color w:val="auto"/>
                      <w:sz w:val="21"/>
                      <w:szCs w:val="21"/>
                      <w:highlight w:val="none"/>
                      <w:lang w:val="en-US" w:eastAsia="zh-CN" w:bidi="ar-SA"/>
                    </w:rPr>
                    <w:t>，不在地下水环境敏感</w:t>
                  </w:r>
                  <w:r>
                    <w:rPr>
                      <w:rFonts w:hint="eastAsia" w:ascii="Times New Roman" w:hAnsi="Times New Roman" w:eastAsia="宋体" w:cs="Times New Roman"/>
                      <w:color w:val="auto"/>
                      <w:sz w:val="21"/>
                      <w:szCs w:val="21"/>
                      <w:highlight w:val="none"/>
                      <w:lang w:val="en-US" w:eastAsia="zh-CN" w:bidi="ar-SA"/>
                    </w:rPr>
                    <w:t>地区，</w:t>
                  </w:r>
                  <w:r>
                    <w:rPr>
                      <w:rFonts w:hint="default" w:ascii="Times New Roman" w:hAnsi="Times New Roman" w:eastAsia="宋体" w:cs="Times New Roman"/>
                      <w:color w:val="auto"/>
                      <w:sz w:val="21"/>
                      <w:szCs w:val="21"/>
                      <w:highlight w:val="none"/>
                      <w:lang w:val="en-US" w:eastAsia="zh-CN" w:bidi="ar-SA"/>
                    </w:rPr>
                    <w:t>也不涉及集中式饮用水水源和热水、矿</w:t>
                  </w:r>
                  <w:r>
                    <w:rPr>
                      <w:rFonts w:hint="eastAsia" w:ascii="Times New Roman" w:hAnsi="Times New Roman" w:eastAsia="宋体" w:cs="Times New Roman"/>
                      <w:color w:val="auto"/>
                      <w:sz w:val="21"/>
                      <w:szCs w:val="21"/>
                      <w:highlight w:val="none"/>
                      <w:lang w:val="en-US" w:eastAsia="zh-CN" w:bidi="ar-SA"/>
                    </w:rPr>
                    <w:t>泉</w:t>
                  </w:r>
                  <w:r>
                    <w:rPr>
                      <w:rFonts w:hint="default" w:ascii="Times New Roman" w:hAnsi="Times New Roman" w:eastAsia="宋体" w:cs="Times New Roman"/>
                      <w:color w:val="auto"/>
                      <w:sz w:val="21"/>
                      <w:szCs w:val="21"/>
                      <w:highlight w:val="none"/>
                      <w:lang w:val="en-US" w:eastAsia="zh-CN" w:bidi="ar-SA"/>
                    </w:rPr>
                    <w:t>水、温泉等特殊地下</w:t>
                  </w:r>
                  <w:r>
                    <w:rPr>
                      <w:rFonts w:hint="eastAsia" w:ascii="Times New Roman" w:hAnsi="Times New Roman" w:eastAsia="宋体" w:cs="Times New Roman"/>
                      <w:color w:val="auto"/>
                      <w:sz w:val="21"/>
                      <w:szCs w:val="21"/>
                      <w:highlight w:val="none"/>
                      <w:lang w:val="en-US" w:eastAsia="zh-CN" w:bidi="ar-SA"/>
                    </w:rPr>
                    <w:t>水</w:t>
                  </w:r>
                  <w:r>
                    <w:rPr>
                      <w:rFonts w:hint="default" w:ascii="Times New Roman" w:hAnsi="Times New Roman" w:eastAsia="宋体" w:cs="Times New Roman"/>
                      <w:color w:val="auto"/>
                      <w:sz w:val="21"/>
                      <w:szCs w:val="21"/>
                      <w:highlight w:val="none"/>
                      <w:lang w:val="en-US" w:eastAsia="zh-CN" w:bidi="ar-SA"/>
                    </w:rPr>
                    <w:t>资源</w:t>
                  </w:r>
                  <w:r>
                    <w:rPr>
                      <w:rFonts w:hint="eastAsia" w:ascii="Times New Roman" w:hAnsi="Times New Roman" w:eastAsia="宋体" w:cs="Times New Roman"/>
                      <w:color w:val="auto"/>
                      <w:sz w:val="21"/>
                      <w:szCs w:val="21"/>
                      <w:highlight w:val="none"/>
                      <w:lang w:val="en-US" w:eastAsia="zh-CN" w:bidi="ar-SA"/>
                    </w:rPr>
                    <w:t>保</w:t>
                  </w:r>
                  <w:r>
                    <w:rPr>
                      <w:rFonts w:hint="default" w:ascii="Times New Roman" w:hAnsi="Times New Roman" w:eastAsia="宋体" w:cs="Times New Roman"/>
                      <w:color w:val="auto"/>
                      <w:sz w:val="21"/>
                      <w:szCs w:val="21"/>
                      <w:highlight w:val="none"/>
                      <w:lang w:val="en-US" w:eastAsia="zh-CN" w:bidi="ar-SA"/>
                    </w:rPr>
                    <w:t>护区</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且项目运营期所产生污染物在采取措施后，对地下水不会造成污染。</w:t>
                  </w:r>
                </w:p>
              </w:tc>
              <w:tc>
                <w:tcPr>
                  <w:tcW w:w="565" w:type="dxa"/>
                  <w:noWrap w:val="0"/>
                  <w:vAlign w:val="center"/>
                </w:tcPr>
                <w:p w14:paraId="0CE65769">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2F30C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07DA09F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w:t>
                  </w:r>
                </w:p>
              </w:tc>
              <w:tc>
                <w:tcPr>
                  <w:tcW w:w="4041" w:type="dxa"/>
                  <w:noWrap w:val="0"/>
                  <w:vAlign w:val="center"/>
                </w:tcPr>
                <w:p w14:paraId="3A36479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规划园区的大白坡组团、环保产业园、食品加工园等组团周边村庄较多，园区应严格环境准入，从源头控制，采用天然气等清洁燃料及能源利用效率高、污染物排放量少的清洁生产工艺，减少废气对周围环境的影响，同时严格按照入驻企业的环境防护距离要求，设置足够的环境防护距离，减轻对园区内及周边居民的环境影响。</w:t>
                  </w:r>
                </w:p>
              </w:tc>
              <w:tc>
                <w:tcPr>
                  <w:tcW w:w="2446" w:type="dxa"/>
                  <w:noWrap w:val="0"/>
                  <w:vAlign w:val="center"/>
                </w:tcPr>
                <w:p w14:paraId="11E4BBB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w:t>
                  </w:r>
                  <w:r>
                    <w:rPr>
                      <w:rFonts w:hint="eastAsia" w:ascii="Times New Roman" w:hAnsi="Times New Roman" w:eastAsia="宋体" w:cs="Times New Roman"/>
                      <w:color w:val="auto"/>
                      <w:sz w:val="21"/>
                      <w:szCs w:val="21"/>
                      <w:highlight w:val="none"/>
                      <w:lang w:val="en-US" w:eastAsia="zh-CN" w:bidi="ar-SA"/>
                    </w:rPr>
                    <w:t>位于富民工业园区白石岩——大白坡片区</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组团</w:t>
                  </w:r>
                  <w:r>
                    <w:rPr>
                      <w:rFonts w:hint="default" w:ascii="Times New Roman" w:hAnsi="Times New Roman" w:eastAsia="宋体" w:cs="Times New Roman"/>
                      <w:color w:val="auto"/>
                      <w:sz w:val="21"/>
                      <w:szCs w:val="21"/>
                      <w:highlight w:val="none"/>
                      <w:lang w:val="en-US" w:eastAsia="zh-CN" w:bidi="ar-SA"/>
                    </w:rPr>
                    <w:t>，</w:t>
                  </w:r>
                  <w:r>
                    <w:rPr>
                      <w:rFonts w:hint="eastAsia" w:ascii="Times New Roman" w:hAnsi="Times New Roman" w:eastAsia="宋体" w:cs="Times New Roman"/>
                      <w:color w:val="auto"/>
                      <w:sz w:val="21"/>
                      <w:szCs w:val="21"/>
                      <w:highlight w:val="none"/>
                      <w:lang w:val="en-US" w:eastAsia="zh-CN" w:bidi="ar-SA"/>
                    </w:rPr>
                    <w:t>本项目仅使用电作为能源，本项目大气污染物主要为颗粒物</w:t>
                  </w:r>
                  <w:r>
                    <w:rPr>
                      <w:rFonts w:hint="eastAsia" w:cs="Times New Roman"/>
                      <w:color w:val="auto"/>
                      <w:sz w:val="21"/>
                      <w:szCs w:val="21"/>
                      <w:highlight w:val="none"/>
                      <w:lang w:val="en-US" w:eastAsia="zh-CN" w:bidi="ar-SA"/>
                    </w:rPr>
                    <w:t>、氨、非甲烷总烃</w:t>
                  </w: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项目生产线设置在封闭的标准车间内，产生的废气较少，对周围大气环境影响较小</w:t>
                  </w:r>
                  <w:r>
                    <w:rPr>
                      <w:rFonts w:hint="eastAsia" w:ascii="Times New Roman" w:hAnsi="Times New Roman" w:eastAsia="宋体" w:cs="Times New Roman"/>
                      <w:color w:val="auto"/>
                      <w:sz w:val="21"/>
                      <w:szCs w:val="21"/>
                      <w:highlight w:val="none"/>
                      <w:lang w:val="en-US" w:eastAsia="zh-CN" w:bidi="ar-SA"/>
                    </w:rPr>
                    <w:t>。</w:t>
                  </w:r>
                </w:p>
              </w:tc>
              <w:tc>
                <w:tcPr>
                  <w:tcW w:w="565" w:type="dxa"/>
                  <w:noWrap w:val="0"/>
                  <w:vAlign w:val="center"/>
                </w:tcPr>
                <w:p w14:paraId="4D4A39A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463DE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64B8A3C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8</w:t>
                  </w:r>
                </w:p>
              </w:tc>
              <w:tc>
                <w:tcPr>
                  <w:tcW w:w="4041" w:type="dxa"/>
                  <w:noWrap w:val="0"/>
                  <w:vAlign w:val="center"/>
                </w:tcPr>
                <w:p w14:paraId="196D3324">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加快环保基础设施建设，按照“雨污分流、生产废水和生活污水分流、分散与集中处理相结合”的原则，根据园区各片区用地规模、开发程度、产业集聚程度及排水情况进行规划建设采取企业自行处理与园区集中处理相结合的方式，规范设计和建设各工业片区初期雨水收集系统、事故水收集系统、生活污水、生产废水的收集处理系统和回用系统。</w:t>
                  </w:r>
                </w:p>
              </w:tc>
              <w:tc>
                <w:tcPr>
                  <w:tcW w:w="2446" w:type="dxa"/>
                  <w:noWrap w:val="0"/>
                  <w:vAlign w:val="center"/>
                </w:tcPr>
                <w:p w14:paraId="6380A93F">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生活废水经隔油池、化粪池处理</w:t>
                  </w:r>
                  <w:r>
                    <w:rPr>
                      <w:rFonts w:hint="eastAsia" w:ascii="Times New Roman" w:hAnsi="Times New Roman" w:eastAsia="宋体" w:cs="Times New Roman"/>
                      <w:color w:val="auto"/>
                      <w:sz w:val="21"/>
                      <w:szCs w:val="21"/>
                      <w:highlight w:val="none"/>
                      <w:lang w:val="en-US" w:eastAsia="zh-CN" w:bidi="ar-SA"/>
                    </w:rPr>
                    <w:t>达标</w:t>
                  </w:r>
                  <w:r>
                    <w:rPr>
                      <w:rFonts w:hint="eastAsia" w:ascii="Times New Roman" w:hAnsi="Times New Roman" w:eastAsia="宋体" w:cs="Times New Roman"/>
                      <w:color w:val="auto"/>
                      <w:sz w:val="21"/>
                      <w:szCs w:val="21"/>
                      <w:highlight w:val="none"/>
                      <w:lang w:val="en-US" w:eastAsia="zh-CN"/>
                    </w:rPr>
                    <w:t>后</w:t>
                  </w:r>
                  <w:r>
                    <w:rPr>
                      <w:rFonts w:hint="eastAsia" w:cs="Times New Roman"/>
                      <w:color w:val="auto"/>
                      <w:sz w:val="21"/>
                      <w:szCs w:val="21"/>
                      <w:highlight w:val="none"/>
                      <w:lang w:val="en-US" w:eastAsia="zh-CN"/>
                    </w:rPr>
                    <w:t>同生产废水一并进入自建污水处理系统，达标后进入园区污水管网，</w:t>
                  </w:r>
                  <w:r>
                    <w:rPr>
                      <w:rFonts w:hint="eastAsia" w:ascii="Times New Roman" w:eastAsia="宋体" w:cs="宋体"/>
                      <w:color w:val="auto"/>
                      <w:sz w:val="21"/>
                      <w:szCs w:val="22"/>
                      <w:highlight w:val="none"/>
                      <w:lang w:val="en-US" w:eastAsia="zh-CN"/>
                    </w:rPr>
                    <w:t>不直接向外环境排放废水</w:t>
                  </w:r>
                  <w:r>
                    <w:rPr>
                      <w:rFonts w:hint="eastAsia" w:ascii="Times New Roman" w:hAnsi="Times New Roman" w:eastAsia="宋体" w:cs="Times New Roman"/>
                      <w:color w:val="auto"/>
                      <w:sz w:val="21"/>
                      <w:szCs w:val="21"/>
                      <w:highlight w:val="none"/>
                      <w:lang w:val="en-US" w:eastAsia="zh-CN" w:bidi="ar-SA"/>
                    </w:rPr>
                    <w:t>。</w:t>
                  </w:r>
                </w:p>
              </w:tc>
              <w:tc>
                <w:tcPr>
                  <w:tcW w:w="565" w:type="dxa"/>
                  <w:noWrap w:val="0"/>
                  <w:vAlign w:val="center"/>
                </w:tcPr>
                <w:p w14:paraId="4B917A0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03967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jc w:val="center"/>
              </w:trPr>
              <w:tc>
                <w:tcPr>
                  <w:tcW w:w="596" w:type="dxa"/>
                  <w:noWrap w:val="0"/>
                  <w:vAlign w:val="center"/>
                </w:tcPr>
                <w:p w14:paraId="1BD82693">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9</w:t>
                  </w:r>
                </w:p>
              </w:tc>
              <w:tc>
                <w:tcPr>
                  <w:tcW w:w="4041" w:type="dxa"/>
                  <w:noWrap w:val="0"/>
                  <w:vAlign w:val="center"/>
                </w:tcPr>
                <w:p w14:paraId="70D55914">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加强固体废弃物的管理，按照</w:t>
                  </w:r>
                  <w:r>
                    <w:rPr>
                      <w:rFonts w:hint="default" w:ascii="Times New Roman" w:hAnsi="Times New Roman" w:eastAsia="宋体" w:cs="Times New Roman"/>
                      <w:color w:val="auto"/>
                      <w:sz w:val="21"/>
                      <w:szCs w:val="21"/>
                      <w:highlight w:val="none"/>
                      <w:lang w:val="en-US" w:eastAsia="zh-CN" w:bidi="ar-SA"/>
                    </w:rPr>
                    <w:cr/>
                  </w:r>
                  <w:r>
                    <w:rPr>
                      <w:rFonts w:hint="default" w:ascii="Times New Roman" w:hAnsi="Times New Roman" w:eastAsia="宋体" w:cs="Times New Roman"/>
                      <w:color w:val="auto"/>
                      <w:sz w:val="21"/>
                      <w:szCs w:val="21"/>
                      <w:highlight w:val="none"/>
                      <w:lang w:val="en-US" w:eastAsia="zh-CN" w:bidi="ar-SA"/>
                    </w:rPr>
                    <w:t>散与集中处理相结合的原则，抓紧固废处置场等基础设施的建设，确保入区企业的固体废弃物得到妥善处置。提高固体废物综合利用率，实现工业固体废物资源化和减量化。</w:t>
                  </w:r>
                </w:p>
              </w:tc>
              <w:tc>
                <w:tcPr>
                  <w:tcW w:w="2446" w:type="dxa"/>
                  <w:noWrap w:val="0"/>
                  <w:vAlign w:val="center"/>
                </w:tcPr>
                <w:p w14:paraId="6322A27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项目产生的固废，能回收利用的进行回收利用，不能回收利用进行科学合理处置，处置率达100%。</w:t>
                  </w:r>
                </w:p>
              </w:tc>
              <w:tc>
                <w:tcPr>
                  <w:tcW w:w="565" w:type="dxa"/>
                  <w:noWrap w:val="0"/>
                  <w:vAlign w:val="center"/>
                </w:tcPr>
                <w:p w14:paraId="7A6B0BA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0740F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11004ED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10</w:t>
                  </w:r>
                </w:p>
              </w:tc>
              <w:tc>
                <w:tcPr>
                  <w:tcW w:w="4041" w:type="dxa"/>
                  <w:noWrap w:val="0"/>
                  <w:vAlign w:val="center"/>
                </w:tcPr>
                <w:p w14:paraId="358C5ED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加强规划实施的跟踪监测与管理，针对存在的问题适时开展环境影响跟踪评价，及时优化调整产业发展规划。</w:t>
                  </w:r>
                </w:p>
              </w:tc>
              <w:tc>
                <w:tcPr>
                  <w:tcW w:w="2446" w:type="dxa"/>
                  <w:noWrap w:val="0"/>
                  <w:vAlign w:val="center"/>
                </w:tcPr>
                <w:p w14:paraId="010F481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项目实施监测计划，定期监测</w:t>
                  </w:r>
                </w:p>
              </w:tc>
              <w:tc>
                <w:tcPr>
                  <w:tcW w:w="565" w:type="dxa"/>
                  <w:noWrap w:val="0"/>
                  <w:vAlign w:val="center"/>
                </w:tcPr>
                <w:p w14:paraId="2813886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bl>
          <w:p w14:paraId="0BA6B9BE">
            <w:pPr>
              <w:keepNext w:val="0"/>
              <w:keepLines w:val="0"/>
              <w:pageBreakBefore w:val="0"/>
              <w:suppressLineNumbers w:val="0"/>
              <w:kinsoku/>
              <w:wordWrap/>
              <w:overflowPunct/>
              <w:topLinePunct w:val="0"/>
              <w:bidi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color w:val="auto"/>
                <w:sz w:val="24"/>
                <w:highlight w:val="none"/>
              </w:rPr>
              <w:t>综上所述，本项目符合</w:t>
            </w:r>
            <w:r>
              <w:rPr>
                <w:rFonts w:hint="eastAsia" w:ascii="Times New Roman" w:hAnsi="Times New Roman" w:eastAsia="宋体" w:cs="Times New Roman"/>
                <w:color w:val="auto"/>
                <w:sz w:val="24"/>
                <w:szCs w:val="22"/>
                <w:highlight w:val="none"/>
                <w:lang w:val="en-US" w:eastAsia="zh-CN"/>
              </w:rPr>
              <w:t>《富民工业园区总体规划修编（</w:t>
            </w:r>
            <w:r>
              <w:rPr>
                <w:rFonts w:hint="default" w:ascii="Times New Roman" w:hAnsi="Times New Roman" w:eastAsia="宋体" w:cs="Times New Roman"/>
                <w:color w:val="auto"/>
                <w:sz w:val="24"/>
                <w:szCs w:val="22"/>
                <w:highlight w:val="none"/>
                <w:lang w:val="en-US" w:eastAsia="zh-CN"/>
              </w:rPr>
              <w:t>2015-2030</w:t>
            </w:r>
            <w:r>
              <w:rPr>
                <w:rFonts w:hint="eastAsia" w:ascii="Times New Roman" w:hAnsi="Times New Roman" w:eastAsia="宋体" w:cs="Times New Roman"/>
                <w:color w:val="auto"/>
                <w:sz w:val="24"/>
                <w:szCs w:val="22"/>
                <w:highlight w:val="none"/>
                <w:lang w:val="en-US" w:eastAsia="zh-CN"/>
              </w:rPr>
              <w:t>）环境影响报告书》及审查意见（云环审【</w:t>
            </w:r>
            <w:r>
              <w:rPr>
                <w:rFonts w:hint="default" w:ascii="Times New Roman" w:hAnsi="Times New Roman" w:eastAsia="宋体" w:cs="Times New Roman"/>
                <w:color w:val="auto"/>
                <w:sz w:val="24"/>
                <w:szCs w:val="22"/>
                <w:highlight w:val="none"/>
                <w:lang w:val="en-US" w:eastAsia="zh-CN"/>
              </w:rPr>
              <w:t>2016</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10</w:t>
            </w:r>
            <w:r>
              <w:rPr>
                <w:rFonts w:hint="eastAsia" w:ascii="Times New Roman" w:hAnsi="Times New Roman" w:eastAsia="宋体" w:cs="Times New Roman"/>
                <w:color w:val="auto"/>
                <w:sz w:val="24"/>
                <w:szCs w:val="22"/>
                <w:highlight w:val="none"/>
                <w:lang w:val="en-US" w:eastAsia="zh-CN"/>
              </w:rPr>
              <w:t>号）的</w:t>
            </w:r>
            <w:r>
              <w:rPr>
                <w:rFonts w:hint="default"/>
                <w:color w:val="auto"/>
                <w:sz w:val="24"/>
                <w:highlight w:val="none"/>
              </w:rPr>
              <w:t>相关要求。</w:t>
            </w:r>
          </w:p>
        </w:tc>
      </w:tr>
      <w:tr w14:paraId="7D295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noWrap w:val="0"/>
            <w:vAlign w:val="center"/>
          </w:tcPr>
          <w:p w14:paraId="015A802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其他符合性分析</w:t>
            </w:r>
          </w:p>
        </w:tc>
        <w:tc>
          <w:tcPr>
            <w:tcW w:w="4562" w:type="pct"/>
            <w:gridSpan w:val="4"/>
            <w:noWrap w:val="0"/>
            <w:vAlign w:val="center"/>
          </w:tcPr>
          <w:p w14:paraId="2E96F4ED">
            <w:pPr>
              <w:keepNext w:val="0"/>
              <w:keepLines w:val="0"/>
              <w:pageBreakBefore w:val="0"/>
              <w:numPr>
                <w:ilvl w:val="0"/>
                <w:numId w:val="0"/>
              </w:numPr>
              <w:suppressLineNumbers w:val="0"/>
              <w:kinsoku/>
              <w:wordWrap/>
              <w:overflowPunct/>
              <w:autoSpaceDE w:val="0"/>
              <w:autoSpaceDN w:val="0"/>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val="en-US" w:eastAsia="zh-CN"/>
              </w:rPr>
              <w:t>1、项目与“三线一单”的相符性分析</w:t>
            </w:r>
          </w:p>
          <w:p w14:paraId="3A34A6CE">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eastAsia" w:ascii="Times New Roman" w:hAnsi="Times New Roman" w:eastAsia="宋体" w:cs="Times New Roman"/>
                <w:b w:val="0"/>
                <w:bCs w:val="0"/>
                <w:color w:val="auto"/>
                <w:kern w:val="2"/>
                <w:sz w:val="24"/>
                <w:szCs w:val="24"/>
                <w:highlight w:val="none"/>
                <w:lang w:val="en-US" w:eastAsia="zh-CN" w:bidi="ar-SA"/>
              </w:rPr>
              <w:t>昆明市人民政府关于昆明市“三线一单”生态环境分区管控的实施意见</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昆</w:t>
            </w:r>
            <w:r>
              <w:rPr>
                <w:rFonts w:hint="default" w:ascii="Times New Roman" w:hAnsi="Times New Roman" w:eastAsia="宋体" w:cs="Times New Roman"/>
                <w:color w:val="auto"/>
                <w:sz w:val="24"/>
                <w:highlight w:val="none"/>
              </w:rPr>
              <w:t>政发〔2021〕2</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号</w:t>
            </w:r>
            <w:r>
              <w:rPr>
                <w:rFonts w:hint="eastAsia"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rPr>
              <w:t>本项目选址位于</w:t>
            </w:r>
            <w:r>
              <w:rPr>
                <w:rFonts w:hint="eastAsia"/>
                <w:color w:val="auto"/>
                <w:sz w:val="24"/>
                <w:highlight w:val="none"/>
                <w:lang w:val="en-US" w:eastAsia="zh-CN"/>
              </w:rPr>
              <w:t>昆</w:t>
            </w:r>
            <w:r>
              <w:rPr>
                <w:rFonts w:hint="eastAsia" w:ascii="Times New Roman" w:hAnsi="Times New Roman" w:eastAsia="宋体" w:cs="Times New Roman"/>
                <w:color w:val="auto"/>
                <w:sz w:val="24"/>
                <w:highlight w:val="none"/>
                <w:lang w:val="en-US" w:eastAsia="zh-CN"/>
              </w:rPr>
              <w:t>明市</w:t>
            </w:r>
            <w:r>
              <w:rPr>
                <w:rFonts w:hint="eastAsia" w:ascii="Times New Roman" w:cs="Times New Roman"/>
                <w:color w:val="auto"/>
                <w:sz w:val="24"/>
                <w:highlight w:val="none"/>
                <w:lang w:val="en-US" w:eastAsia="zh-CN"/>
              </w:rPr>
              <w:t>富民</w:t>
            </w:r>
            <w:r>
              <w:rPr>
                <w:rFonts w:hint="eastAsia" w:eastAsia="宋体" w:cs="Times New Roman"/>
                <w:color w:val="auto"/>
                <w:sz w:val="24"/>
                <w:highlight w:val="none"/>
                <w:lang w:val="en-US" w:eastAsia="zh-CN"/>
              </w:rPr>
              <w:t>工</w:t>
            </w:r>
            <w:r>
              <w:rPr>
                <w:rFonts w:hint="eastAsia" w:ascii="Times New Roman" w:hAnsi="Times New Roman" w:eastAsia="宋体" w:cs="Times New Roman"/>
                <w:color w:val="auto"/>
                <w:sz w:val="24"/>
                <w:highlight w:val="none"/>
                <w:lang w:val="en-US" w:eastAsia="zh-CN"/>
              </w:rPr>
              <w:t>业园区</w:t>
            </w:r>
            <w:r>
              <w:rPr>
                <w:rFonts w:hint="eastAsia" w:ascii="Times New Roman" w:hAnsi="Times New Roman" w:eastAsia="宋体" w:cs="Times New Roman"/>
                <w:color w:val="auto"/>
                <w:sz w:val="24"/>
                <w:szCs w:val="22"/>
                <w:highlight w:val="none"/>
                <w:lang w:val="en-US" w:eastAsia="zh-CN"/>
              </w:rPr>
              <w:t>白石岩—大白坡片区</w:t>
            </w:r>
            <w:r>
              <w:rPr>
                <w:rFonts w:hint="eastAsia" w:cs="Times New Roman"/>
                <w:color w:val="auto"/>
                <w:sz w:val="24"/>
                <w:szCs w:val="22"/>
                <w:highlight w:val="none"/>
                <w:lang w:val="en-US" w:eastAsia="zh-CN"/>
              </w:rPr>
              <w:t>哨箐</w:t>
            </w:r>
            <w:r>
              <w:rPr>
                <w:rFonts w:hint="eastAsia" w:ascii="Times New Roman" w:hAnsi="Times New Roman" w:eastAsia="宋体" w:cs="Times New Roman"/>
                <w:color w:val="auto"/>
                <w:sz w:val="24"/>
                <w:highlight w:val="none"/>
                <w:lang w:val="en-US" w:eastAsia="zh-CN"/>
              </w:rPr>
              <w:t>，本项目属于云南富民工业园区“重点管控单元”。</w:t>
            </w:r>
          </w:p>
          <w:p w14:paraId="501FECDD">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w:t>
            </w:r>
            <w:r>
              <w:rPr>
                <w:rFonts w:hint="eastAsia"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 xml:space="preserve">   本项目</w:t>
            </w:r>
            <w:r>
              <w:rPr>
                <w:rFonts w:hint="eastAsia" w:ascii="Times New Roman" w:hAnsi="Times New Roman" w:cs="Times New Roman"/>
                <w:b/>
                <w:color w:val="auto"/>
                <w:sz w:val="21"/>
                <w:szCs w:val="21"/>
                <w:highlight w:val="none"/>
                <w:lang w:val="en-US" w:eastAsia="zh-CN"/>
              </w:rPr>
              <w:t>与</w:t>
            </w:r>
            <w:r>
              <w:rPr>
                <w:rFonts w:hint="eastAsia" w:cs="Times New Roman"/>
                <w:b/>
                <w:color w:val="auto"/>
                <w:sz w:val="21"/>
                <w:szCs w:val="21"/>
                <w:highlight w:val="none"/>
                <w:lang w:val="en-US" w:eastAsia="zh-CN"/>
              </w:rPr>
              <w:t>昆明市</w:t>
            </w:r>
            <w:r>
              <w:rPr>
                <w:rFonts w:hint="default" w:ascii="Times New Roman" w:hAnsi="Times New Roman" w:cs="Times New Roman"/>
                <w:b/>
                <w:color w:val="auto"/>
                <w:sz w:val="21"/>
                <w:szCs w:val="21"/>
                <w:highlight w:val="none"/>
              </w:rPr>
              <w:t>“三线一单”符合性分析</w:t>
            </w:r>
          </w:p>
          <w:tbl>
            <w:tblPr>
              <w:tblStyle w:val="28"/>
              <w:tblW w:w="7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13"/>
              <w:gridCol w:w="4100"/>
              <w:gridCol w:w="2350"/>
              <w:gridCol w:w="580"/>
            </w:tblGrid>
            <w:tr w14:paraId="43D8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noWrap w:val="0"/>
                  <w:vAlign w:val="center"/>
                </w:tcPr>
                <w:p w14:paraId="75A07BBE">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项目</w:t>
                  </w:r>
                </w:p>
              </w:tc>
              <w:tc>
                <w:tcPr>
                  <w:tcW w:w="4100" w:type="dxa"/>
                  <w:noWrap w:val="0"/>
                  <w:vAlign w:val="center"/>
                </w:tcPr>
                <w:p w14:paraId="46F90967">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eastAsia" w:cs="Times New Roman"/>
                      <w:snapToGrid w:val="0"/>
                      <w:color w:val="auto"/>
                      <w:sz w:val="21"/>
                      <w:szCs w:val="21"/>
                      <w:highlight w:val="none"/>
                      <w:lang w:val="en-US" w:eastAsia="zh-CN"/>
                    </w:rPr>
                    <w:t>昆</w:t>
                  </w:r>
                  <w:r>
                    <w:rPr>
                      <w:rFonts w:hint="default" w:ascii="Times New Roman" w:hAnsi="Times New Roman" w:eastAsia="宋体" w:cs="Times New Roman"/>
                      <w:snapToGrid w:val="0"/>
                      <w:color w:val="auto"/>
                      <w:sz w:val="21"/>
                      <w:szCs w:val="21"/>
                      <w:highlight w:val="none"/>
                    </w:rPr>
                    <w:t>政发〔2021〕2</w:t>
                  </w:r>
                  <w:r>
                    <w:rPr>
                      <w:rFonts w:hint="eastAsia" w:cs="Times New Roman"/>
                      <w:snapToGrid w:val="0"/>
                      <w:color w:val="auto"/>
                      <w:sz w:val="21"/>
                      <w:szCs w:val="21"/>
                      <w:highlight w:val="none"/>
                      <w:lang w:val="en-US" w:eastAsia="zh-CN"/>
                    </w:rPr>
                    <w:t>1</w:t>
                  </w:r>
                  <w:r>
                    <w:rPr>
                      <w:rFonts w:hint="default" w:ascii="Times New Roman" w:hAnsi="Times New Roman" w:eastAsia="宋体" w:cs="Times New Roman"/>
                      <w:snapToGrid w:val="0"/>
                      <w:color w:val="auto"/>
                      <w:sz w:val="21"/>
                      <w:szCs w:val="21"/>
                      <w:highlight w:val="none"/>
                    </w:rPr>
                    <w:t>号</w:t>
                  </w:r>
                </w:p>
              </w:tc>
              <w:tc>
                <w:tcPr>
                  <w:tcW w:w="2350" w:type="dxa"/>
                  <w:noWrap w:val="0"/>
                  <w:vAlign w:val="center"/>
                </w:tcPr>
                <w:p w14:paraId="2D305A1E">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项目情况</w:t>
                  </w:r>
                </w:p>
              </w:tc>
              <w:tc>
                <w:tcPr>
                  <w:tcW w:w="580" w:type="dxa"/>
                  <w:noWrap w:val="0"/>
                  <w:vAlign w:val="center"/>
                </w:tcPr>
                <w:p w14:paraId="587F9449">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相符性</w:t>
                  </w:r>
                </w:p>
              </w:tc>
            </w:tr>
            <w:tr w14:paraId="0B55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noWrap w:val="0"/>
                  <w:vAlign w:val="center"/>
                </w:tcPr>
                <w:p w14:paraId="2674962D">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生态保护红线</w:t>
                  </w:r>
                </w:p>
              </w:tc>
              <w:tc>
                <w:tcPr>
                  <w:tcW w:w="4100" w:type="dxa"/>
                  <w:noWrap w:val="0"/>
                  <w:vAlign w:val="center"/>
                </w:tcPr>
                <w:p w14:paraId="7FB7180B">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生态保护红线区严格执行云南省人民政府发布的《云南省生态保护红线》，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14:paraId="16446B28">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snapToGrid w:val="0"/>
                      <w:color w:val="auto"/>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bidi="ar-SA"/>
                    </w:rPr>
                    <w:t>立足已形成的生态保护红线划定工作成果，遵循生态优先原则，将未划入生态保护红线的自然保护地、饮用水水源保护区、重要湿地、基本草原、生态公益林、天然林等生态功能重要、生态环境敏感区域划为一般生态空间，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2350" w:type="dxa"/>
                  <w:noWrap w:val="0"/>
                  <w:vAlign w:val="center"/>
                </w:tcPr>
                <w:p w14:paraId="442D5CF9">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zh-CN" w:eastAsia="zh-CN"/>
                    </w:rPr>
                    <w:t>项目位于</w:t>
                  </w:r>
                  <w:r>
                    <w:rPr>
                      <w:rFonts w:hint="default" w:ascii="Times New Roman" w:hAnsi="Times New Roman" w:eastAsia="宋体" w:cs="Times New Roman"/>
                      <w:color w:val="auto"/>
                      <w:kern w:val="0"/>
                      <w:sz w:val="21"/>
                      <w:szCs w:val="21"/>
                      <w:highlight w:val="none"/>
                      <w:lang w:val="en-US" w:eastAsia="zh-CN"/>
                    </w:rPr>
                    <w:t>富民县</w:t>
                  </w:r>
                  <w:r>
                    <w:rPr>
                      <w:rFonts w:hint="eastAsia" w:ascii="Times New Roman" w:hAnsi="Times New Roman" w:eastAsia="宋体" w:cs="Times New Roman"/>
                      <w:color w:val="auto"/>
                      <w:kern w:val="0"/>
                      <w:sz w:val="21"/>
                      <w:szCs w:val="21"/>
                      <w:highlight w:val="none"/>
                      <w:lang w:val="en-US" w:eastAsia="zh-CN"/>
                    </w:rPr>
                    <w:t>白石岩—大白坡片区</w:t>
                  </w:r>
                  <w:r>
                    <w:rPr>
                      <w:rFonts w:hint="eastAsia" w:cs="Times New Roman"/>
                      <w:color w:val="auto"/>
                      <w:kern w:val="0"/>
                      <w:sz w:val="21"/>
                      <w:szCs w:val="21"/>
                      <w:highlight w:val="none"/>
                      <w:lang w:val="en-US" w:eastAsia="zh-CN"/>
                    </w:rPr>
                    <w:t>哨箐</w:t>
                  </w:r>
                  <w:r>
                    <w:rPr>
                      <w:rFonts w:hint="eastAsia" w:ascii="Times New Roman" w:hAnsi="Times New Roman" w:eastAsia="宋体" w:cs="Times New Roman"/>
                      <w:color w:val="auto"/>
                      <w:kern w:val="0"/>
                      <w:sz w:val="21"/>
                      <w:szCs w:val="21"/>
                      <w:highlight w:val="none"/>
                      <w:lang w:val="en-US" w:eastAsia="zh-CN"/>
                    </w:rPr>
                    <w:t>组团</w:t>
                  </w:r>
                  <w:r>
                    <w:rPr>
                      <w:rFonts w:hint="eastAsia" w:cs="Times New Roman"/>
                      <w:color w:val="auto"/>
                      <w:kern w:val="0"/>
                      <w:sz w:val="21"/>
                      <w:szCs w:val="21"/>
                      <w:highlight w:val="none"/>
                      <w:lang w:val="en-US" w:eastAsia="zh-CN"/>
                    </w:rPr>
                    <w:t>，为扩建项目，生产车间</w:t>
                  </w:r>
                  <w:r>
                    <w:rPr>
                      <w:rFonts w:hint="eastAsia" w:ascii="Times New Roman" w:hAnsi="Times New Roman" w:eastAsia="宋体" w:cs="Times New Roman"/>
                      <w:color w:val="auto"/>
                      <w:kern w:val="0"/>
                      <w:sz w:val="21"/>
                      <w:szCs w:val="21"/>
                      <w:highlight w:val="none"/>
                      <w:lang w:val="en-US" w:eastAsia="zh-CN"/>
                    </w:rPr>
                    <w:t>已建</w:t>
                  </w:r>
                  <w:r>
                    <w:rPr>
                      <w:rFonts w:hint="eastAsia" w:cs="Times New Roman"/>
                      <w:color w:val="auto"/>
                      <w:kern w:val="0"/>
                      <w:sz w:val="21"/>
                      <w:szCs w:val="21"/>
                      <w:highlight w:val="none"/>
                      <w:lang w:val="en-US" w:eastAsia="zh-CN"/>
                    </w:rPr>
                    <w:t>成</w:t>
                  </w:r>
                  <w:r>
                    <w:rPr>
                      <w:rFonts w:hint="eastAsia" w:ascii="Times New Roman" w:cs="Times New Roman"/>
                      <w:color w:val="auto"/>
                      <w:kern w:val="0"/>
                      <w:sz w:val="21"/>
                      <w:szCs w:val="21"/>
                      <w:highlight w:val="none"/>
                      <w:lang w:val="zh-CN" w:eastAsia="zh-CN"/>
                    </w:rPr>
                    <w:t>，</w:t>
                  </w:r>
                  <w:r>
                    <w:rPr>
                      <w:rFonts w:hint="eastAsia" w:ascii="Times New Roman" w:hAnsi="Times New Roman" w:eastAsia="宋体" w:cs="Times New Roman"/>
                      <w:color w:val="auto"/>
                      <w:kern w:val="0"/>
                      <w:sz w:val="21"/>
                      <w:szCs w:val="21"/>
                      <w:highlight w:val="none"/>
                      <w:lang w:val="en-US" w:eastAsia="zh-CN"/>
                    </w:rPr>
                    <w:t>项目用地</w:t>
                  </w:r>
                  <w:r>
                    <w:rPr>
                      <w:rFonts w:hint="eastAsia" w:ascii="Times New Roman" w:hAnsi="Times New Roman" w:eastAsia="宋体" w:cs="Times New Roman"/>
                      <w:color w:val="auto"/>
                      <w:kern w:val="0"/>
                      <w:sz w:val="21"/>
                      <w:szCs w:val="21"/>
                      <w:highlight w:val="none"/>
                      <w:lang w:val="zh-CN" w:eastAsia="zh-CN"/>
                    </w:rPr>
                    <w:t>性质为</w:t>
                  </w:r>
                  <w:r>
                    <w:rPr>
                      <w:rFonts w:hint="eastAsia" w:ascii="Times New Roman" w:hAnsi="Times New Roman" w:eastAsia="宋体" w:cs="Times New Roman"/>
                      <w:color w:val="auto"/>
                      <w:kern w:val="0"/>
                      <w:sz w:val="21"/>
                      <w:szCs w:val="21"/>
                      <w:highlight w:val="none"/>
                      <w:lang w:val="en-US" w:eastAsia="zh-CN"/>
                    </w:rPr>
                    <w:t>工业用地</w:t>
                  </w:r>
                  <w:r>
                    <w:rPr>
                      <w:rFonts w:hint="eastAsia" w:ascii="Times New Roman" w:hAnsi="Times New Roman" w:eastAsia="宋体" w:cs="Times New Roman"/>
                      <w:color w:val="auto"/>
                      <w:kern w:val="0"/>
                      <w:sz w:val="21"/>
                      <w:szCs w:val="21"/>
                      <w:highlight w:val="none"/>
                      <w:lang w:val="zh-CN" w:eastAsia="zh-CN"/>
                    </w:rPr>
                    <w:t>，不涉及生态保护红线范围</w:t>
                  </w:r>
                  <w:r>
                    <w:rPr>
                      <w:rFonts w:hint="eastAsia" w:ascii="Times New Roman" w:cs="Times New Roman"/>
                      <w:color w:val="auto"/>
                      <w:kern w:val="0"/>
                      <w:sz w:val="21"/>
                      <w:szCs w:val="21"/>
                      <w:highlight w:val="none"/>
                      <w:lang w:val="zh-CN" w:eastAsia="zh-CN"/>
                    </w:rPr>
                    <w:t>，</w:t>
                  </w:r>
                  <w:r>
                    <w:rPr>
                      <w:rFonts w:hint="default" w:ascii="Times New Roman" w:hAnsi="Times New Roman" w:cs="Times New Roman"/>
                      <w:color w:val="auto"/>
                      <w:kern w:val="0"/>
                      <w:sz w:val="21"/>
                      <w:szCs w:val="21"/>
                      <w:highlight w:val="none"/>
                    </w:rPr>
                    <w:t>不涉及未划入</w:t>
                  </w:r>
                  <w:r>
                    <w:rPr>
                      <w:rFonts w:hint="eastAsia" w:ascii="Times New Roman" w:hAnsi="Times New Roman" w:eastAsia="宋体" w:cs="Times New Roman"/>
                      <w:color w:val="auto"/>
                      <w:kern w:val="0"/>
                      <w:sz w:val="21"/>
                      <w:szCs w:val="21"/>
                      <w:highlight w:val="none"/>
                      <w:lang w:val="en-US" w:eastAsia="zh-CN" w:bidi="ar-SA"/>
                    </w:rPr>
                    <w:t>生态保护红线的自然保护地、饮用水水源保护区、重要湿地、基本草原、生态公益林、天然林等生态功能重要、生态环境敏感区域</w:t>
                  </w:r>
                  <w:r>
                    <w:rPr>
                      <w:rFonts w:hint="default" w:ascii="Times New Roman" w:hAnsi="Times New Roman" w:cs="Times New Roman"/>
                      <w:color w:val="auto"/>
                      <w:kern w:val="0"/>
                      <w:sz w:val="21"/>
                      <w:szCs w:val="21"/>
                      <w:highlight w:val="none"/>
                    </w:rPr>
                    <w:t>等一般生态空间。</w:t>
                  </w:r>
                </w:p>
              </w:tc>
              <w:tc>
                <w:tcPr>
                  <w:tcW w:w="580" w:type="dxa"/>
                  <w:noWrap w:val="0"/>
                  <w:vAlign w:val="center"/>
                </w:tcPr>
                <w:p w14:paraId="2E5E9E11">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符合</w:t>
                  </w:r>
                </w:p>
              </w:tc>
            </w:tr>
            <w:tr w14:paraId="5665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noWrap w:val="0"/>
                  <w:vAlign w:val="center"/>
                </w:tcPr>
                <w:p w14:paraId="2EECA994">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环境质量底线</w:t>
                  </w:r>
                </w:p>
              </w:tc>
              <w:tc>
                <w:tcPr>
                  <w:tcW w:w="4100" w:type="dxa"/>
                  <w:noWrap w:val="0"/>
                  <w:vAlign w:val="center"/>
                </w:tcPr>
                <w:p w14:paraId="6EDEAFF9">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到2025年，全市生态环境质量持续改善，生态空间得到优化和有效保护，区域生态安全屏障更加牢固。全市环境空气质量总体保持优良，主城建成区空气质量优良天数占比达99%以上，二氧化硫（SO2）和氮氧化物（NOX）排放总量控制在省下达的目标以内，主城区空气中颗粒物（PM</w:t>
                  </w:r>
                  <w:r>
                    <w:rPr>
                      <w:rFonts w:hint="eastAsia" w:ascii="Times New Roman" w:hAnsi="Times New Roman" w:eastAsia="宋体" w:cs="Times New Roman"/>
                      <w:color w:val="auto"/>
                      <w:kern w:val="0"/>
                      <w:sz w:val="21"/>
                      <w:szCs w:val="21"/>
                      <w:highlight w:val="none"/>
                      <w:vertAlign w:val="subscript"/>
                      <w:lang w:val="en-US" w:eastAsia="zh-CN" w:bidi="ar-SA"/>
                    </w:rPr>
                    <w:t>10</w:t>
                  </w:r>
                  <w:r>
                    <w:rPr>
                      <w:rFonts w:hint="eastAsia" w:ascii="Times New Roman" w:hAnsi="Times New Roman" w:eastAsia="宋体" w:cs="Times New Roman"/>
                      <w:color w:val="auto"/>
                      <w:kern w:val="0"/>
                      <w:sz w:val="21"/>
                      <w:szCs w:val="21"/>
                      <w:highlight w:val="none"/>
                      <w:lang w:val="en-US" w:eastAsia="zh-CN" w:bidi="ar-SA"/>
                    </w:rPr>
                    <w:t>、PM</w:t>
                  </w:r>
                  <w:r>
                    <w:rPr>
                      <w:rFonts w:hint="eastAsia" w:ascii="Times New Roman" w:hAnsi="Times New Roman" w:eastAsia="宋体" w:cs="Times New Roman"/>
                      <w:color w:val="auto"/>
                      <w:kern w:val="0"/>
                      <w:sz w:val="21"/>
                      <w:szCs w:val="21"/>
                      <w:highlight w:val="none"/>
                      <w:vertAlign w:val="subscript"/>
                      <w:lang w:val="en-US" w:eastAsia="zh-CN" w:bidi="ar-SA"/>
                    </w:rPr>
                    <w:t>2.5</w:t>
                  </w:r>
                  <w:r>
                    <w:rPr>
                      <w:rFonts w:hint="eastAsia" w:ascii="Times New Roman" w:hAnsi="Times New Roman" w:eastAsia="宋体" w:cs="Times New Roman"/>
                      <w:color w:val="auto"/>
                      <w:kern w:val="0"/>
                      <w:sz w:val="21"/>
                      <w:szCs w:val="21"/>
                      <w:highlight w:val="none"/>
                      <w:lang w:val="en-US" w:eastAsia="zh-CN" w:bidi="ar-SA"/>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eastAsia" w:eastAsia="宋体" w:cs="Times New Roman"/>
                      <w:color w:val="auto"/>
                      <w:kern w:val="0"/>
                      <w:sz w:val="21"/>
                      <w:szCs w:val="21"/>
                      <w:highlight w:val="none"/>
                      <w:lang w:val="en-US" w:eastAsia="zh-CN" w:bidi="ar-SA"/>
                    </w:rPr>
                    <w:t>。</w:t>
                  </w:r>
                </w:p>
                <w:p w14:paraId="18521B1F">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2350" w:type="dxa"/>
                  <w:noWrap w:val="0"/>
                  <w:vAlign w:val="center"/>
                </w:tcPr>
                <w:p w14:paraId="2ED72870">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根据</w:t>
                  </w:r>
                  <w:r>
                    <w:rPr>
                      <w:rFonts w:hint="default" w:ascii="Times New Roman" w:hAnsi="Times New Roman" w:cs="Times New Roman"/>
                      <w:color w:val="auto"/>
                      <w:sz w:val="21"/>
                      <w:szCs w:val="21"/>
                      <w:highlight w:val="none"/>
                      <w:lang w:val="en-US" w:eastAsia="zh-CN"/>
                    </w:rPr>
                    <w:t>昆明市</w:t>
                  </w:r>
                  <w:r>
                    <w:rPr>
                      <w:rFonts w:hint="default" w:ascii="Times New Roman" w:hAnsi="Times New Roman" w:cs="Times New Roman"/>
                      <w:color w:val="auto"/>
                      <w:sz w:val="21"/>
                      <w:szCs w:val="21"/>
                      <w:highlight w:val="none"/>
                    </w:rPr>
                    <w:t>生态环境局发布的《202</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年度昆明市生态环境状况公报》，</w:t>
                  </w:r>
                  <w:r>
                    <w:rPr>
                      <w:rFonts w:hint="eastAsia" w:ascii="Times New Roman" w:hAnsi="Times New Roman"/>
                      <w:color w:val="auto"/>
                      <w:sz w:val="21"/>
                      <w:szCs w:val="21"/>
                      <w:highlight w:val="none"/>
                      <w:lang w:val="en-US" w:eastAsia="zh-CN"/>
                    </w:rPr>
                    <w:t>2021年，</w:t>
                  </w:r>
                  <w:r>
                    <w:rPr>
                      <w:rFonts w:hint="eastAsia" w:ascii="Times New Roman" w:hAnsi="Times New Roman" w:eastAsia="宋体"/>
                      <w:color w:val="auto"/>
                      <w:sz w:val="21"/>
                      <w:szCs w:val="21"/>
                      <w:highlight w:val="none"/>
                      <w:lang w:val="en-US" w:eastAsia="zh-CN"/>
                    </w:rPr>
                    <w:t>普渡河桥</w:t>
                  </w:r>
                  <w:r>
                    <w:rPr>
                      <w:rFonts w:hint="default" w:ascii="Times New Roman" w:hAnsi="Times New Roman"/>
                      <w:color w:val="auto"/>
                      <w:sz w:val="21"/>
                      <w:szCs w:val="21"/>
                      <w:highlight w:val="none"/>
                    </w:rPr>
                    <w:t>断面水质类别为</w:t>
                  </w:r>
                  <w:r>
                    <w:rPr>
                      <w:rFonts w:hint="eastAsia" w:ascii="宋体" w:hAnsi="宋体" w:eastAsia="宋体" w:cs="宋体"/>
                      <w:color w:val="auto"/>
                      <w:sz w:val="21"/>
                      <w:szCs w:val="21"/>
                      <w:highlight w:val="none"/>
                    </w:rPr>
                    <w:t>Ⅲ</w:t>
                  </w:r>
                  <w:r>
                    <w:rPr>
                      <w:rFonts w:hint="default" w:ascii="Times New Roman" w:hAnsi="Times New Roman"/>
                      <w:color w:val="auto"/>
                      <w:sz w:val="21"/>
                      <w:szCs w:val="21"/>
                      <w:highlight w:val="none"/>
                    </w:rPr>
                    <w:t>类，与20</w:t>
                  </w:r>
                  <w:r>
                    <w:rPr>
                      <w:rFonts w:hint="eastAsia" w:ascii="Times New Roman" w:hAnsi="Times New Roman"/>
                      <w:color w:val="auto"/>
                      <w:sz w:val="21"/>
                      <w:szCs w:val="21"/>
                      <w:highlight w:val="none"/>
                      <w:lang w:val="en-US" w:eastAsia="zh-CN"/>
                    </w:rPr>
                    <w:t>20</w:t>
                  </w:r>
                  <w:r>
                    <w:rPr>
                      <w:rFonts w:hint="default" w:ascii="Times New Roman" w:hAnsi="Times New Roman"/>
                      <w:color w:val="auto"/>
                      <w:sz w:val="21"/>
                      <w:szCs w:val="21"/>
                      <w:highlight w:val="none"/>
                    </w:rPr>
                    <w:t>年相比，水质类别</w:t>
                  </w:r>
                  <w:r>
                    <w:rPr>
                      <w:rFonts w:hint="eastAsia" w:ascii="Times New Roman" w:hAnsi="Times New Roman" w:eastAsia="宋体"/>
                      <w:color w:val="auto"/>
                      <w:sz w:val="21"/>
                      <w:szCs w:val="21"/>
                      <w:highlight w:val="none"/>
                      <w:lang w:val="en-US" w:eastAsia="zh-CN"/>
                    </w:rPr>
                    <w:t>保持不变。</w:t>
                  </w:r>
                  <w:r>
                    <w:rPr>
                      <w:rFonts w:hint="eastAsia" w:ascii="Times New Roman" w:hAnsi="Times New Roman" w:eastAsia="宋体" w:cs="Times New Roman"/>
                      <w:color w:val="auto"/>
                      <w:kern w:val="2"/>
                      <w:sz w:val="21"/>
                      <w:szCs w:val="21"/>
                      <w:highlight w:val="none"/>
                      <w:lang w:val="en-US" w:eastAsia="zh-CN" w:bidi="ar-SA"/>
                    </w:rPr>
                    <w:t>根据《</w:t>
                  </w:r>
                  <w:r>
                    <w:rPr>
                      <w:rFonts w:hint="default" w:ascii="Times New Roman" w:hAnsi="Times New Roman" w:eastAsia="宋体" w:cs="Times New Roman"/>
                      <w:color w:val="auto"/>
                      <w:kern w:val="2"/>
                      <w:sz w:val="21"/>
                      <w:szCs w:val="21"/>
                      <w:highlight w:val="none"/>
                      <w:lang w:val="en-US" w:eastAsia="zh-CN" w:bidi="ar-SA"/>
                    </w:rPr>
                    <w:t>202</w:t>
                  </w:r>
                  <w:r>
                    <w:rPr>
                      <w:rFonts w:hint="eastAsia" w:ascii="Times New Roman" w:hAnsi="Times New Roman" w:eastAsia="宋体" w:cs="Times New Roman"/>
                      <w:color w:val="auto"/>
                      <w:kern w:val="2"/>
                      <w:sz w:val="21"/>
                      <w:szCs w:val="21"/>
                      <w:highlight w:val="none"/>
                      <w:lang w:val="en-US" w:eastAsia="zh-CN" w:bidi="ar-SA"/>
                    </w:rPr>
                    <w:t>1年度昆明市生态环境状况公报》，</w:t>
                  </w:r>
                  <w:r>
                    <w:rPr>
                      <w:rFonts w:hint="eastAsia" w:ascii="Times New Roman" w:hAnsi="Times New Roman" w:eastAsia="宋体" w:cs="Times New Roman"/>
                      <w:color w:val="auto"/>
                      <w:sz w:val="21"/>
                      <w:szCs w:val="21"/>
                      <w:highlight w:val="none"/>
                      <w:lang w:val="en-US" w:eastAsia="zh-CN"/>
                    </w:rPr>
                    <w:t>2021年，各县（市）区环境空气质量总体保持良好。与2020年相比，安宁市、禄劝县环境空气综合污染指数有所下降，东川区、石林县、嵩明县、富民县、宜良县、寻甸县和阳宗海风景名胜区环境空气综合污染指数有所上升；</w:t>
                  </w:r>
                  <w:r>
                    <w:rPr>
                      <w:rFonts w:hint="eastAsia" w:ascii="Times New Roman" w:hAnsi="Times New Roman" w:eastAsia="宋体" w:cs="Times New Roman"/>
                      <w:color w:val="auto"/>
                      <w:kern w:val="2"/>
                      <w:sz w:val="21"/>
                      <w:szCs w:val="21"/>
                      <w:highlight w:val="none"/>
                      <w:lang w:val="en-US" w:eastAsia="zh-CN" w:bidi="ar-SA"/>
                    </w:rPr>
                    <w:t>项目区属于达标区。此外，</w:t>
                  </w:r>
                  <w:r>
                    <w:rPr>
                      <w:rFonts w:hint="default" w:ascii="Times New Roman" w:hAnsi="Times New Roman" w:eastAsia="宋体" w:cs="Times New Roman"/>
                      <w:color w:val="auto"/>
                      <w:kern w:val="2"/>
                      <w:sz w:val="21"/>
                      <w:szCs w:val="21"/>
                      <w:highlight w:val="none"/>
                      <w:lang w:val="en-US" w:eastAsia="zh-CN" w:bidi="ar-SA"/>
                    </w:rPr>
                    <w:t>项目不涉及土壤环境污染</w:t>
                  </w:r>
                  <w:r>
                    <w:rPr>
                      <w:rFonts w:hint="eastAsia" w:ascii="Times New Roman" w:hAnsi="Times New Roman" w:eastAsia="宋体" w:cs="Times New Roman"/>
                      <w:color w:val="auto"/>
                      <w:kern w:val="2"/>
                      <w:sz w:val="21"/>
                      <w:szCs w:val="21"/>
                      <w:highlight w:val="none"/>
                      <w:lang w:val="en-US" w:eastAsia="zh-CN" w:bidi="ar-SA"/>
                    </w:rPr>
                    <w:t>。</w:t>
                  </w:r>
                </w:p>
              </w:tc>
              <w:tc>
                <w:tcPr>
                  <w:tcW w:w="580" w:type="dxa"/>
                  <w:noWrap w:val="0"/>
                  <w:vAlign w:val="center"/>
                </w:tcPr>
                <w:p w14:paraId="0A9DA250">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符合</w:t>
                  </w:r>
                </w:p>
              </w:tc>
            </w:tr>
            <w:tr w14:paraId="10C8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258" w:hRule="atLeast"/>
                <w:jc w:val="center"/>
              </w:trPr>
              <w:tc>
                <w:tcPr>
                  <w:tcW w:w="713" w:type="dxa"/>
                  <w:noWrap w:val="0"/>
                  <w:vAlign w:val="center"/>
                </w:tcPr>
                <w:p w14:paraId="5846BFFB">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资源利用上限</w:t>
                  </w:r>
                </w:p>
              </w:tc>
              <w:tc>
                <w:tcPr>
                  <w:tcW w:w="4100" w:type="dxa"/>
                  <w:noWrap w:val="0"/>
                  <w:vAlign w:val="center"/>
                </w:tcPr>
                <w:p w14:paraId="0F88940D">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left"/>
                    <w:textAlignment w:val="auto"/>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snapToGrid w:val="0"/>
                      <w:color w:val="auto"/>
                      <w:sz w:val="21"/>
                      <w:szCs w:val="21"/>
                      <w:highlight w:val="none"/>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350" w:type="dxa"/>
                  <w:noWrap w:val="0"/>
                  <w:vAlign w:val="center"/>
                </w:tcPr>
                <w:p w14:paraId="2EC16E52">
                  <w:pPr>
                    <w:pStyle w:val="15"/>
                    <w:keepNext w:val="0"/>
                    <w:keepLines w:val="0"/>
                    <w:pageBreakBefore w:val="0"/>
                    <w:suppressLineNumbers w:val="0"/>
                    <w:kinsoku/>
                    <w:wordWrap/>
                    <w:overflowPunct/>
                    <w:bidi w:val="0"/>
                    <w:snapToGrid w:val="0"/>
                    <w:spacing w:before="0" w:beforeAutospacing="0" w:after="0" w:afterAutospacing="0" w:line="240" w:lineRule="auto"/>
                    <w:ind w:left="0" w:leftChars="0" w:right="0" w:firstLine="0" w:firstLineChars="0"/>
                    <w:textAlignment w:val="auto"/>
                    <w:rPr>
                      <w:rFonts w:hint="default" w:ascii="Times New Roman" w:hAnsi="Times New Roman" w:cs="Times New Roman"/>
                      <w:snapToGrid w:val="0"/>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项目位于</w:t>
                  </w:r>
                  <w:r>
                    <w:rPr>
                      <w:rFonts w:hint="eastAsia" w:ascii="Times New Roman" w:cs="Times New Roman"/>
                      <w:color w:val="auto"/>
                      <w:kern w:val="0"/>
                      <w:sz w:val="21"/>
                      <w:szCs w:val="21"/>
                      <w:highlight w:val="none"/>
                      <w:lang w:val="en-US" w:eastAsia="zh-CN"/>
                    </w:rPr>
                    <w:t>富</w:t>
                  </w:r>
                  <w:r>
                    <w:rPr>
                      <w:rFonts w:hint="eastAsia" w:ascii="Times New Roman" w:hAnsi="Times New Roman" w:eastAsia="宋体" w:cs="Times New Roman"/>
                      <w:color w:val="auto"/>
                      <w:kern w:val="2"/>
                      <w:sz w:val="21"/>
                      <w:szCs w:val="21"/>
                      <w:highlight w:val="none"/>
                      <w:lang w:val="en-US" w:eastAsia="zh-CN" w:bidi="ar-SA"/>
                    </w:rPr>
                    <w:t>民</w:t>
                  </w:r>
                  <w:r>
                    <w:rPr>
                      <w:rFonts w:hint="eastAsia" w:ascii="Times New Roman" w:hAnsi="Times New Roman" w:eastAsia="宋体" w:cs="Times New Roman"/>
                      <w:color w:val="auto"/>
                      <w:kern w:val="2"/>
                      <w:sz w:val="21"/>
                      <w:szCs w:val="21"/>
                      <w:highlight w:val="none"/>
                      <w:lang w:val="zh-CN" w:eastAsia="zh-CN" w:bidi="ar-SA"/>
                    </w:rPr>
                    <w:t>工业园区</w:t>
                  </w:r>
                  <w:r>
                    <w:rPr>
                      <w:rFonts w:hint="eastAsia" w:ascii="Times New Roman" w:hAnsi="Times New Roman" w:eastAsia="宋体" w:cs="Times New Roman"/>
                      <w:color w:val="auto"/>
                      <w:kern w:val="2"/>
                      <w:sz w:val="21"/>
                      <w:szCs w:val="21"/>
                      <w:highlight w:val="none"/>
                      <w:lang w:val="en-US" w:eastAsia="zh-CN" w:bidi="ar-SA"/>
                    </w:rPr>
                    <w:t>白石岩—大白坡片区</w:t>
                  </w:r>
                  <w:r>
                    <w:rPr>
                      <w:rFonts w:hint="eastAsia" w:ascii="Times New Roman" w:hAnsi="Times New Roman" w:cs="Times New Roman"/>
                      <w:color w:val="auto"/>
                      <w:kern w:val="2"/>
                      <w:sz w:val="21"/>
                      <w:szCs w:val="21"/>
                      <w:highlight w:val="none"/>
                      <w:lang w:val="en-US" w:eastAsia="zh-CN" w:bidi="ar-SA"/>
                    </w:rPr>
                    <w:t>哨箐组团</w:t>
                  </w:r>
                  <w:r>
                    <w:rPr>
                      <w:rFonts w:hint="eastAsia" w:ascii="Times New Roman" w:hAnsi="Times New Roman" w:cs="Times New Roman"/>
                      <w:color w:val="auto"/>
                      <w:kern w:val="0"/>
                      <w:sz w:val="21"/>
                      <w:szCs w:val="21"/>
                      <w:highlight w:val="none"/>
                      <w:lang w:val="en-US" w:eastAsia="zh-CN"/>
                    </w:rPr>
                    <w:t>，本项目为扩建项目，</w:t>
                  </w:r>
                  <w:r>
                    <w:rPr>
                      <w:rFonts w:hint="eastAsia" w:ascii="Times New Roman" w:hAnsi="Times New Roman" w:eastAsia="宋体" w:cs="Times New Roman"/>
                      <w:color w:val="auto"/>
                      <w:kern w:val="2"/>
                      <w:sz w:val="21"/>
                      <w:szCs w:val="21"/>
                      <w:highlight w:val="none"/>
                      <w:lang w:val="en-US" w:eastAsia="zh-CN" w:bidi="ar-SA"/>
                    </w:rPr>
                    <w:t>不新增占地，占地类型为工业用地。因此项目的实施对区域土地资源、农业生产影响较小。项目生产及生活用水均来自于现有的供水管网，本项目生产废水</w:t>
                  </w:r>
                  <w:r>
                    <w:rPr>
                      <w:rFonts w:hint="default" w:ascii="Times New Roman" w:hAnsi="Times New Roman"/>
                      <w:color w:val="auto"/>
                      <w:sz w:val="21"/>
                      <w:szCs w:val="21"/>
                      <w:highlight w:val="none"/>
                    </w:rPr>
                    <w:t>不外排</w:t>
                  </w:r>
                  <w:r>
                    <w:rPr>
                      <w:rFonts w:hint="eastAsia" w:ascii="Times New Roman" w:hAnsi="Times New Roman" w:eastAsia="宋体" w:cs="Times New Roman"/>
                      <w:color w:val="auto"/>
                      <w:kern w:val="2"/>
                      <w:sz w:val="21"/>
                      <w:szCs w:val="21"/>
                      <w:highlight w:val="none"/>
                      <w:lang w:val="en-US" w:eastAsia="zh-CN" w:bidi="ar-SA"/>
                    </w:rPr>
                    <w:t>。项目使用的原料均为外购无毒原料。此外项目所用能源大部分为电能，为清洁能源，不使用燃煤、燃油等。</w:t>
                  </w:r>
                </w:p>
              </w:tc>
              <w:tc>
                <w:tcPr>
                  <w:tcW w:w="580" w:type="dxa"/>
                  <w:noWrap w:val="0"/>
                  <w:vAlign w:val="center"/>
                </w:tcPr>
                <w:p w14:paraId="29942C34">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符合</w:t>
                  </w:r>
                </w:p>
              </w:tc>
            </w:tr>
            <w:tr w14:paraId="75AE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restart"/>
                  <w:noWrap w:val="0"/>
                  <w:vAlign w:val="center"/>
                </w:tcPr>
                <w:p w14:paraId="2269AE3A">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eastAsia" w:cs="Times New Roman"/>
                      <w:color w:val="auto"/>
                      <w:kern w:val="0"/>
                      <w:sz w:val="21"/>
                      <w:szCs w:val="21"/>
                      <w:highlight w:val="none"/>
                      <w:lang w:val="en-US" w:eastAsia="zh-CN"/>
                    </w:rPr>
                    <w:t>昆明市</w:t>
                  </w:r>
                  <w:r>
                    <w:rPr>
                      <w:rFonts w:hint="default" w:ascii="Times New Roman" w:hAnsi="Times New Roman" w:eastAsia="宋体" w:cs="Times New Roman"/>
                      <w:color w:val="auto"/>
                      <w:kern w:val="0"/>
                      <w:sz w:val="21"/>
                      <w:szCs w:val="21"/>
                      <w:highlight w:val="none"/>
                    </w:rPr>
                    <w:t>环境管控单元生态环境</w:t>
                  </w:r>
                  <w:r>
                    <w:rPr>
                      <w:rFonts w:hint="eastAsia" w:ascii="Times New Roman" w:hAnsi="Times New Roman" w:eastAsia="宋体" w:cs="Times New Roman"/>
                      <w:color w:val="auto"/>
                      <w:kern w:val="0"/>
                      <w:sz w:val="21"/>
                      <w:szCs w:val="21"/>
                      <w:highlight w:val="none"/>
                    </w:rPr>
                    <w:t>总体准入要求</w:t>
                  </w:r>
                </w:p>
              </w:tc>
              <w:tc>
                <w:tcPr>
                  <w:tcW w:w="4100" w:type="dxa"/>
                  <w:noWrap w:val="0"/>
                  <w:vAlign w:val="center"/>
                </w:tcPr>
                <w:p w14:paraId="1121E602">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b/>
                      <w:bCs/>
                      <w:snapToGrid w:val="0"/>
                      <w:color w:val="auto"/>
                      <w:sz w:val="21"/>
                      <w:szCs w:val="21"/>
                      <w:highlight w:val="none"/>
                      <w:lang w:val="en-US" w:eastAsia="zh-CN"/>
                    </w:rPr>
                    <w:t>空间布局约束：</w:t>
                  </w:r>
                  <w:r>
                    <w:rPr>
                      <w:rFonts w:hint="eastAsia" w:ascii="Times New Roman" w:hAnsi="Times New Roman" w:eastAsia="宋体" w:cs="Times New Roman"/>
                      <w:snapToGrid w:val="0"/>
                      <w:color w:val="auto"/>
                      <w:sz w:val="21"/>
                      <w:szCs w:val="21"/>
                      <w:highlight w:val="none"/>
                    </w:rPr>
                    <w:t>（1）严格控制滇池、螳螂川等水污染严重地区高耗水、高污染行业发展，新建、改建、扩建重点行业建设项目实行主要水污染物排放减量置换。</w:t>
                  </w:r>
                </w:p>
                <w:p w14:paraId="16F57CD8">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left"/>
                    <w:textAlignment w:val="auto"/>
                    <w:rPr>
                      <w:rFonts w:hint="eastAsia" w:ascii="Times New Roman" w:hAnsi="Times New Roman" w:eastAsia="微软雅黑" w:cs="Times New Roman"/>
                      <w:color w:val="auto"/>
                      <w:kern w:val="0"/>
                      <w:sz w:val="21"/>
                      <w:szCs w:val="21"/>
                      <w:highlight w:val="none"/>
                      <w:lang w:eastAsia="zh-CN"/>
                    </w:rPr>
                  </w:pPr>
                  <w:r>
                    <w:rPr>
                      <w:rFonts w:hint="eastAsia" w:ascii="Times New Roman" w:hAnsi="Times New Roman" w:eastAsia="宋体" w:cs="Times New Roman"/>
                      <w:snapToGrid w:val="0"/>
                      <w:color w:val="auto"/>
                      <w:sz w:val="21"/>
                      <w:szCs w:val="21"/>
                      <w:highlight w:val="none"/>
                    </w:rPr>
                    <w:t>（2）牛栏江流域内，严格按照《云南省牛栏江保护条例》相关要求对水环境区进行分区管控。</w:t>
                  </w:r>
                </w:p>
              </w:tc>
              <w:tc>
                <w:tcPr>
                  <w:tcW w:w="2350" w:type="dxa"/>
                  <w:noWrap w:val="0"/>
                  <w:vAlign w:val="center"/>
                </w:tcPr>
                <w:p w14:paraId="61A433F2">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cs="Times New Roman"/>
                      <w:color w:val="auto"/>
                      <w:kern w:val="0"/>
                      <w:sz w:val="21"/>
                      <w:szCs w:val="21"/>
                      <w:highlight w:val="none"/>
                      <w:lang w:val="en-US" w:eastAsia="zh-CN"/>
                    </w:rPr>
                    <w:t>本项目位于螳螂川流域，但不属于</w:t>
                  </w:r>
                  <w:r>
                    <w:rPr>
                      <w:rFonts w:hint="eastAsia" w:ascii="Times New Roman" w:hAnsi="Times New Roman" w:eastAsia="宋体" w:cs="Times New Roman"/>
                      <w:snapToGrid w:val="0"/>
                      <w:color w:val="auto"/>
                      <w:sz w:val="21"/>
                      <w:szCs w:val="21"/>
                      <w:highlight w:val="none"/>
                    </w:rPr>
                    <w:t>高耗水、高污染行业</w:t>
                  </w:r>
                  <w:r>
                    <w:rPr>
                      <w:rFonts w:hint="eastAsia" w:eastAsia="宋体" w:cs="Times New Roman"/>
                      <w:snapToGrid w:val="0"/>
                      <w:color w:val="auto"/>
                      <w:sz w:val="21"/>
                      <w:szCs w:val="21"/>
                      <w:highlight w:val="none"/>
                      <w:lang w:val="en-US" w:eastAsia="zh-CN"/>
                    </w:rPr>
                    <w:t>和</w:t>
                  </w:r>
                  <w:r>
                    <w:rPr>
                      <w:rFonts w:hint="eastAsia" w:ascii="Times New Roman" w:hAnsi="Times New Roman" w:eastAsia="宋体" w:cs="Times New Roman"/>
                      <w:snapToGrid w:val="0"/>
                      <w:color w:val="auto"/>
                      <w:sz w:val="21"/>
                      <w:szCs w:val="21"/>
                      <w:highlight w:val="none"/>
                    </w:rPr>
                    <w:t>重点行业建设项目</w:t>
                  </w:r>
                  <w:r>
                    <w:rPr>
                      <w:rFonts w:hint="eastAsia" w:eastAsia="宋体" w:cs="Times New Roman"/>
                      <w:snapToGrid w:val="0"/>
                      <w:color w:val="auto"/>
                      <w:sz w:val="21"/>
                      <w:szCs w:val="21"/>
                      <w:highlight w:val="none"/>
                      <w:lang w:eastAsia="zh-CN"/>
                    </w:rPr>
                    <w:t>。</w:t>
                  </w:r>
                </w:p>
              </w:tc>
              <w:tc>
                <w:tcPr>
                  <w:tcW w:w="580" w:type="dxa"/>
                  <w:noWrap w:val="0"/>
                  <w:vAlign w:val="center"/>
                </w:tcPr>
                <w:p w14:paraId="680CB969">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符合</w:t>
                  </w:r>
                </w:p>
              </w:tc>
            </w:tr>
            <w:tr w14:paraId="28EE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continue"/>
                  <w:noWrap w:val="0"/>
                  <w:vAlign w:val="center"/>
                </w:tcPr>
                <w:p w14:paraId="4747AEE1">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rPr>
                  </w:pPr>
                </w:p>
              </w:tc>
              <w:tc>
                <w:tcPr>
                  <w:tcW w:w="4100" w:type="dxa"/>
                  <w:noWrap w:val="0"/>
                  <w:vAlign w:val="center"/>
                </w:tcPr>
                <w:p w14:paraId="6F2D978E">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left"/>
                    <w:textAlignment w:val="auto"/>
                    <w:rPr>
                      <w:rFonts w:hint="eastAsia" w:ascii="Times New Roman" w:hAnsi="Times New Roman" w:eastAsia="微软雅黑" w:cs="Times New Roman"/>
                      <w:color w:val="auto"/>
                      <w:kern w:val="0"/>
                      <w:sz w:val="21"/>
                      <w:szCs w:val="21"/>
                      <w:highlight w:val="none"/>
                      <w:lang w:eastAsia="zh-CN"/>
                    </w:rPr>
                  </w:pPr>
                  <w:r>
                    <w:rPr>
                      <w:rFonts w:hint="eastAsia" w:ascii="Times New Roman" w:hAnsi="Times New Roman" w:eastAsia="宋体" w:cs="Times New Roman"/>
                      <w:b/>
                      <w:bCs/>
                      <w:snapToGrid w:val="0"/>
                      <w:color w:val="auto"/>
                      <w:sz w:val="21"/>
                      <w:szCs w:val="21"/>
                      <w:highlight w:val="none"/>
                      <w:lang w:val="en-US" w:eastAsia="zh-CN"/>
                    </w:rPr>
                    <w:t>污染物排放管控：</w:t>
                  </w:r>
                  <w:r>
                    <w:rPr>
                      <w:rFonts w:hint="eastAsia" w:ascii="Times New Roman" w:hAnsi="Times New Roman" w:eastAsia="宋体" w:cs="Times New Roman"/>
                      <w:snapToGrid w:val="0"/>
                      <w:color w:val="auto"/>
                      <w:sz w:val="21"/>
                      <w:szCs w:val="21"/>
                      <w:highlight w:val="none"/>
                    </w:rPr>
                    <w:t>（1）区域内COD允许排放量不得超过1.44万吨，氨氮允许排放量不得超过0.50万吨。（2）环境空气质量总体保持优良，区域内二氧化硫排放量控制在10.06万吨/年以下、氮氧化物排放量控制在9.32万吨/年以下。</w:t>
                  </w:r>
                </w:p>
              </w:tc>
              <w:tc>
                <w:tcPr>
                  <w:tcW w:w="2350" w:type="dxa"/>
                  <w:noWrap w:val="0"/>
                  <w:vAlign w:val="center"/>
                </w:tcPr>
                <w:p w14:paraId="73216800">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color w:val="auto"/>
                      <w:sz w:val="21"/>
                      <w:szCs w:val="21"/>
                      <w:highlight w:val="none"/>
                    </w:rPr>
                    <w:t>本项目</w:t>
                  </w:r>
                  <w:r>
                    <w:rPr>
                      <w:rFonts w:hint="eastAsia" w:ascii="Times New Roman" w:hAnsi="Times New Roman" w:eastAsia="宋体" w:cs="Times New Roman"/>
                      <w:snapToGrid w:val="0"/>
                      <w:color w:val="auto"/>
                      <w:sz w:val="21"/>
                      <w:szCs w:val="21"/>
                      <w:highlight w:val="none"/>
                    </w:rPr>
                    <w:t>COD</w:t>
                  </w:r>
                  <w:r>
                    <w:rPr>
                      <w:rFonts w:hint="eastAsia" w:ascii="Times New Roman" w:hAnsi="Times New Roman" w:eastAsia="宋体" w:cs="Times New Roman"/>
                      <w:snapToGrid w:val="0"/>
                      <w:color w:val="auto"/>
                      <w:sz w:val="21"/>
                      <w:szCs w:val="21"/>
                      <w:highlight w:val="none"/>
                      <w:lang w:eastAsia="zh-CN"/>
                    </w:rPr>
                    <w:t>、</w:t>
                  </w:r>
                  <w:r>
                    <w:rPr>
                      <w:rFonts w:hint="eastAsia" w:ascii="Times New Roman" w:hAnsi="Times New Roman" w:eastAsia="宋体" w:cs="Times New Roman"/>
                      <w:snapToGrid w:val="0"/>
                      <w:color w:val="auto"/>
                      <w:sz w:val="21"/>
                      <w:szCs w:val="21"/>
                      <w:highlight w:val="none"/>
                    </w:rPr>
                    <w:t>氨氮</w:t>
                  </w:r>
                  <w:r>
                    <w:rPr>
                      <w:rFonts w:hint="eastAsia"/>
                      <w:color w:val="auto"/>
                      <w:sz w:val="21"/>
                      <w:szCs w:val="21"/>
                      <w:highlight w:val="none"/>
                      <w:lang w:eastAsia="zh-CN"/>
                    </w:rPr>
                    <w:t>产生量较小，满足污染物控制；</w:t>
                  </w:r>
                  <w:r>
                    <w:rPr>
                      <w:rFonts w:hint="eastAsia" w:ascii="Times New Roman"/>
                      <w:color w:val="auto"/>
                      <w:sz w:val="21"/>
                      <w:szCs w:val="21"/>
                      <w:highlight w:val="none"/>
                      <w:lang w:val="en-US" w:eastAsia="zh-CN"/>
                    </w:rPr>
                    <w:t>本项目不产生SO</w:t>
                  </w:r>
                  <w:r>
                    <w:rPr>
                      <w:rFonts w:hint="eastAsia" w:ascii="Times New Roman"/>
                      <w:color w:val="auto"/>
                      <w:sz w:val="21"/>
                      <w:szCs w:val="21"/>
                      <w:highlight w:val="none"/>
                      <w:vertAlign w:val="subscript"/>
                      <w:lang w:val="en-US" w:eastAsia="zh-CN"/>
                    </w:rPr>
                    <w:t>2</w:t>
                  </w:r>
                  <w:r>
                    <w:rPr>
                      <w:rFonts w:hint="eastAsia" w:ascii="Times New Roman"/>
                      <w:color w:val="auto"/>
                      <w:sz w:val="21"/>
                      <w:szCs w:val="21"/>
                      <w:highlight w:val="none"/>
                      <w:lang w:val="en-US" w:eastAsia="zh-CN"/>
                    </w:rPr>
                    <w:t>及氮氧化物。</w:t>
                  </w:r>
                </w:p>
              </w:tc>
              <w:tc>
                <w:tcPr>
                  <w:tcW w:w="580" w:type="dxa"/>
                  <w:noWrap w:val="0"/>
                  <w:vAlign w:val="center"/>
                </w:tcPr>
                <w:p w14:paraId="147C985B">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符合</w:t>
                  </w:r>
                </w:p>
              </w:tc>
            </w:tr>
            <w:tr w14:paraId="66B2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continue"/>
                  <w:noWrap w:val="0"/>
                  <w:vAlign w:val="center"/>
                </w:tcPr>
                <w:p w14:paraId="01683E5D">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rPr>
                  </w:pPr>
                </w:p>
              </w:tc>
              <w:tc>
                <w:tcPr>
                  <w:tcW w:w="4100" w:type="dxa"/>
                  <w:noWrap w:val="0"/>
                  <w:vAlign w:val="center"/>
                </w:tcPr>
                <w:p w14:paraId="1C5DAD8C">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b/>
                      <w:bCs/>
                      <w:snapToGrid w:val="0"/>
                      <w:color w:val="auto"/>
                      <w:sz w:val="21"/>
                      <w:szCs w:val="21"/>
                      <w:highlight w:val="none"/>
                      <w:lang w:val="en-US" w:eastAsia="zh-CN"/>
                    </w:rPr>
                    <w:t>环境风险防控：</w:t>
                  </w:r>
                  <w:r>
                    <w:rPr>
                      <w:rFonts w:hint="eastAsia" w:ascii="Times New Roman" w:hAnsi="Times New Roman" w:eastAsia="宋体" w:cs="Times New Roman"/>
                      <w:snapToGrid w:val="0"/>
                      <w:color w:val="auto"/>
                      <w:sz w:val="21"/>
                      <w:szCs w:val="21"/>
                      <w:highlight w:val="none"/>
                      <w:lang w:val="en-US" w:eastAsia="zh-CN"/>
                    </w:rPr>
                    <w:t>（1）</w:t>
                  </w:r>
                  <w:r>
                    <w:rPr>
                      <w:rFonts w:hint="eastAsia" w:ascii="Times New Roman" w:hAnsi="Times New Roman" w:eastAsia="宋体" w:cs="Times New Roman"/>
                      <w:snapToGrid w:val="0"/>
                      <w:color w:val="auto"/>
                      <w:sz w:val="21"/>
                      <w:szCs w:val="21"/>
                      <w:highlight w:val="none"/>
                    </w:rPr>
                    <w:t>严格控制长江、珠江两大水系干流沿岸和滇池、阳宗海流域的石化、化工、有色金属冶炼等项目环境风险，合理布局生产装置及危险化学品仓储等设施。</w:t>
                  </w:r>
                  <w:r>
                    <w:rPr>
                      <w:rFonts w:hint="eastAsia" w:eastAsia="宋体" w:cs="Times New Roman"/>
                      <w:snapToGrid w:val="0"/>
                      <w:color w:val="auto"/>
                      <w:sz w:val="21"/>
                      <w:szCs w:val="21"/>
                      <w:highlight w:val="none"/>
                      <w:lang w:eastAsia="zh-CN"/>
                    </w:rPr>
                    <w:t>（</w:t>
                  </w:r>
                  <w:r>
                    <w:rPr>
                      <w:rFonts w:hint="eastAsia" w:eastAsia="宋体" w:cs="Times New Roman"/>
                      <w:snapToGrid w:val="0"/>
                      <w:color w:val="auto"/>
                      <w:sz w:val="21"/>
                      <w:szCs w:val="21"/>
                      <w:highlight w:val="none"/>
                      <w:lang w:val="en-US" w:eastAsia="zh-CN"/>
                    </w:rPr>
                    <w:t>2</w:t>
                  </w:r>
                  <w:r>
                    <w:rPr>
                      <w:rFonts w:hint="eastAsia" w:eastAsia="宋体" w:cs="Times New Roman"/>
                      <w:snapToGrid w:val="0"/>
                      <w:color w:val="auto"/>
                      <w:sz w:val="21"/>
                      <w:szCs w:val="21"/>
                      <w:highlight w:val="none"/>
                      <w:lang w:eastAsia="zh-CN"/>
                    </w:rPr>
                    <w:t>）</w:t>
                  </w:r>
                  <w:r>
                    <w:rPr>
                      <w:rFonts w:hint="eastAsia" w:ascii="Times New Roman" w:hAnsi="Times New Roman" w:eastAsia="宋体" w:cs="Times New Roman"/>
                      <w:snapToGrid w:val="0"/>
                      <w:color w:val="auto"/>
                      <w:sz w:val="21"/>
                      <w:szCs w:val="21"/>
                      <w:highlight w:val="none"/>
                    </w:rPr>
                    <w:t>强化与其他滇中城市的大气污染防治联防联控协作机制，加强区域内重污染天气应急联动。</w:t>
                  </w:r>
                </w:p>
              </w:tc>
              <w:tc>
                <w:tcPr>
                  <w:tcW w:w="2350" w:type="dxa"/>
                  <w:noWrap w:val="0"/>
                  <w:vAlign w:val="center"/>
                </w:tcPr>
                <w:p w14:paraId="6E514FE9">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本项目属于</w:t>
                  </w:r>
                  <w:r>
                    <w:rPr>
                      <w:rFonts w:hint="eastAsia" w:ascii="Times New Roman" w:hAnsi="Times New Roman" w:eastAsia="宋体" w:cs="Times New Roman"/>
                      <w:snapToGrid w:val="0"/>
                      <w:color w:val="auto"/>
                      <w:sz w:val="21"/>
                      <w:szCs w:val="21"/>
                      <w:highlight w:val="none"/>
                      <w:lang w:val="en-US" w:eastAsia="zh-CN"/>
                    </w:rPr>
                    <w:t>化工项目</w:t>
                  </w:r>
                  <w:r>
                    <w:rPr>
                      <w:rFonts w:hint="eastAsia" w:cs="Times New Roman"/>
                      <w:snapToGrid w:val="0"/>
                      <w:color w:val="auto"/>
                      <w:sz w:val="21"/>
                      <w:szCs w:val="21"/>
                      <w:highlight w:val="none"/>
                      <w:lang w:val="en-US" w:eastAsia="zh-CN"/>
                    </w:rPr>
                    <w:t>，进行了严格的风险管控</w:t>
                  </w:r>
                  <w:r>
                    <w:rPr>
                      <w:rFonts w:hint="eastAsia" w:ascii="Times New Roman" w:hAnsi="Times New Roman" w:eastAsia="宋体" w:cs="Times New Roman"/>
                      <w:snapToGrid w:val="0"/>
                      <w:color w:val="auto"/>
                      <w:sz w:val="21"/>
                      <w:szCs w:val="21"/>
                      <w:highlight w:val="none"/>
                      <w:lang w:val="en-US" w:eastAsia="zh-CN"/>
                    </w:rPr>
                    <w:t>，项目</w:t>
                  </w:r>
                  <w:r>
                    <w:rPr>
                      <w:rFonts w:hint="eastAsia" w:cs="Times New Roman"/>
                      <w:snapToGrid w:val="0"/>
                      <w:color w:val="auto"/>
                      <w:sz w:val="21"/>
                      <w:szCs w:val="21"/>
                      <w:highlight w:val="none"/>
                      <w:lang w:val="en-US" w:eastAsia="zh-CN"/>
                    </w:rPr>
                    <w:t>已</w:t>
                  </w:r>
                  <w:r>
                    <w:rPr>
                      <w:rFonts w:hint="eastAsia" w:ascii="Times New Roman" w:hAnsi="Times New Roman" w:eastAsia="宋体" w:cs="Times New Roman"/>
                      <w:snapToGrid w:val="0"/>
                      <w:color w:val="auto"/>
                      <w:sz w:val="21"/>
                      <w:szCs w:val="21"/>
                      <w:highlight w:val="none"/>
                      <w:lang w:val="en-US" w:eastAsia="zh-CN"/>
                    </w:rPr>
                    <w:t>按相关要求编制突发环境事件应急预案，并报当地生态环境部门备案。</w:t>
                  </w:r>
                </w:p>
              </w:tc>
              <w:tc>
                <w:tcPr>
                  <w:tcW w:w="580" w:type="dxa"/>
                  <w:noWrap w:val="0"/>
                  <w:vAlign w:val="center"/>
                </w:tcPr>
                <w:p w14:paraId="2CC4CBD5">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符合</w:t>
                  </w:r>
                </w:p>
              </w:tc>
            </w:tr>
            <w:tr w14:paraId="5CA7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continue"/>
                  <w:noWrap w:val="0"/>
                  <w:vAlign w:val="center"/>
                </w:tcPr>
                <w:p w14:paraId="2D8ECD30">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rPr>
                  </w:pPr>
                </w:p>
              </w:tc>
              <w:tc>
                <w:tcPr>
                  <w:tcW w:w="4100" w:type="dxa"/>
                  <w:noWrap w:val="0"/>
                  <w:vAlign w:val="center"/>
                </w:tcPr>
                <w:p w14:paraId="4099DBC2">
                  <w:pPr>
                    <w:keepNext w:val="0"/>
                    <w:keepLines w:val="0"/>
                    <w:pageBreakBefore w:val="0"/>
                    <w:suppressLineNumbers w:val="0"/>
                    <w:tabs>
                      <w:tab w:val="left" w:pos="252"/>
                    </w:tabs>
                    <w:kinsoku/>
                    <w:wordWrap/>
                    <w:overflowPunct/>
                    <w:bidi w:val="0"/>
                    <w:snapToGrid w:val="0"/>
                    <w:spacing w:before="0" w:beforeAutospacing="0" w:after="0" w:afterAutospacing="0" w:line="240" w:lineRule="auto"/>
                    <w:ind w:left="0" w:leftChars="0" w:right="0"/>
                    <w:textAlignment w:val="auto"/>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b/>
                      <w:bCs/>
                      <w:snapToGrid w:val="0"/>
                      <w:color w:val="auto"/>
                      <w:sz w:val="21"/>
                      <w:szCs w:val="21"/>
                      <w:highlight w:val="none"/>
                      <w:lang w:val="en-US" w:eastAsia="zh-CN"/>
                    </w:rPr>
                    <w:t>资源利用效率：</w:t>
                  </w:r>
                  <w:r>
                    <w:rPr>
                      <w:rFonts w:hint="eastAsia" w:ascii="Times New Roman" w:hAnsi="Times New Roman" w:eastAsia="宋体" w:cs="Times New Roman"/>
                      <w:color w:val="auto"/>
                      <w:sz w:val="21"/>
                      <w:szCs w:val="21"/>
                      <w:highlight w:val="none"/>
                      <w:lang w:val="en-US" w:eastAsia="zh-CN"/>
                    </w:rPr>
                    <w:t>水资源利用效率要求：水资源利用效率持续提高，完成省级下达的水资源利用效率目标要求。能源利用效率要求：能源利用效率持续提高，完成省级下达的能源利用效率目标。碳排放强度控制要求：（1）全市绿色低碳产业结构基本形成，能源生产和消费结构进一步优化，实现单位地区生产总值二氧化碳排放量完成省下达任务。（2）非化石能源消费占能源消费总量比重达到20%。</w:t>
                  </w:r>
                </w:p>
              </w:tc>
              <w:tc>
                <w:tcPr>
                  <w:tcW w:w="2350" w:type="dxa"/>
                  <w:noWrap w:val="0"/>
                  <w:vAlign w:val="center"/>
                </w:tcPr>
                <w:p w14:paraId="7962831B">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项目生产及生活用水均来自于现有的供水管网，本项目生产废水</w:t>
                  </w:r>
                  <w:r>
                    <w:rPr>
                      <w:rFonts w:hint="eastAsia" w:ascii="Times New Roman" w:hAnsi="Times New Roman"/>
                      <w:color w:val="auto"/>
                      <w:sz w:val="21"/>
                      <w:szCs w:val="21"/>
                      <w:highlight w:val="none"/>
                      <w:lang w:eastAsia="zh-CN"/>
                    </w:rPr>
                    <w:t>，</w:t>
                  </w:r>
                  <w:r>
                    <w:rPr>
                      <w:rFonts w:hint="default" w:ascii="Times New Roman" w:hAnsi="Times New Roman"/>
                      <w:color w:val="auto"/>
                      <w:sz w:val="21"/>
                      <w:szCs w:val="21"/>
                      <w:highlight w:val="none"/>
                    </w:rPr>
                    <w:t>不外排</w:t>
                  </w:r>
                  <w:r>
                    <w:rPr>
                      <w:rFonts w:hint="eastAsia" w:ascii="Times New Roman" w:hAnsi="Times New Roman" w:eastAsia="宋体" w:cs="Times New Roman"/>
                      <w:color w:val="auto"/>
                      <w:kern w:val="2"/>
                      <w:sz w:val="21"/>
                      <w:szCs w:val="21"/>
                      <w:highlight w:val="none"/>
                      <w:lang w:val="en-US" w:eastAsia="zh-CN" w:bidi="ar-SA"/>
                    </w:rPr>
                    <w:t>。项目使用的原料均为外购无毒原料。此外项目所用能源为电能，不使用燃煤、燃油等。</w:t>
                  </w:r>
                </w:p>
              </w:tc>
              <w:tc>
                <w:tcPr>
                  <w:tcW w:w="580" w:type="dxa"/>
                  <w:noWrap w:val="0"/>
                  <w:vAlign w:val="center"/>
                </w:tcPr>
                <w:p w14:paraId="3CE1EF3A">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符合</w:t>
                  </w:r>
                </w:p>
              </w:tc>
            </w:tr>
            <w:tr w14:paraId="2D35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restart"/>
                  <w:noWrap w:val="0"/>
                  <w:vAlign w:val="center"/>
                </w:tcPr>
                <w:p w14:paraId="37BA14CA">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cs="Times New Roman"/>
                      <w:snapToGrid w:val="0"/>
                      <w:color w:val="auto"/>
                      <w:sz w:val="21"/>
                      <w:szCs w:val="21"/>
                      <w:highlight w:val="none"/>
                      <w:lang w:val="en-US" w:eastAsia="zh-CN"/>
                    </w:rPr>
                    <w:t>云南富民</w:t>
                  </w:r>
                  <w:r>
                    <w:rPr>
                      <w:rFonts w:hint="eastAsia" w:ascii="Times New Roman" w:hAnsi="Times New Roman" w:eastAsia="宋体" w:cs="Times New Roman"/>
                      <w:snapToGrid w:val="0"/>
                      <w:color w:val="auto"/>
                      <w:sz w:val="21"/>
                      <w:szCs w:val="21"/>
                      <w:highlight w:val="none"/>
                      <w:lang w:val="en-US" w:eastAsia="zh-CN"/>
                    </w:rPr>
                    <w:t>工业园区重点管控单元生态环境准入清单</w:t>
                  </w:r>
                </w:p>
              </w:tc>
              <w:tc>
                <w:tcPr>
                  <w:tcW w:w="4100" w:type="dxa"/>
                  <w:noWrap w:val="0"/>
                  <w:vAlign w:val="center"/>
                </w:tcPr>
                <w:p w14:paraId="7C94AEFE">
                  <w:pPr>
                    <w:keepNext w:val="0"/>
                    <w:keepLines w:val="0"/>
                    <w:pageBreakBefore w:val="0"/>
                    <w:suppressLineNumbers w:val="0"/>
                    <w:tabs>
                      <w:tab w:val="left" w:pos="252"/>
                    </w:tabs>
                    <w:kinsoku/>
                    <w:wordWrap/>
                    <w:overflowPunct/>
                    <w:bidi w:val="0"/>
                    <w:snapToGrid w:val="0"/>
                    <w:spacing w:before="0" w:beforeAutospacing="0" w:after="0" w:afterAutospacing="0" w:line="240" w:lineRule="auto"/>
                    <w:ind w:left="0" w:leftChars="0" w:right="0"/>
                    <w:textAlignment w:val="auto"/>
                    <w:rPr>
                      <w:rFonts w:hint="eastAsia" w:ascii="Times New Roman" w:hAnsi="Times New Roman" w:eastAsia="宋体" w:cs="Times New Roman"/>
                      <w:b/>
                      <w:bCs/>
                      <w:snapToGrid w:val="0"/>
                      <w:color w:val="auto"/>
                      <w:sz w:val="21"/>
                      <w:szCs w:val="21"/>
                      <w:highlight w:val="none"/>
                      <w:lang w:val="en-US" w:eastAsia="zh-CN"/>
                    </w:rPr>
                  </w:pPr>
                  <w:r>
                    <w:rPr>
                      <w:rFonts w:hint="eastAsia" w:ascii="Times New Roman" w:hAnsi="Times New Roman" w:eastAsia="宋体" w:cs="Times New Roman"/>
                      <w:b/>
                      <w:bCs/>
                      <w:snapToGrid w:val="0"/>
                      <w:color w:val="auto"/>
                      <w:sz w:val="21"/>
                      <w:szCs w:val="21"/>
                      <w:highlight w:val="none"/>
                      <w:lang w:val="en-US" w:eastAsia="zh-CN"/>
                    </w:rPr>
                    <w:t>空间布局约束：</w:t>
                  </w:r>
                  <w:r>
                    <w:rPr>
                      <w:rFonts w:hint="eastAsia" w:ascii="Times New Roman" w:hAnsi="Times New Roman" w:eastAsia="宋体" w:cs="Times New Roman"/>
                      <w:color w:val="auto"/>
                      <w:sz w:val="21"/>
                      <w:szCs w:val="21"/>
                      <w:highlight w:val="none"/>
                      <w:lang w:val="en-US" w:eastAsia="zh-CN"/>
                    </w:rPr>
                    <w:t>1.构建以新材料产业为主导，发展装备制造、精食品加工为辅助的产业体系。2.污染类工业应该分类聚集，严禁与养生、居住布局在同一园区。</w:t>
                  </w:r>
                </w:p>
              </w:tc>
              <w:tc>
                <w:tcPr>
                  <w:tcW w:w="2350" w:type="dxa"/>
                  <w:noWrap w:val="0"/>
                  <w:vAlign w:val="center"/>
                </w:tcPr>
                <w:p w14:paraId="2EAA131D">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snapToGrid w:val="0"/>
                      <w:color w:val="auto"/>
                      <w:sz w:val="21"/>
                      <w:szCs w:val="21"/>
                      <w:highlight w:val="none"/>
                      <w:lang w:val="en-US" w:eastAsia="zh-CN"/>
                    </w:rPr>
                    <w:t>本</w:t>
                  </w:r>
                  <w:r>
                    <w:rPr>
                      <w:rFonts w:hint="eastAsia" w:ascii="Times New Roman" w:hAnsi="Times New Roman" w:eastAsia="宋体" w:cs="Times New Roman"/>
                      <w:snapToGrid w:val="0"/>
                      <w:color w:val="auto"/>
                      <w:sz w:val="21"/>
                      <w:szCs w:val="21"/>
                      <w:highlight w:val="none"/>
                      <w:lang w:val="en-US" w:eastAsia="zh-CN"/>
                    </w:rPr>
                    <w:t>项</w:t>
                  </w:r>
                  <w:r>
                    <w:rPr>
                      <w:rFonts w:hint="eastAsia" w:ascii="Times New Roman" w:hAnsi="Times New Roman" w:eastAsia="宋体" w:cs="Times New Roman"/>
                      <w:color w:val="auto"/>
                      <w:sz w:val="21"/>
                      <w:szCs w:val="21"/>
                      <w:highlight w:val="none"/>
                      <w:lang w:val="en-US" w:eastAsia="zh-CN" w:bidi="ar-SA"/>
                    </w:rPr>
                    <w:t>目产品为</w:t>
                  </w:r>
                  <w:r>
                    <w:rPr>
                      <w:rFonts w:hint="eastAsia" w:cs="Times New Roman"/>
                      <w:color w:val="auto"/>
                      <w:sz w:val="21"/>
                      <w:szCs w:val="21"/>
                      <w:highlight w:val="none"/>
                      <w:lang w:val="en-US" w:eastAsia="zh-CN" w:bidi="ar-SA"/>
                    </w:rPr>
                    <w:t>水性涂料、腻子粉</w:t>
                  </w:r>
                  <w:r>
                    <w:rPr>
                      <w:rFonts w:hint="eastAsia" w:ascii="Times New Roman" w:hAnsi="Times New Roman" w:eastAsia="宋体" w:cs="Times New Roman"/>
                      <w:color w:val="auto"/>
                      <w:sz w:val="21"/>
                      <w:szCs w:val="21"/>
                      <w:highlight w:val="none"/>
                      <w:lang w:val="en-US" w:eastAsia="zh-CN" w:bidi="ar-SA"/>
                    </w:rPr>
                    <w:t>，与白石岩—大白坡片区</w:t>
                  </w:r>
                  <w:r>
                    <w:rPr>
                      <w:rFonts w:hint="eastAsia" w:cs="Times New Roman"/>
                      <w:color w:val="auto"/>
                      <w:sz w:val="21"/>
                      <w:szCs w:val="21"/>
                      <w:highlight w:val="none"/>
                      <w:lang w:val="en-US" w:eastAsia="zh-CN" w:bidi="ar-SA"/>
                    </w:rPr>
                    <w:t>哨箐组团，</w:t>
                  </w:r>
                  <w:r>
                    <w:rPr>
                      <w:rFonts w:hint="eastAsia" w:ascii="Times New Roman" w:hAnsi="Times New Roman" w:eastAsia="宋体" w:cs="Times New Roman"/>
                      <w:color w:val="auto"/>
                      <w:sz w:val="21"/>
                      <w:szCs w:val="21"/>
                      <w:highlight w:val="none"/>
                      <w:lang w:val="en-US" w:eastAsia="zh-CN" w:bidi="ar-SA"/>
                    </w:rPr>
                    <w:t>产业定位不冲突</w:t>
                  </w:r>
                  <w:r>
                    <w:rPr>
                      <w:rFonts w:hint="default" w:ascii="Times New Roman" w:hAnsi="Times New Roman" w:eastAsia="宋体" w:cs="Times New Roman"/>
                      <w:color w:val="auto"/>
                      <w:sz w:val="21"/>
                      <w:szCs w:val="21"/>
                      <w:highlight w:val="none"/>
                      <w:lang w:val="en-US" w:eastAsia="zh-CN" w:bidi="ar-SA"/>
                    </w:rPr>
                    <w:t>，</w:t>
                  </w:r>
                  <w:r>
                    <w:rPr>
                      <w:rFonts w:hint="eastAsia" w:ascii="Times New Roman" w:hAnsi="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eastAsia="zh-CN" w:bidi="ar-SA"/>
                    </w:rPr>
                    <w:t>周围500m范围内</w:t>
                  </w:r>
                  <w:r>
                    <w:rPr>
                      <w:rFonts w:hint="eastAsia" w:cs="Times New Roman"/>
                      <w:color w:val="auto"/>
                      <w:sz w:val="21"/>
                      <w:szCs w:val="21"/>
                      <w:highlight w:val="none"/>
                      <w:lang w:val="en-US" w:eastAsia="zh-CN" w:bidi="ar-SA"/>
                    </w:rPr>
                    <w:t>主要分布有电器设备、机械制造企业</w:t>
                  </w:r>
                  <w:r>
                    <w:rPr>
                      <w:rFonts w:hint="default" w:ascii="Times New Roman" w:hAnsi="Times New Roman" w:eastAsia="宋体" w:cs="Times New Roman"/>
                      <w:color w:val="auto"/>
                      <w:sz w:val="21"/>
                      <w:szCs w:val="21"/>
                      <w:highlight w:val="none"/>
                      <w:lang w:val="en-US" w:eastAsia="zh-CN" w:bidi="ar-SA"/>
                    </w:rPr>
                    <w:t>，</w:t>
                  </w:r>
                  <w:r>
                    <w:rPr>
                      <w:rFonts w:hint="eastAsia" w:ascii="Times New Roman" w:hAnsi="Times New Roman" w:eastAsia="宋体" w:cs="Times New Roman"/>
                      <w:color w:val="auto"/>
                      <w:sz w:val="21"/>
                      <w:szCs w:val="21"/>
                      <w:highlight w:val="none"/>
                      <w:lang w:val="en-US" w:eastAsia="zh-CN"/>
                    </w:rPr>
                    <w:t>与养生、居住</w:t>
                  </w:r>
                  <w:r>
                    <w:rPr>
                      <w:rFonts w:hint="eastAsia" w:ascii="Times New Roman" w:hAnsi="Times New Roman" w:cs="Times New Roman"/>
                      <w:color w:val="auto"/>
                      <w:sz w:val="21"/>
                      <w:szCs w:val="21"/>
                      <w:highlight w:val="none"/>
                      <w:lang w:val="en-US" w:eastAsia="zh-CN"/>
                    </w:rPr>
                    <w:t>未</w:t>
                  </w:r>
                  <w:r>
                    <w:rPr>
                      <w:rFonts w:hint="eastAsia" w:ascii="Times New Roman" w:hAnsi="Times New Roman" w:eastAsia="宋体" w:cs="Times New Roman"/>
                      <w:color w:val="auto"/>
                      <w:sz w:val="21"/>
                      <w:szCs w:val="21"/>
                      <w:highlight w:val="none"/>
                      <w:lang w:val="en-US" w:eastAsia="zh-CN"/>
                    </w:rPr>
                    <w:t>布局在同一园区</w:t>
                  </w:r>
                  <w:r>
                    <w:rPr>
                      <w:rFonts w:hint="eastAsia" w:eastAsia="宋体" w:cs="Times New Roman"/>
                      <w:color w:val="auto"/>
                      <w:sz w:val="21"/>
                      <w:szCs w:val="21"/>
                      <w:highlight w:val="none"/>
                      <w:lang w:val="en-US" w:eastAsia="zh-CN"/>
                    </w:rPr>
                    <w:t>。</w:t>
                  </w:r>
                </w:p>
              </w:tc>
              <w:tc>
                <w:tcPr>
                  <w:tcW w:w="580" w:type="dxa"/>
                  <w:noWrap w:val="0"/>
                  <w:vAlign w:val="center"/>
                </w:tcPr>
                <w:p w14:paraId="72F9880B">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符合</w:t>
                  </w:r>
                </w:p>
              </w:tc>
            </w:tr>
            <w:tr w14:paraId="6E36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continue"/>
                  <w:noWrap w:val="0"/>
                  <w:vAlign w:val="center"/>
                </w:tcPr>
                <w:p w14:paraId="5D7CC0A1">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snapToGrid w:val="0"/>
                      <w:color w:val="auto"/>
                      <w:sz w:val="21"/>
                      <w:szCs w:val="21"/>
                      <w:highlight w:val="none"/>
                      <w:lang w:val="en-US" w:eastAsia="zh-CN"/>
                    </w:rPr>
                  </w:pPr>
                </w:p>
              </w:tc>
              <w:tc>
                <w:tcPr>
                  <w:tcW w:w="4100" w:type="dxa"/>
                  <w:noWrap w:val="0"/>
                  <w:vAlign w:val="center"/>
                </w:tcPr>
                <w:p w14:paraId="4A435F79">
                  <w:pPr>
                    <w:keepNext w:val="0"/>
                    <w:keepLines w:val="0"/>
                    <w:pageBreakBefore w:val="0"/>
                    <w:suppressLineNumbers w:val="0"/>
                    <w:kinsoku/>
                    <w:wordWrap/>
                    <w:overflowPunct/>
                    <w:bidi w:val="0"/>
                    <w:snapToGrid w:val="0"/>
                    <w:spacing w:before="0" w:beforeAutospacing="0" w:after="0" w:afterAutospacing="0"/>
                    <w:ind w:left="0" w:leftChars="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污染物排放管控：</w:t>
                  </w:r>
                  <w:r>
                    <w:rPr>
                      <w:rFonts w:hint="default" w:ascii="Times New Roman" w:hAnsi="Times New Roman" w:eastAsia="宋体" w:cs="Times New Roman"/>
                      <w:color w:val="auto"/>
                      <w:sz w:val="21"/>
                      <w:szCs w:val="21"/>
                      <w:highlight w:val="none"/>
                      <w:lang w:val="en-US" w:eastAsia="zh-CN" w:bidi="ar-SA"/>
                    </w:rPr>
                    <w:t>1.园区规划内新建的产业工业废水经处理达最严格标准，且满足环境容量时，可外排。2.区域环境质量不能稳定达标前，新改扩建项目排放区域环境超标污染因子须实行区域超量削减，其中有色金属冶炼生产废水要封闭循环不外排。3.加大园区截污率，为产业布局腾出环境容量。4.制定区域环境综合整治计划，加快推进园区工业固废和污水集中处理处置设施建设，确保工业固废得到合理利用、妥善处置。5.开展河流沿岸涉重片区及涉重企业雨污分流，初期雨水处理等综合治理，建设工业废水集中处理厂及废水应急处理设施，净化处理片区汇水。6.开展淘汰关闭企业迹地清理，妥善解决遗留环境问题。督促现有企业确实履行环保责任，落实各项污染防治措施。7.园区工业发展应采取“上大关小、增产减污、节能减排”等措施，对原有老企业，应通过整改措施，改善工艺，减少污染物排放。8.对现有电解铝企业逐步进行环保升级改造，禁止新建扩建电解铝企业。</w:t>
                  </w:r>
                </w:p>
              </w:tc>
              <w:tc>
                <w:tcPr>
                  <w:tcW w:w="2350" w:type="dxa"/>
                  <w:noWrap w:val="0"/>
                  <w:vAlign w:val="center"/>
                </w:tcPr>
                <w:p w14:paraId="46B1A94D">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1、</w:t>
                  </w:r>
                  <w:r>
                    <w:rPr>
                      <w:rFonts w:hint="eastAsia" w:ascii="Times New Roman" w:hAnsi="Times New Roman" w:eastAsia="宋体" w:cs="Times New Roman"/>
                      <w:color w:val="auto"/>
                      <w:sz w:val="21"/>
                      <w:szCs w:val="21"/>
                      <w:highlight w:val="none"/>
                      <w:lang w:val="en-US" w:eastAsia="zh-CN" w:bidi="ar-SA"/>
                    </w:rPr>
                    <w:t>项目生产废水</w:t>
                  </w:r>
                  <w:r>
                    <w:rPr>
                      <w:rFonts w:hint="eastAsia" w:cs="Times New Roman"/>
                      <w:color w:val="auto"/>
                      <w:sz w:val="21"/>
                      <w:szCs w:val="21"/>
                      <w:highlight w:val="none"/>
                      <w:lang w:val="en-US" w:eastAsia="zh-CN" w:bidi="ar-SA"/>
                    </w:rPr>
                    <w:t>产生量不大</w:t>
                  </w: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经污水处理系统处理达标后进入园区污水管网</w:t>
                  </w:r>
                  <w:r>
                    <w:rPr>
                      <w:rFonts w:hint="eastAsia" w:ascii="Times New Roman" w:hAnsi="Times New Roman" w:eastAsia="宋体" w:cs="Times New Roman"/>
                      <w:color w:val="auto"/>
                      <w:sz w:val="21"/>
                      <w:szCs w:val="21"/>
                      <w:highlight w:val="none"/>
                      <w:lang w:val="en-US" w:eastAsia="zh-CN" w:bidi="ar-SA"/>
                    </w:rPr>
                    <w:t>；</w:t>
                  </w:r>
                </w:p>
                <w:p w14:paraId="734DC2E4">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w:t>
                  </w:r>
                  <w:r>
                    <w:rPr>
                      <w:rFonts w:hint="eastAsia" w:ascii="Times New Roman" w:hAnsi="Times New Roman" w:eastAsia="宋体" w:cs="Times New Roman"/>
                      <w:color w:val="auto"/>
                      <w:kern w:val="2"/>
                      <w:sz w:val="21"/>
                      <w:szCs w:val="21"/>
                      <w:highlight w:val="none"/>
                      <w:lang w:val="en-US" w:eastAsia="zh-CN" w:bidi="ar-SA"/>
                    </w:rPr>
                    <w:t>根据《</w:t>
                  </w:r>
                  <w:r>
                    <w:rPr>
                      <w:rFonts w:hint="default" w:ascii="Times New Roman" w:hAnsi="Times New Roman" w:eastAsia="宋体" w:cs="Times New Roman"/>
                      <w:color w:val="auto"/>
                      <w:kern w:val="2"/>
                      <w:sz w:val="21"/>
                      <w:szCs w:val="21"/>
                      <w:highlight w:val="none"/>
                      <w:lang w:val="en-US" w:eastAsia="zh-CN" w:bidi="ar-SA"/>
                    </w:rPr>
                    <w:t>202</w:t>
                  </w:r>
                  <w:r>
                    <w:rPr>
                      <w:rFonts w:hint="eastAsia" w:ascii="Times New Roman" w:hAnsi="Times New Roman" w:eastAsia="宋体" w:cs="Times New Roman"/>
                      <w:color w:val="auto"/>
                      <w:kern w:val="2"/>
                      <w:sz w:val="21"/>
                      <w:szCs w:val="21"/>
                      <w:highlight w:val="none"/>
                      <w:lang w:val="en-US" w:eastAsia="zh-CN" w:bidi="ar-SA"/>
                    </w:rPr>
                    <w:t>1年度昆明市生态环境状况公报》，项目区属于达标区</w:t>
                  </w:r>
                  <w:r>
                    <w:rPr>
                      <w:rFonts w:hint="eastAsia" w:ascii="Times New Roman" w:hAnsi="Times New Roman" w:cs="Times New Roman"/>
                      <w:color w:val="auto"/>
                      <w:kern w:val="2"/>
                      <w:sz w:val="21"/>
                      <w:szCs w:val="21"/>
                      <w:highlight w:val="none"/>
                      <w:lang w:val="en-US" w:eastAsia="zh-CN" w:bidi="ar-SA"/>
                    </w:rPr>
                    <w:t>；</w:t>
                  </w:r>
                  <w:r>
                    <w:rPr>
                      <w:rFonts w:hint="default" w:ascii="Times New Roman"/>
                      <w:color w:val="auto"/>
                      <w:sz w:val="21"/>
                      <w:szCs w:val="21"/>
                      <w:highlight w:val="none"/>
                    </w:rPr>
                    <w:t>本项目产生的</w:t>
                  </w:r>
                  <w:r>
                    <w:rPr>
                      <w:rFonts w:hint="eastAsia" w:ascii="Times New Roman"/>
                      <w:color w:val="auto"/>
                      <w:sz w:val="21"/>
                      <w:szCs w:val="21"/>
                      <w:highlight w:val="none"/>
                    </w:rPr>
                    <w:t>颗粒物</w:t>
                  </w:r>
                  <w:r>
                    <w:rPr>
                      <w:rFonts w:hint="default" w:ascii="Times New Roman"/>
                      <w:color w:val="auto"/>
                      <w:sz w:val="21"/>
                      <w:szCs w:val="21"/>
                      <w:highlight w:val="none"/>
                    </w:rPr>
                    <w:t>经布袋除尘器</w:t>
                  </w:r>
                  <w:r>
                    <w:rPr>
                      <w:rFonts w:hint="eastAsia"/>
                      <w:color w:val="auto"/>
                      <w:sz w:val="21"/>
                      <w:szCs w:val="21"/>
                      <w:highlight w:val="none"/>
                      <w:lang w:eastAsia="zh-CN"/>
                    </w:rPr>
                    <w:t>、</w:t>
                  </w:r>
                  <w:r>
                    <w:rPr>
                      <w:rFonts w:hint="eastAsia"/>
                      <w:color w:val="auto"/>
                      <w:sz w:val="21"/>
                      <w:szCs w:val="21"/>
                      <w:highlight w:val="none"/>
                      <w:lang w:val="en-US" w:eastAsia="zh-CN"/>
                    </w:rPr>
                    <w:t>集中式滤筒除尘器</w:t>
                  </w:r>
                  <w:r>
                    <w:rPr>
                      <w:rFonts w:hint="default" w:ascii="Times New Roman"/>
                      <w:color w:val="auto"/>
                      <w:sz w:val="21"/>
                      <w:szCs w:val="21"/>
                      <w:highlight w:val="none"/>
                    </w:rPr>
                    <w:t>处理后可达标排放</w:t>
                  </w:r>
                  <w:r>
                    <w:rPr>
                      <w:rFonts w:hint="eastAsia"/>
                      <w:color w:val="auto"/>
                      <w:sz w:val="21"/>
                      <w:szCs w:val="21"/>
                      <w:highlight w:val="none"/>
                      <w:lang w:eastAsia="zh-CN"/>
                    </w:rPr>
                    <w:t>，</w:t>
                  </w:r>
                  <w:r>
                    <w:rPr>
                      <w:rFonts w:hint="eastAsia"/>
                      <w:color w:val="auto"/>
                      <w:sz w:val="21"/>
                      <w:szCs w:val="21"/>
                      <w:highlight w:val="none"/>
                      <w:lang w:val="en-US" w:eastAsia="zh-CN"/>
                    </w:rPr>
                    <w:t>产生的非甲烷总烃采用UV光氧+活性炭吸附装置处理后达标排放</w:t>
                  </w:r>
                  <w:r>
                    <w:rPr>
                      <w:rFonts w:hint="default" w:ascii="Times New Roman"/>
                      <w:color w:val="auto"/>
                      <w:sz w:val="21"/>
                      <w:szCs w:val="21"/>
                      <w:highlight w:val="none"/>
                    </w:rPr>
                    <w:t>。</w:t>
                  </w:r>
                  <w:r>
                    <w:rPr>
                      <w:rFonts w:hint="default" w:ascii="Times New Roman" w:hAnsi="Times New Roman"/>
                      <w:color w:val="auto"/>
                      <w:sz w:val="21"/>
                      <w:szCs w:val="21"/>
                      <w:highlight w:val="none"/>
                    </w:rPr>
                    <w:t>项目区域地表水</w:t>
                  </w:r>
                  <w:r>
                    <w:rPr>
                      <w:rFonts w:hint="eastAsia" w:ascii="Times New Roman" w:hAnsi="Times New Roman"/>
                      <w:color w:val="auto"/>
                      <w:sz w:val="21"/>
                      <w:szCs w:val="21"/>
                      <w:highlight w:val="none"/>
                      <w:lang w:val="en-US" w:eastAsia="zh-CN"/>
                    </w:rPr>
                    <w:t>螳螂川</w:t>
                  </w:r>
                  <w:r>
                    <w:rPr>
                      <w:rFonts w:hint="default" w:ascii="Times New Roman" w:hAnsi="Times New Roman"/>
                      <w:color w:val="auto"/>
                      <w:sz w:val="21"/>
                      <w:szCs w:val="21"/>
                      <w:highlight w:val="none"/>
                    </w:rPr>
                    <w:t>现状水质能满足《地表水环境质量标准》（GB3838-2002）</w:t>
                  </w:r>
                  <w:r>
                    <w:rPr>
                      <w:rFonts w:hint="eastAsia" w:ascii="宋体" w:hAnsi="宋体" w:eastAsia="宋体" w:cs="宋体"/>
                      <w:color w:val="auto"/>
                      <w:sz w:val="21"/>
                      <w:szCs w:val="21"/>
                      <w:highlight w:val="none"/>
                    </w:rPr>
                    <w:t>Ⅳ</w:t>
                  </w:r>
                  <w:r>
                    <w:rPr>
                      <w:rFonts w:hint="default" w:ascii="Times New Roman" w:hAnsi="Times New Roman"/>
                      <w:color w:val="auto"/>
                      <w:sz w:val="21"/>
                      <w:szCs w:val="21"/>
                      <w:highlight w:val="none"/>
                    </w:rPr>
                    <w:t>类标准要求</w:t>
                  </w:r>
                  <w:r>
                    <w:rPr>
                      <w:rFonts w:hint="eastAsia" w:ascii="Times New Roman" w:hAnsi="Times New Roman"/>
                      <w:color w:val="auto"/>
                      <w:sz w:val="21"/>
                      <w:szCs w:val="21"/>
                      <w:highlight w:val="none"/>
                      <w:lang w:eastAsia="zh-CN"/>
                    </w:rPr>
                    <w:t>；</w:t>
                  </w:r>
                </w:p>
                <w:p w14:paraId="1A86E042">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3、本项目不属于</w:t>
                  </w:r>
                  <w:r>
                    <w:rPr>
                      <w:rFonts w:hint="default" w:ascii="Times New Roman" w:hAnsi="Times New Roman" w:eastAsia="宋体" w:cs="Times New Roman"/>
                      <w:color w:val="auto"/>
                      <w:sz w:val="21"/>
                      <w:szCs w:val="21"/>
                      <w:highlight w:val="none"/>
                      <w:lang w:val="en-US" w:eastAsia="zh-CN" w:bidi="ar-SA"/>
                    </w:rPr>
                    <w:t>涉重企业</w:t>
                  </w:r>
                  <w:r>
                    <w:rPr>
                      <w:rFonts w:hint="eastAsia" w:ascii="Times New Roman" w:hAnsi="Times New Roman" w:cs="Times New Roman"/>
                      <w:color w:val="auto"/>
                      <w:sz w:val="21"/>
                      <w:szCs w:val="21"/>
                      <w:highlight w:val="none"/>
                      <w:lang w:val="en-US" w:eastAsia="zh-CN" w:bidi="ar-SA"/>
                    </w:rPr>
                    <w:t>和</w:t>
                  </w:r>
                  <w:r>
                    <w:rPr>
                      <w:rFonts w:hint="default" w:ascii="Times New Roman" w:hAnsi="Times New Roman" w:eastAsia="宋体" w:cs="Times New Roman"/>
                      <w:color w:val="auto"/>
                      <w:sz w:val="21"/>
                      <w:szCs w:val="21"/>
                      <w:highlight w:val="none"/>
                      <w:lang w:val="en-US" w:eastAsia="zh-CN" w:bidi="ar-SA"/>
                    </w:rPr>
                    <w:t>电解铝企业</w:t>
                  </w:r>
                  <w:r>
                    <w:rPr>
                      <w:rFonts w:hint="eastAsia" w:ascii="Times New Roman" w:hAnsi="Times New Roman"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4、本项目固废处理率达100%；5、本项目排水采用雨污分流，设置初期雨水收集池；6、本项目属于扩建项目，本次扩建对原项目不合理的、尚未落实的环保措施提出相应的整改；7、本项目严格遵循“</w:t>
                  </w:r>
                  <w:r>
                    <w:rPr>
                      <w:rFonts w:hint="default" w:ascii="Times New Roman" w:hAnsi="Times New Roman" w:eastAsia="宋体" w:cs="Times New Roman"/>
                      <w:color w:val="auto"/>
                      <w:sz w:val="21"/>
                      <w:szCs w:val="21"/>
                      <w:highlight w:val="none"/>
                      <w:lang w:val="en-US" w:eastAsia="zh-CN" w:bidi="ar-SA"/>
                    </w:rPr>
                    <w:t>增产减污、节能减排</w:t>
                  </w:r>
                  <w:r>
                    <w:rPr>
                      <w:rFonts w:hint="eastAsia" w:cs="Times New Roman"/>
                      <w:color w:val="auto"/>
                      <w:sz w:val="21"/>
                      <w:szCs w:val="21"/>
                      <w:highlight w:val="none"/>
                      <w:lang w:val="en-US" w:eastAsia="zh-CN" w:bidi="ar-SA"/>
                    </w:rPr>
                    <w:t>”措施，对原项目尚未落实的环保设施进行整改；8、本项目不属于</w:t>
                  </w:r>
                  <w:r>
                    <w:rPr>
                      <w:rFonts w:hint="default" w:ascii="Times New Roman" w:hAnsi="Times New Roman" w:eastAsia="宋体" w:cs="Times New Roman"/>
                      <w:color w:val="auto"/>
                      <w:sz w:val="21"/>
                      <w:szCs w:val="21"/>
                      <w:highlight w:val="none"/>
                      <w:lang w:val="en-US" w:eastAsia="zh-CN" w:bidi="ar-SA"/>
                    </w:rPr>
                    <w:t>电解铝</w:t>
                  </w:r>
                  <w:r>
                    <w:rPr>
                      <w:rFonts w:hint="eastAsia" w:cs="Times New Roman"/>
                      <w:color w:val="auto"/>
                      <w:sz w:val="21"/>
                      <w:szCs w:val="21"/>
                      <w:highlight w:val="none"/>
                      <w:lang w:val="en-US" w:eastAsia="zh-CN" w:bidi="ar-SA"/>
                    </w:rPr>
                    <w:t>项目。</w:t>
                  </w:r>
                </w:p>
              </w:tc>
              <w:tc>
                <w:tcPr>
                  <w:tcW w:w="580" w:type="dxa"/>
                  <w:noWrap w:val="0"/>
                  <w:vAlign w:val="center"/>
                </w:tcPr>
                <w:p w14:paraId="2F9A0BF2">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符合</w:t>
                  </w:r>
                </w:p>
              </w:tc>
            </w:tr>
            <w:tr w14:paraId="3241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continue"/>
                  <w:noWrap w:val="0"/>
                  <w:vAlign w:val="center"/>
                </w:tcPr>
                <w:p w14:paraId="2CF11161">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snapToGrid w:val="0"/>
                      <w:color w:val="auto"/>
                      <w:sz w:val="21"/>
                      <w:szCs w:val="21"/>
                      <w:highlight w:val="none"/>
                      <w:lang w:val="en-US" w:eastAsia="zh-CN"/>
                    </w:rPr>
                  </w:pPr>
                </w:p>
              </w:tc>
              <w:tc>
                <w:tcPr>
                  <w:tcW w:w="4100" w:type="dxa"/>
                  <w:noWrap w:val="0"/>
                  <w:vAlign w:val="center"/>
                </w:tcPr>
                <w:p w14:paraId="3D3524EA">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Fonts w:hint="eastAsia" w:ascii="Times New Roman" w:hAnsi="Times New Roman" w:eastAsia="仿宋_GB2312" w:cs="Times New Roman"/>
                      <w:b/>
                      <w:bCs/>
                      <w:color w:val="auto"/>
                      <w:sz w:val="21"/>
                      <w:szCs w:val="21"/>
                      <w:highlight w:val="none"/>
                      <w:lang w:val="en-US" w:eastAsia="zh-CN"/>
                    </w:rPr>
                  </w:pPr>
                  <w:r>
                    <w:rPr>
                      <w:rFonts w:hint="default" w:ascii="Times New Roman" w:eastAsia="宋体"/>
                      <w:b/>
                      <w:bCs/>
                      <w:color w:val="auto"/>
                      <w:sz w:val="21"/>
                      <w:szCs w:val="21"/>
                      <w:highlight w:val="none"/>
                    </w:rPr>
                    <w:t>环境风险防控</w:t>
                  </w:r>
                  <w:r>
                    <w:rPr>
                      <w:rFonts w:hint="eastAsia" w:ascii="Times New Roman" w:eastAsia="宋体"/>
                      <w:b/>
                      <w:bCs/>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化工企业在选址布局及现有企业布局调整时充分考虑与居民区风险防护距离，工业园区及相关企业严格制定应急预案，落实风险防范措施，避免安全事故、污染事故等造成的环境污染。</w:t>
                  </w:r>
                </w:p>
              </w:tc>
              <w:tc>
                <w:tcPr>
                  <w:tcW w:w="2350" w:type="dxa"/>
                  <w:noWrap w:val="0"/>
                  <w:vAlign w:val="center"/>
                </w:tcPr>
                <w:p w14:paraId="364AFDC4">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both"/>
                    <w:textAlignment w:val="auto"/>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1、本项目属于化工企业；</w:t>
                  </w:r>
                </w:p>
                <w:p w14:paraId="7D4D9DAF">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both"/>
                    <w:textAlignment w:val="auto"/>
                    <w:rPr>
                      <w:rFonts w:hint="default"/>
                      <w:color w:val="auto"/>
                      <w:highlight w:val="none"/>
                      <w:lang w:val="en-US" w:eastAsia="zh-CN"/>
                    </w:rPr>
                  </w:pPr>
                  <w:r>
                    <w:rPr>
                      <w:rFonts w:hint="eastAsia" w:ascii="Times New Roman" w:hAnsi="Times New Roman" w:cs="Times New Roman"/>
                      <w:color w:val="auto"/>
                      <w:sz w:val="21"/>
                      <w:szCs w:val="21"/>
                      <w:highlight w:val="none"/>
                      <w:lang w:val="en-US" w:eastAsia="zh-CN" w:bidi="ar-SA"/>
                    </w:rPr>
                    <w:t>2、</w:t>
                  </w:r>
                  <w:r>
                    <w:rPr>
                      <w:rFonts w:hint="eastAsia" w:cs="Times New Roman"/>
                      <w:snapToGrid w:val="0"/>
                      <w:color w:val="auto"/>
                      <w:sz w:val="21"/>
                      <w:szCs w:val="21"/>
                      <w:highlight w:val="none"/>
                      <w:lang w:val="en-US" w:eastAsia="zh-CN"/>
                    </w:rPr>
                    <w:t>环评已提出</w:t>
                  </w:r>
                  <w:r>
                    <w:rPr>
                      <w:rFonts w:hint="eastAsia" w:ascii="Times New Roman" w:hAnsi="Times New Roman" w:eastAsia="宋体" w:cs="Times New Roman"/>
                      <w:snapToGrid w:val="0"/>
                      <w:color w:val="auto"/>
                      <w:sz w:val="21"/>
                      <w:szCs w:val="21"/>
                      <w:highlight w:val="none"/>
                      <w:lang w:val="en-US" w:eastAsia="zh-CN"/>
                    </w:rPr>
                    <w:t>按相关要求编制突发环境事件应急预案，并报当地生态环境部门备案。</w:t>
                  </w:r>
                </w:p>
              </w:tc>
              <w:tc>
                <w:tcPr>
                  <w:tcW w:w="580" w:type="dxa"/>
                  <w:noWrap w:val="0"/>
                  <w:vAlign w:val="center"/>
                </w:tcPr>
                <w:p w14:paraId="14A7690B">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符合</w:t>
                  </w:r>
                </w:p>
              </w:tc>
            </w:tr>
            <w:tr w14:paraId="2EB4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continue"/>
                  <w:noWrap w:val="0"/>
                  <w:vAlign w:val="center"/>
                </w:tcPr>
                <w:p w14:paraId="76212718">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snapToGrid w:val="0"/>
                      <w:color w:val="auto"/>
                      <w:sz w:val="21"/>
                      <w:szCs w:val="21"/>
                      <w:highlight w:val="none"/>
                      <w:lang w:val="en-US" w:eastAsia="zh-CN"/>
                    </w:rPr>
                  </w:pPr>
                </w:p>
              </w:tc>
              <w:tc>
                <w:tcPr>
                  <w:tcW w:w="4100" w:type="dxa"/>
                  <w:noWrap w:val="0"/>
                  <w:vAlign w:val="center"/>
                </w:tcPr>
                <w:p w14:paraId="6ED1E049">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Style w:val="79"/>
                      <w:rFonts w:hint="eastAsia" w:ascii="Times New Roman" w:hAnsi="Times New Roman" w:eastAsia="仿宋_GB2312" w:cs="Times New Roman"/>
                      <w:color w:val="auto"/>
                      <w:kern w:val="0"/>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资源开发效率要求：</w:t>
                  </w:r>
                  <w:r>
                    <w:rPr>
                      <w:rFonts w:hint="eastAsia" w:ascii="Times New Roman" w:hAnsi="Times New Roman" w:eastAsia="宋体" w:cs="Times New Roman"/>
                      <w:color w:val="auto"/>
                      <w:sz w:val="21"/>
                      <w:szCs w:val="21"/>
                      <w:highlight w:val="none"/>
                      <w:lang w:val="en-US" w:eastAsia="zh-CN"/>
                    </w:rPr>
                    <w:t>逐步提高工业聚集区再生水回用率，减少新鲜用水量。</w:t>
                  </w:r>
                </w:p>
              </w:tc>
              <w:tc>
                <w:tcPr>
                  <w:tcW w:w="2350" w:type="dxa"/>
                  <w:noWrap w:val="0"/>
                  <w:vAlign w:val="center"/>
                </w:tcPr>
                <w:p w14:paraId="4296E411">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SA"/>
                    </w:rPr>
                    <w:t>项目生产废水</w:t>
                  </w:r>
                  <w:r>
                    <w:rPr>
                      <w:rFonts w:hint="eastAsia" w:cs="Times New Roman"/>
                      <w:color w:val="auto"/>
                      <w:sz w:val="21"/>
                      <w:szCs w:val="21"/>
                      <w:highlight w:val="none"/>
                      <w:lang w:val="en-US" w:eastAsia="zh-CN" w:bidi="ar-SA"/>
                    </w:rPr>
                    <w:t>产生量不大，经自建污水处理系统处理达标后进入园区污水管网</w:t>
                  </w:r>
                  <w:r>
                    <w:rPr>
                      <w:rFonts w:hint="eastAsia" w:ascii="Times New Roman" w:hAnsi="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新鲜用水量</w:t>
                  </w:r>
                  <w:r>
                    <w:rPr>
                      <w:rFonts w:hint="eastAsia" w:cs="Times New Roman"/>
                      <w:color w:val="auto"/>
                      <w:sz w:val="21"/>
                      <w:szCs w:val="21"/>
                      <w:highlight w:val="none"/>
                      <w:lang w:val="en-US" w:eastAsia="zh-CN"/>
                    </w:rPr>
                    <w:t>不大</w:t>
                  </w:r>
                  <w:r>
                    <w:rPr>
                      <w:rFonts w:hint="default" w:ascii="Times New Roman" w:eastAsia="宋体"/>
                      <w:color w:val="auto"/>
                      <w:sz w:val="21"/>
                      <w:szCs w:val="21"/>
                      <w:highlight w:val="none"/>
                    </w:rPr>
                    <w:t>。</w:t>
                  </w:r>
                </w:p>
              </w:tc>
              <w:tc>
                <w:tcPr>
                  <w:tcW w:w="580" w:type="dxa"/>
                  <w:noWrap w:val="0"/>
                  <w:vAlign w:val="center"/>
                </w:tcPr>
                <w:p w14:paraId="305C1F9C">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符合</w:t>
                  </w:r>
                </w:p>
              </w:tc>
            </w:tr>
          </w:tbl>
          <w:p w14:paraId="508826EB">
            <w:pPr>
              <w:pStyle w:val="1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因此</w:t>
            </w:r>
            <w:r>
              <w:rPr>
                <w:rFonts w:hint="default" w:ascii="Times New Roman" w:hAnsi="Times New Roman" w:cs="Times New Roman"/>
                <w:color w:val="auto"/>
                <w:sz w:val="24"/>
                <w:highlight w:val="none"/>
              </w:rPr>
              <w:t>，本</w:t>
            </w:r>
            <w:r>
              <w:rPr>
                <w:rFonts w:hint="default" w:ascii="Times New Roman" w:hAnsi="Times New Roman" w:eastAsia="宋体" w:cs="Times New Roman"/>
                <w:color w:val="auto"/>
                <w:highlight w:val="none"/>
                <w:lang w:val="en-US" w:eastAsia="zh-CN"/>
              </w:rPr>
              <w:t>项目</w:t>
            </w:r>
            <w:r>
              <w:rPr>
                <w:rFonts w:hint="default" w:ascii="Times New Roman" w:hAnsi="Times New Roman" w:cs="Times New Roman"/>
                <w:color w:val="auto"/>
                <w:sz w:val="24"/>
                <w:highlight w:val="none"/>
              </w:rPr>
              <w:t>建设符合</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昆明市</w:t>
            </w:r>
            <w:r>
              <w:rPr>
                <w:rFonts w:hint="eastAsia" w:ascii="Times New Roman" w:hAnsi="Times New Roman" w:eastAsia="宋体" w:cs="Times New Roman"/>
                <w:color w:val="auto"/>
                <w:sz w:val="24"/>
                <w:highlight w:val="none"/>
                <w:lang w:val="en-US" w:eastAsia="zh-CN"/>
              </w:rPr>
              <w:t>“三线一单”生态环境分区管控实施方案》</w:t>
            </w:r>
            <w:r>
              <w:rPr>
                <w:rFonts w:hint="default" w:ascii="Times New Roman" w:hAnsi="Times New Roman" w:cs="Times New Roman"/>
                <w:color w:val="auto"/>
                <w:sz w:val="24"/>
                <w:highlight w:val="none"/>
              </w:rPr>
              <w:t>的相关要求。</w:t>
            </w:r>
          </w:p>
          <w:p w14:paraId="75A8AED1">
            <w:pPr>
              <w:pStyle w:val="37"/>
              <w:keepNext w:val="0"/>
              <w:keepLines w:val="0"/>
              <w:pageBreakBefore w:val="0"/>
              <w:suppressLineNumbers w:val="0"/>
              <w:kinsoku/>
              <w:wordWrap/>
              <w:overflowPunct/>
              <w:bidi w:val="0"/>
              <w:snapToGrid w:val="0"/>
              <w:spacing w:before="0" w:beforeAutospacing="0" w:after="0" w:afterAutospacing="0"/>
              <w:ind w:left="0" w:leftChars="0" w:right="0"/>
              <w:jc w:val="both"/>
              <w:textAlignment w:val="auto"/>
              <w:rPr>
                <w:rFonts w:hint="default" w:ascii="Times New Roman" w:hAnsi="Times New Roman" w:eastAsia="宋体" w:cs="Times New Roman"/>
                <w:b/>
                <w:bCs/>
                <w:color w:val="auto"/>
                <w:sz w:val="24"/>
                <w:szCs w:val="24"/>
                <w:lang w:val="en-US" w:eastAsia="zh-CN"/>
              </w:rPr>
            </w:pPr>
            <w:r>
              <w:rPr>
                <w:rFonts w:hint="eastAsia"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、与《长江经济带生态环境保护规划》及《关于发布长江经济带发展负面清单指南（试行）的通知》的符合性分析</w:t>
            </w:r>
          </w:p>
          <w:p w14:paraId="47B86BBF">
            <w:pPr>
              <w:pStyle w:val="37"/>
              <w:keepNext w:val="0"/>
              <w:keepLines w:val="0"/>
              <w:pageBreakBefore w:val="0"/>
              <w:suppressLineNumbers w:val="0"/>
              <w:kinsoku/>
              <w:wordWrap/>
              <w:overflowPunct/>
              <w:bidi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2017年7月18日，国家环境保护部、发展改革委、水利部联合印发了《长江经济带生态环境保护规划》》（环规财〔2017〕88号），2019年1月12日，推动长江经济带发展领导小组办公室以第89号文印发《关于发布长江经济带发展负面清单指南（试行）的通知》。</w:t>
            </w:r>
          </w:p>
          <w:p w14:paraId="5B528D4D">
            <w:pPr>
              <w:pStyle w:val="37"/>
              <w:keepNext w:val="0"/>
              <w:keepLines w:val="0"/>
              <w:pageBreakBefore w:val="0"/>
              <w:suppressLineNumbers w:val="0"/>
              <w:kinsoku/>
              <w:wordWrap/>
              <w:overflowPunct/>
              <w:bidi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本项目为涂料生产</w:t>
            </w:r>
            <w:r>
              <w:rPr>
                <w:rFonts w:hint="eastAsia" w:hAnsi="Times New Roman" w:cs="Times New Roman"/>
                <w:color w:val="auto"/>
                <w:sz w:val="24"/>
                <w:szCs w:val="24"/>
                <w:lang w:val="en-US" w:eastAsia="zh-CN"/>
              </w:rPr>
              <w:t>扩建</w:t>
            </w:r>
            <w:r>
              <w:rPr>
                <w:rFonts w:hint="default" w:ascii="Times New Roman" w:hAnsi="Times New Roman" w:eastAsia="宋体" w:cs="Times New Roman"/>
                <w:color w:val="auto"/>
                <w:sz w:val="24"/>
                <w:szCs w:val="24"/>
                <w:lang w:val="en-US" w:eastAsia="zh-CN"/>
              </w:rPr>
              <w:t>项目，符合国家产业政策，位于云南省昆明市富民工业园区白石岩——大白坡片区</w:t>
            </w:r>
            <w:r>
              <w:rPr>
                <w:rFonts w:hint="eastAsia" w:hAnsi="Times New Roman" w:cs="Times New Roman"/>
                <w:color w:val="auto"/>
                <w:sz w:val="24"/>
                <w:szCs w:val="24"/>
                <w:lang w:val="en-US" w:eastAsia="zh-CN"/>
              </w:rPr>
              <w:t>哨箐</w:t>
            </w:r>
            <w:r>
              <w:rPr>
                <w:rFonts w:hint="default" w:ascii="Times New Roman" w:hAnsi="Times New Roman" w:eastAsia="宋体" w:cs="Times New Roman"/>
                <w:color w:val="auto"/>
                <w:sz w:val="24"/>
                <w:szCs w:val="24"/>
                <w:lang w:val="en-US" w:eastAsia="zh-CN"/>
              </w:rPr>
              <w:t>组团，其选址不涉及自然保护区、饮用水源保护区、水产种质资源保护区、生态红线、基本农田等环境敏感区域，满足《长江经济带发展负面清单指南》（试行）中的要求。</w:t>
            </w:r>
          </w:p>
          <w:p w14:paraId="1FB5848A">
            <w:pPr>
              <w:pStyle w:val="37"/>
              <w:keepNext w:val="0"/>
              <w:keepLines w:val="0"/>
              <w:pageBreakBefore w:val="0"/>
              <w:suppressLineNumbers w:val="0"/>
              <w:kinsoku/>
              <w:wordWrap/>
              <w:overflowPunct/>
              <w:bidi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4"/>
                <w:szCs w:val="24"/>
                <w:lang w:val="en-US" w:eastAsia="zh-CN"/>
              </w:rPr>
            </w:pPr>
            <w:r>
              <w:rPr>
                <w:rFonts w:hint="eastAsia" w:hAnsi="Times New Roman" w:cs="Times New Roman"/>
                <w:color w:val="auto"/>
                <w:sz w:val="24"/>
                <w:szCs w:val="24"/>
                <w:lang w:val="en-US" w:eastAsia="zh-CN"/>
              </w:rPr>
              <w:t>本项目距离螳螂川1.3km，不在</w:t>
            </w:r>
            <w:r>
              <w:rPr>
                <w:rFonts w:hint="default" w:ascii="Times New Roman" w:hAnsi="Times New Roman" w:eastAsia="宋体" w:cs="Times New Roman"/>
                <w:color w:val="auto"/>
                <w:sz w:val="24"/>
                <w:szCs w:val="24"/>
              </w:rPr>
              <w:t>长江干支流1公里范围内</w:t>
            </w:r>
            <w:r>
              <w:rPr>
                <w:rFonts w:hint="eastAsia" w:hAnsi="Times New Roman" w:cs="Times New Roman"/>
                <w:color w:val="auto"/>
                <w:sz w:val="24"/>
                <w:szCs w:val="24"/>
                <w:lang w:eastAsia="zh-CN"/>
              </w:rPr>
              <w:t>，</w:t>
            </w:r>
            <w:r>
              <w:rPr>
                <w:rFonts w:hint="eastAsia" w:hAnsi="Times New Roman" w:cs="Times New Roman"/>
                <w:color w:val="auto"/>
                <w:sz w:val="24"/>
                <w:szCs w:val="24"/>
                <w:lang w:val="en-US" w:eastAsia="zh-CN"/>
              </w:rPr>
              <w:t>且项目的建设符合园区定位，不属于</w:t>
            </w:r>
            <w:r>
              <w:rPr>
                <w:rFonts w:hint="default" w:ascii="Times New Roman" w:hAnsi="Times New Roman" w:eastAsia="宋体" w:cs="Times New Roman"/>
                <w:color w:val="auto"/>
                <w:sz w:val="24"/>
                <w:szCs w:val="24"/>
                <w:lang w:val="en-US" w:eastAsia="zh-CN"/>
              </w:rPr>
              <w:t>《长江经济带发展负面清单指南》（试行）中</w:t>
            </w:r>
            <w:r>
              <w:rPr>
                <w:rFonts w:hint="default" w:ascii="Times New Roman" w:hAnsi="Times New Roman" w:eastAsia="宋体" w:cs="Times New Roman"/>
                <w:color w:val="auto"/>
                <w:sz w:val="24"/>
                <w:szCs w:val="24"/>
              </w:rPr>
              <w:t>“禁止在长江干支流1公里范围内新建、扩建化工园区和化工项目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禁止新建不符合非煤矿山转型升级有关准入标准的非煤矿山</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禁止在合规园区外新建、扩建钢铁、石化、化工、焦化、建材、有色等高污染项目”、“禁止新建、扩建不符合国家石化、现代煤化工等产业布局规划的项目”、“禁止新建、扩建法律法规和相关政策明令禁止的落后产能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“禁止新建、扩建不符合国家产能置换要求的严重过剩产能行业的项目”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禁止建设高毒高残留以及对环境影响大的农药原药生产装置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p>
          <w:p w14:paraId="7284E2C0">
            <w:pPr>
              <w:pStyle w:val="37"/>
              <w:keepNext w:val="0"/>
              <w:keepLines w:val="0"/>
              <w:pageBreakBefore w:val="0"/>
              <w:suppressLineNumbers w:val="0"/>
              <w:kinsoku/>
              <w:wordWrap/>
              <w:overflowPunct/>
              <w:bidi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综上，本项目建设不违反《长江经济带发展负面清单指南》（试行），符合《长江经济带生态环境保护规划》。</w:t>
            </w:r>
          </w:p>
          <w:p w14:paraId="1DEE8F8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3、《云南省长江经济带发展负面清单指南实施细则（试行，2022年版）》的通知</w:t>
            </w:r>
          </w:p>
          <w:p w14:paraId="1538EB1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Cs w:val="21"/>
              </w:rPr>
            </w:pPr>
          </w:p>
          <w:p w14:paraId="65C45F6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Cs w:val="21"/>
              </w:rPr>
            </w:pPr>
          </w:p>
          <w:p w14:paraId="2644F509">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Cs w:val="21"/>
              </w:rPr>
            </w:pPr>
          </w:p>
          <w:p w14:paraId="7F73F53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1-</w:t>
            </w:r>
            <w:r>
              <w:rPr>
                <w:rFonts w:hint="eastAsia" w:ascii="Times New Roman" w:hAnsi="Times New Roman" w:eastAsia="宋体" w:cs="Times New Roman"/>
                <w:b/>
                <w:bCs/>
                <w:color w:val="auto"/>
                <w:szCs w:val="21"/>
                <w:lang w:val="en-US" w:eastAsia="zh-CN"/>
              </w:rPr>
              <w:t>5</w:t>
            </w:r>
            <w:r>
              <w:rPr>
                <w:rFonts w:hint="default" w:ascii="Times New Roman" w:hAnsi="Times New Roman" w:eastAsia="宋体" w:cs="Times New Roman"/>
                <w:b/>
                <w:bCs/>
                <w:color w:val="auto"/>
                <w:szCs w:val="21"/>
              </w:rPr>
              <w:t>《云南省长江经济带发展负面清单指南实施细则（试行）</w:t>
            </w:r>
            <w:r>
              <w:rPr>
                <w:rFonts w:hint="default" w:ascii="Times New Roman" w:hAnsi="Times New Roman" w:eastAsia="宋体" w:cs="Times New Roman"/>
                <w:b/>
                <w:bCs/>
                <w:color w:val="auto"/>
                <w:szCs w:val="21"/>
                <w:lang w:val="en-US" w:eastAsia="zh-CN"/>
              </w:rPr>
              <w:t>2022年版</w:t>
            </w:r>
            <w:r>
              <w:rPr>
                <w:rFonts w:hint="default" w:ascii="Times New Roman" w:hAnsi="Times New Roman" w:eastAsia="宋体" w:cs="Times New Roman"/>
                <w:b/>
                <w:bCs/>
                <w:color w:val="auto"/>
                <w:szCs w:val="21"/>
              </w:rPr>
              <w:t>》符合性分析</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4704"/>
              <w:gridCol w:w="1774"/>
              <w:gridCol w:w="732"/>
            </w:tblGrid>
            <w:tr w14:paraId="0D40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109E78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rPr>
                    <w:t>序号</w:t>
                  </w:r>
                </w:p>
              </w:tc>
              <w:tc>
                <w:tcPr>
                  <w:tcW w:w="3039" w:type="pct"/>
                  <w:noWrap w:val="0"/>
                  <w:vAlign w:val="center"/>
                </w:tcPr>
                <w:p w14:paraId="391E7D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rPr>
                    <w:t>规范要求</w:t>
                  </w:r>
                </w:p>
              </w:tc>
              <w:tc>
                <w:tcPr>
                  <w:tcW w:w="1146" w:type="pct"/>
                  <w:noWrap w:val="0"/>
                  <w:vAlign w:val="center"/>
                </w:tcPr>
                <w:p w14:paraId="7DDBE9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项目实际情况</w:t>
                  </w:r>
                </w:p>
              </w:tc>
              <w:tc>
                <w:tcPr>
                  <w:tcW w:w="473" w:type="pct"/>
                  <w:noWrap w:val="0"/>
                  <w:vAlign w:val="center"/>
                </w:tcPr>
                <w:p w14:paraId="2ED45B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2545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16AACD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w:t>
                  </w:r>
                </w:p>
              </w:tc>
              <w:tc>
                <w:tcPr>
                  <w:tcW w:w="3039" w:type="pct"/>
                  <w:noWrap w:val="0"/>
                  <w:vAlign w:val="center"/>
                </w:tcPr>
                <w:p w14:paraId="67CEBC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禁止一切不符合主体功能定位的投资建设项目，严禁任意改变用途，因国家重大战略资源勘查需要，在不影响主体功能定位的前提下，经依法批准后予以安排勘查项目。</w:t>
                  </w:r>
                </w:p>
              </w:tc>
              <w:tc>
                <w:tcPr>
                  <w:tcW w:w="1146" w:type="pct"/>
                  <w:noWrap w:val="0"/>
                  <w:vAlign w:val="center"/>
                </w:tcPr>
                <w:p w14:paraId="790767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位于云南省昆明市富民工业园区白石岩——大白坡片区哨箐组团，符合工业园区定位，项目用地为二类工业用地，不涉及改变土地用途。</w:t>
                  </w:r>
                </w:p>
              </w:tc>
              <w:tc>
                <w:tcPr>
                  <w:tcW w:w="473" w:type="pct"/>
                  <w:noWrap w:val="0"/>
                  <w:vAlign w:val="center"/>
                </w:tcPr>
                <w:p w14:paraId="66F53C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BAF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54EE0A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w:t>
                  </w:r>
                </w:p>
              </w:tc>
              <w:tc>
                <w:tcPr>
                  <w:tcW w:w="3039" w:type="pct"/>
                  <w:noWrap w:val="0"/>
                  <w:vAlign w:val="center"/>
                </w:tcPr>
                <w:p w14:paraId="4C0B41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146" w:type="pct"/>
                  <w:noWrap w:val="0"/>
                  <w:vAlign w:val="center"/>
                </w:tcPr>
                <w:p w14:paraId="25C138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w:t>
                  </w:r>
                  <w:r>
                    <w:rPr>
                      <w:rFonts w:hint="default" w:ascii="Times New Roman" w:hAnsi="Times New Roman" w:eastAsia="宋体" w:cs="Times New Roman"/>
                      <w:color w:val="auto"/>
                      <w:sz w:val="21"/>
                      <w:szCs w:val="21"/>
                      <w:shd w:val="clear" w:color="auto" w:fill="FFFFFF"/>
                    </w:rPr>
                    <w:t>《长江岸线保护和开发利用总体规划》划定的岸线保护区内、《全国重要江河湖泊水功能区划》划定的河段保护区、保留区内</w:t>
                  </w:r>
                  <w:r>
                    <w:rPr>
                      <w:rFonts w:hint="default" w:ascii="Times New Roman" w:hAnsi="Times New Roman" w:eastAsia="宋体" w:cs="Times New Roman"/>
                      <w:color w:val="auto"/>
                      <w:sz w:val="21"/>
                      <w:szCs w:val="21"/>
                      <w:shd w:val="clear" w:color="auto" w:fill="FFFFFF"/>
                      <w:lang w:eastAsia="zh-CN"/>
                    </w:rPr>
                    <w:t>。</w:t>
                  </w:r>
                </w:p>
              </w:tc>
              <w:tc>
                <w:tcPr>
                  <w:tcW w:w="473" w:type="pct"/>
                  <w:noWrap w:val="0"/>
                  <w:vAlign w:val="center"/>
                </w:tcPr>
                <w:p w14:paraId="12F969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8F5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6C079E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3</w:t>
                  </w:r>
                </w:p>
              </w:tc>
              <w:tc>
                <w:tcPr>
                  <w:tcW w:w="3039" w:type="pct"/>
                  <w:noWrap w:val="0"/>
                  <w:vAlign w:val="center"/>
                </w:tcPr>
                <w:p w14:paraId="25F99F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44E007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用地不涉及</w:t>
                  </w:r>
                  <w:r>
                    <w:rPr>
                      <w:rFonts w:hint="default" w:ascii="Times New Roman" w:hAnsi="Times New Roman" w:eastAsia="宋体" w:cs="Times New Roman"/>
                      <w:color w:val="auto"/>
                      <w:sz w:val="21"/>
                      <w:szCs w:val="21"/>
                      <w:lang w:eastAsia="zh-CN"/>
                    </w:rPr>
                    <w:t>昆明市</w:t>
                  </w:r>
                  <w:r>
                    <w:rPr>
                      <w:rFonts w:hint="default" w:ascii="Times New Roman" w:hAnsi="Times New Roman" w:eastAsia="宋体" w:cs="Times New Roman"/>
                      <w:color w:val="auto"/>
                      <w:sz w:val="21"/>
                      <w:szCs w:val="21"/>
                    </w:rPr>
                    <w:t>生态保护红线</w:t>
                  </w:r>
                  <w:r>
                    <w:rPr>
                      <w:rFonts w:hint="default" w:ascii="Times New Roman" w:hAnsi="Times New Roman" w:eastAsia="宋体" w:cs="Times New Roman"/>
                      <w:color w:val="auto"/>
                      <w:sz w:val="21"/>
                      <w:szCs w:val="21"/>
                      <w:lang w:eastAsia="zh-CN"/>
                    </w:rPr>
                    <w:t>。</w:t>
                  </w:r>
                </w:p>
              </w:tc>
              <w:tc>
                <w:tcPr>
                  <w:tcW w:w="473" w:type="pct"/>
                  <w:noWrap w:val="0"/>
                  <w:vAlign w:val="center"/>
                </w:tcPr>
                <w:p w14:paraId="0B921C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75B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7082CD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4</w:t>
                  </w:r>
                </w:p>
              </w:tc>
              <w:tc>
                <w:tcPr>
                  <w:tcW w:w="3039" w:type="pct"/>
                  <w:noWrap w:val="0"/>
                  <w:vAlign w:val="center"/>
                </w:tcPr>
                <w:p w14:paraId="5AA16A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00DCAD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本项目不占用基本农田</w:t>
                  </w:r>
                  <w:r>
                    <w:rPr>
                      <w:rFonts w:hint="default" w:ascii="Times New Roman" w:hAnsi="Times New Roman" w:eastAsia="宋体" w:cs="Times New Roman"/>
                      <w:color w:val="auto"/>
                      <w:sz w:val="21"/>
                      <w:szCs w:val="21"/>
                      <w:lang w:eastAsia="zh-CN"/>
                    </w:rPr>
                    <w:t>。</w:t>
                  </w:r>
                </w:p>
              </w:tc>
              <w:tc>
                <w:tcPr>
                  <w:tcW w:w="473" w:type="pct"/>
                  <w:noWrap w:val="0"/>
                  <w:vAlign w:val="center"/>
                </w:tcPr>
                <w:p w14:paraId="5E064A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42F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39B368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5</w:t>
                  </w:r>
                </w:p>
              </w:tc>
              <w:tc>
                <w:tcPr>
                  <w:tcW w:w="3039" w:type="pct"/>
                  <w:noWrap w:val="0"/>
                  <w:vAlign w:val="center"/>
                </w:tcPr>
                <w:p w14:paraId="1A3723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个人闲置、荒芜永久基本农田。禁止以设施农用地为名违规占用永久基本农田建设休闲旅游、仓储厂房等设施，坚决防止永久基本农田“非农化”。</w:t>
                  </w:r>
                </w:p>
              </w:tc>
              <w:tc>
                <w:tcPr>
                  <w:tcW w:w="1146" w:type="pct"/>
                  <w:noWrap w:val="0"/>
                  <w:vAlign w:val="center"/>
                </w:tcPr>
                <w:p w14:paraId="02BB78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本项目不占用基本农田</w:t>
                  </w:r>
                  <w:r>
                    <w:rPr>
                      <w:rFonts w:hint="default" w:ascii="Times New Roman" w:hAnsi="Times New Roman" w:eastAsia="宋体" w:cs="Times New Roman"/>
                      <w:color w:val="auto"/>
                      <w:sz w:val="21"/>
                      <w:szCs w:val="21"/>
                      <w:lang w:eastAsia="zh-CN"/>
                    </w:rPr>
                    <w:t>。</w:t>
                  </w:r>
                </w:p>
              </w:tc>
              <w:tc>
                <w:tcPr>
                  <w:tcW w:w="473" w:type="pct"/>
                  <w:noWrap w:val="0"/>
                  <w:vAlign w:val="center"/>
                </w:tcPr>
                <w:p w14:paraId="452101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100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2B37A5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6</w:t>
                  </w:r>
                </w:p>
              </w:tc>
              <w:tc>
                <w:tcPr>
                  <w:tcW w:w="3039" w:type="pct"/>
                  <w:noWrap w:val="0"/>
                  <w:vAlign w:val="center"/>
                </w:tcPr>
                <w:p w14:paraId="269315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禁止在金沙江、长江一级支流建设除党中央、国务院、国家投资主管部门、省级有关部门批复同意以外的过江基础设施项目</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723BE9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本项目不属于过江基础设施项目</w:t>
                  </w:r>
                  <w:r>
                    <w:rPr>
                      <w:rFonts w:hint="default" w:ascii="Times New Roman" w:hAnsi="Times New Roman" w:eastAsia="宋体" w:cs="Times New Roman"/>
                      <w:color w:val="auto"/>
                      <w:sz w:val="21"/>
                      <w:szCs w:val="21"/>
                      <w:lang w:eastAsia="zh-CN"/>
                    </w:rPr>
                    <w:t>。</w:t>
                  </w:r>
                </w:p>
              </w:tc>
              <w:tc>
                <w:tcPr>
                  <w:tcW w:w="473" w:type="pct"/>
                  <w:noWrap w:val="0"/>
                  <w:vAlign w:val="center"/>
                </w:tcPr>
                <w:p w14:paraId="11FF72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9BA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55498E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7</w:t>
                  </w:r>
                </w:p>
              </w:tc>
              <w:tc>
                <w:tcPr>
                  <w:tcW w:w="3039" w:type="pct"/>
                  <w:noWrap w:val="0"/>
                  <w:vAlign w:val="center"/>
                </w:tcPr>
                <w:p w14:paraId="10B913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0D764F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本项目不涉及自然保护区</w:t>
                  </w:r>
                  <w:r>
                    <w:rPr>
                      <w:rFonts w:hint="default" w:ascii="Times New Roman" w:hAnsi="Times New Roman" w:eastAsia="宋体" w:cs="Times New Roman"/>
                      <w:color w:val="auto"/>
                      <w:sz w:val="21"/>
                      <w:szCs w:val="21"/>
                      <w:lang w:eastAsia="zh-CN"/>
                    </w:rPr>
                    <w:t>。</w:t>
                  </w:r>
                </w:p>
              </w:tc>
              <w:tc>
                <w:tcPr>
                  <w:tcW w:w="473" w:type="pct"/>
                  <w:noWrap w:val="0"/>
                  <w:vAlign w:val="center"/>
                </w:tcPr>
                <w:p w14:paraId="654254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C8D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14A4F2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8</w:t>
                  </w:r>
                </w:p>
              </w:tc>
              <w:tc>
                <w:tcPr>
                  <w:tcW w:w="3039" w:type="pct"/>
                  <w:noWrap w:val="0"/>
                  <w:vAlign w:val="center"/>
                </w:tcPr>
                <w:p w14:paraId="27D5BC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风景名胜区规划未经批准前或者违反经批准的风景名胜区规划进行各类建设活动。禁止在风景名胜区内设立各类开发区和在核心景区内投资建设宾馆、招待所、培训中心、疗养院以及与风景名胜资源保护无关的其他建筑物。禁止在风景名胜区内进行开山、采石、开矿、开荒、修坟立碑等破坏景观、植被和地形地貌的活动；禁止修建储存爆炸性、易燃性、放射性、毒害性、腐蚀性物品的设施</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06A855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本项目不涉及风景名胜区</w:t>
                  </w:r>
                  <w:r>
                    <w:rPr>
                      <w:rFonts w:hint="default" w:ascii="Times New Roman" w:hAnsi="Times New Roman" w:eastAsia="宋体" w:cs="Times New Roman"/>
                      <w:color w:val="auto"/>
                      <w:sz w:val="21"/>
                      <w:szCs w:val="21"/>
                      <w:lang w:eastAsia="zh-CN"/>
                    </w:rPr>
                    <w:t>。</w:t>
                  </w:r>
                </w:p>
              </w:tc>
              <w:tc>
                <w:tcPr>
                  <w:tcW w:w="473" w:type="pct"/>
                  <w:noWrap w:val="0"/>
                  <w:vAlign w:val="center"/>
                </w:tcPr>
                <w:p w14:paraId="2B0D39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DBD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4D425A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9</w:t>
                  </w:r>
                </w:p>
              </w:tc>
              <w:tc>
                <w:tcPr>
                  <w:tcW w:w="3039" w:type="pct"/>
                  <w:noWrap w:val="0"/>
                  <w:vAlign w:val="center"/>
                </w:tcPr>
                <w:p w14:paraId="0C05E4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1B8DE3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w:t>
                  </w:r>
                  <w:r>
                    <w:rPr>
                      <w:rFonts w:hint="default" w:ascii="Times New Roman" w:hAnsi="Times New Roman" w:eastAsia="宋体" w:cs="Times New Roman"/>
                      <w:color w:val="auto"/>
                      <w:sz w:val="21"/>
                      <w:szCs w:val="21"/>
                      <w:shd w:val="clear" w:color="auto" w:fill="FFFFFF"/>
                    </w:rPr>
                    <w:t>饮用水水源一级、二级保护区的岸线和河段范围</w:t>
                  </w:r>
                  <w:r>
                    <w:rPr>
                      <w:rFonts w:hint="default" w:ascii="Times New Roman" w:hAnsi="Times New Roman" w:eastAsia="宋体" w:cs="Times New Roman"/>
                      <w:color w:val="auto"/>
                      <w:sz w:val="21"/>
                      <w:szCs w:val="21"/>
                      <w:shd w:val="clear" w:color="auto" w:fill="FFFFFF"/>
                      <w:lang w:eastAsia="zh-CN"/>
                    </w:rPr>
                    <w:t>。</w:t>
                  </w:r>
                </w:p>
              </w:tc>
              <w:tc>
                <w:tcPr>
                  <w:tcW w:w="473" w:type="pct"/>
                  <w:noWrap w:val="0"/>
                  <w:vAlign w:val="center"/>
                </w:tcPr>
                <w:p w14:paraId="1C8F83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2C18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33E467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10</w:t>
                  </w:r>
                </w:p>
              </w:tc>
              <w:tc>
                <w:tcPr>
                  <w:tcW w:w="3039" w:type="pct"/>
                  <w:noWrap w:val="0"/>
                  <w:vAlign w:val="center"/>
                </w:tcPr>
                <w:p w14:paraId="4F9D75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水产种质资源保护区的岸线和河段范围内新建排污口，以及围湖造田、围湖造地或围垦河道等工程。禁止在国家湿地公园范围内从事房地产、度假村、高尔夫球场、风力发电、光伏发电等任何不符合主体功能定位的建设项目和开发活动；禁止开（围）垦、填埋或者排干湿地；禁止截断湿地水源、挖沙、采矿、引入外来物种；禁止擅自放牧、捕捞、取土、取水、排污、放生；禁止其他破坏湿地及其生态功能的活动</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5BF72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w:t>
                  </w:r>
                  <w:r>
                    <w:rPr>
                      <w:rFonts w:hint="default" w:ascii="Times New Roman" w:hAnsi="Times New Roman" w:eastAsia="宋体" w:cs="Times New Roman"/>
                      <w:color w:val="auto"/>
                      <w:sz w:val="21"/>
                      <w:szCs w:val="21"/>
                      <w:shd w:val="clear" w:color="auto" w:fill="FFFFFF"/>
                    </w:rPr>
                    <w:t>水产种质资源保护区的岸线和河段范围、国家湿地公园范围，</w:t>
                  </w:r>
                  <w:r>
                    <w:rPr>
                      <w:rFonts w:hint="default" w:ascii="Times New Roman" w:hAnsi="Times New Roman" w:eastAsia="宋体" w:cs="Times New Roman"/>
                      <w:color w:val="auto"/>
                      <w:sz w:val="21"/>
                      <w:szCs w:val="21"/>
                    </w:rPr>
                    <w:t>本项目不属于</w:t>
                  </w:r>
                  <w:r>
                    <w:rPr>
                      <w:rFonts w:hint="default" w:ascii="Times New Roman" w:hAnsi="Times New Roman" w:eastAsia="宋体" w:cs="Times New Roman"/>
                      <w:color w:val="auto"/>
                      <w:sz w:val="21"/>
                      <w:szCs w:val="21"/>
                      <w:shd w:val="clear" w:color="auto" w:fill="FFFFFF"/>
                    </w:rPr>
                    <w:t>破坏湿地及其生态功能的活动</w:t>
                  </w:r>
                  <w:r>
                    <w:rPr>
                      <w:rFonts w:hint="default" w:ascii="Times New Roman" w:hAnsi="Times New Roman" w:eastAsia="宋体" w:cs="Times New Roman"/>
                      <w:color w:val="auto"/>
                      <w:sz w:val="21"/>
                      <w:szCs w:val="21"/>
                      <w:shd w:val="clear" w:color="auto" w:fill="FFFFFF"/>
                      <w:lang w:eastAsia="zh-CN"/>
                    </w:rPr>
                    <w:t>。</w:t>
                  </w:r>
                </w:p>
              </w:tc>
              <w:tc>
                <w:tcPr>
                  <w:tcW w:w="473" w:type="pct"/>
                  <w:noWrap w:val="0"/>
                  <w:vAlign w:val="center"/>
                </w:tcPr>
                <w:p w14:paraId="75B847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CD4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03ECC8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11</w:t>
                  </w:r>
                </w:p>
              </w:tc>
              <w:tc>
                <w:tcPr>
                  <w:tcW w:w="3039" w:type="pct"/>
                  <w:noWrap w:val="0"/>
                  <w:vAlign w:val="center"/>
                </w:tcPr>
                <w:p w14:paraId="66D84F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金沙江、长江一级支流岸线边界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0733D4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属于</w:t>
                  </w:r>
                  <w:r>
                    <w:rPr>
                      <w:rFonts w:hint="default" w:ascii="Times New Roman" w:hAnsi="Times New Roman" w:eastAsia="宋体" w:cs="Times New Roman"/>
                      <w:color w:val="auto"/>
                      <w:sz w:val="21"/>
                      <w:szCs w:val="21"/>
                      <w:shd w:val="clear" w:color="auto" w:fill="FFFFFF"/>
                    </w:rPr>
                    <w:t>化工项目</w:t>
                  </w:r>
                  <w:r>
                    <w:rPr>
                      <w:rFonts w:hint="eastAsia" w:ascii="Times New Roman" w:hAnsi="Times New Roman" w:eastAsia="宋体" w:cs="Times New Roman"/>
                      <w:color w:val="auto"/>
                      <w:sz w:val="21"/>
                      <w:szCs w:val="21"/>
                      <w:shd w:val="clear" w:color="auto" w:fill="FFFFFF"/>
                      <w:lang w:eastAsia="zh-CN"/>
                    </w:rPr>
                    <w:t>，</w:t>
                  </w:r>
                  <w:r>
                    <w:rPr>
                      <w:rFonts w:hint="eastAsia" w:ascii="Times New Roman" w:hAnsi="Times New Roman" w:eastAsia="宋体" w:cs="Times New Roman"/>
                      <w:color w:val="auto"/>
                      <w:sz w:val="21"/>
                      <w:szCs w:val="21"/>
                      <w:shd w:val="clear" w:color="auto" w:fill="FFFFFF"/>
                      <w:lang w:val="en-US" w:eastAsia="zh-CN"/>
                    </w:rPr>
                    <w:t>但距离地表水螳螂川1.3km，不在一公里范围内</w:t>
                  </w:r>
                  <w:r>
                    <w:rPr>
                      <w:rFonts w:hint="default" w:ascii="Times New Roman" w:hAnsi="Times New Roman" w:eastAsia="宋体" w:cs="Times New Roman"/>
                      <w:color w:val="auto"/>
                      <w:sz w:val="21"/>
                      <w:szCs w:val="21"/>
                    </w:rPr>
                    <w:t>。</w:t>
                  </w:r>
                </w:p>
              </w:tc>
              <w:tc>
                <w:tcPr>
                  <w:tcW w:w="473" w:type="pct"/>
                  <w:noWrap w:val="0"/>
                  <w:vAlign w:val="center"/>
                </w:tcPr>
                <w:p w14:paraId="0C83B2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05F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47A5EE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12</w:t>
                  </w:r>
                </w:p>
              </w:tc>
              <w:tc>
                <w:tcPr>
                  <w:tcW w:w="3039" w:type="pct"/>
                  <w:noWrap w:val="0"/>
                  <w:vAlign w:val="center"/>
                </w:tcPr>
                <w:p w14:paraId="73EA2A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禁止新建不符合非煤矿山转型升级有关准入标准的非煤矿山。禁止在金沙江岸线3公里、长江一级支流岸线1公里范围内新建、改建、扩建尾矿库</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312BE4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color w:val="auto"/>
                      <w:sz w:val="21"/>
                      <w:szCs w:val="21"/>
                      <w:shd w:val="clear" w:color="auto" w:fill="FFFFFF"/>
                    </w:rPr>
                    <w:t>非煤矿山</w:t>
                  </w:r>
                  <w:r>
                    <w:rPr>
                      <w:rFonts w:hint="default" w:ascii="Times New Roman" w:hAnsi="Times New Roman" w:eastAsia="宋体"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shd w:val="clear" w:color="auto" w:fill="FFFFFF"/>
                    </w:rPr>
                    <w:t>尾矿库</w:t>
                  </w:r>
                  <w:r>
                    <w:rPr>
                      <w:rFonts w:hint="default" w:ascii="Times New Roman" w:hAnsi="Times New Roman" w:eastAsia="宋体" w:cs="Times New Roman"/>
                      <w:color w:val="auto"/>
                      <w:sz w:val="21"/>
                      <w:szCs w:val="21"/>
                      <w:shd w:val="clear" w:color="auto" w:fill="FFFFFF"/>
                      <w:lang w:val="en-US" w:eastAsia="zh-CN"/>
                    </w:rPr>
                    <w:t>项目。</w:t>
                  </w:r>
                </w:p>
              </w:tc>
              <w:tc>
                <w:tcPr>
                  <w:tcW w:w="473" w:type="pct"/>
                  <w:noWrap w:val="0"/>
                  <w:vAlign w:val="center"/>
                </w:tcPr>
                <w:p w14:paraId="72D065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5BC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2DAFEF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13</w:t>
                  </w:r>
                </w:p>
              </w:tc>
              <w:tc>
                <w:tcPr>
                  <w:tcW w:w="3039" w:type="pct"/>
                  <w:noWrap w:val="0"/>
                  <w:vAlign w:val="center"/>
                </w:tcPr>
                <w:p w14:paraId="050979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禁止在合规园区外新建、扩建钢铁、石化、化工、焦化、建材、有色等高污染项目。禁止新增钢铁、水泥、平板玻璃等行业建设产能，确有必要建设的，应按规定实施产能等量或减量置换</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63E131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lang w:val="en-US" w:eastAsia="zh-CN"/>
                    </w:rPr>
                    <w:t>本项目位于云南省昆明市富民工业园区白石岩——大白坡片区哨箐组团，</w:t>
                  </w:r>
                  <w:r>
                    <w:rPr>
                      <w:rFonts w:hint="eastAsia" w:ascii="Times New Roman" w:hAnsi="Times New Roman" w:eastAsia="宋体" w:cs="Times New Roman"/>
                      <w:color w:val="auto"/>
                      <w:sz w:val="21"/>
                      <w:szCs w:val="21"/>
                      <w:shd w:val="clear" w:color="auto" w:fill="FFFFFF"/>
                      <w:lang w:val="en-US" w:eastAsia="zh-CN"/>
                    </w:rPr>
                    <w:t>在合规园区内，不属于</w:t>
                  </w:r>
                  <w:r>
                    <w:rPr>
                      <w:rFonts w:hint="default" w:ascii="Times New Roman" w:hAnsi="Times New Roman" w:eastAsia="宋体" w:cs="Times New Roman"/>
                      <w:color w:val="auto"/>
                      <w:sz w:val="21"/>
                      <w:szCs w:val="21"/>
                      <w:shd w:val="clear" w:color="auto" w:fill="FFFFFF"/>
                    </w:rPr>
                    <w:t>钢铁、水泥、平板玻璃等行业</w:t>
                  </w:r>
                  <w:r>
                    <w:rPr>
                      <w:rFonts w:hint="default" w:ascii="Times New Roman" w:hAnsi="Times New Roman" w:eastAsia="宋体" w:cs="Times New Roman"/>
                      <w:color w:val="auto"/>
                      <w:sz w:val="21"/>
                      <w:szCs w:val="21"/>
                      <w:shd w:val="clear" w:color="auto" w:fill="FFFFFF"/>
                      <w:lang w:val="en-US" w:eastAsia="zh-CN"/>
                    </w:rPr>
                    <w:t>。</w:t>
                  </w:r>
                </w:p>
              </w:tc>
              <w:tc>
                <w:tcPr>
                  <w:tcW w:w="473" w:type="pct"/>
                  <w:noWrap w:val="0"/>
                  <w:vAlign w:val="center"/>
                </w:tcPr>
                <w:p w14:paraId="64918B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759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759750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14</w:t>
                  </w:r>
                </w:p>
              </w:tc>
              <w:tc>
                <w:tcPr>
                  <w:tcW w:w="3039" w:type="pct"/>
                  <w:noWrap w:val="0"/>
                  <w:vAlign w:val="center"/>
                </w:tcPr>
                <w:p w14:paraId="3F1906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禁止新建、扩建不符合国家石化、现代煤化工等产业布局规划的项目</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0F76B4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shd w:val="clear" w:color="auto" w:fill="FFFFFF"/>
                    </w:rPr>
                    <w:t>不属于国家石化、现代煤化工等产业布局规划的项目</w:t>
                  </w:r>
                  <w:r>
                    <w:rPr>
                      <w:rFonts w:hint="default" w:ascii="Times New Roman" w:hAnsi="Times New Roman" w:eastAsia="宋体" w:cs="Times New Roman"/>
                      <w:color w:val="auto"/>
                      <w:sz w:val="21"/>
                      <w:szCs w:val="21"/>
                      <w:shd w:val="clear" w:color="auto" w:fill="FFFFFF"/>
                      <w:lang w:eastAsia="zh-CN"/>
                    </w:rPr>
                    <w:t>。</w:t>
                  </w:r>
                </w:p>
              </w:tc>
              <w:tc>
                <w:tcPr>
                  <w:tcW w:w="473" w:type="pct"/>
                  <w:noWrap w:val="0"/>
                  <w:vAlign w:val="center"/>
                </w:tcPr>
                <w:p w14:paraId="0654FA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01AC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464375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15</w:t>
                  </w:r>
                </w:p>
              </w:tc>
              <w:tc>
                <w:tcPr>
                  <w:tcW w:w="3039" w:type="pct"/>
                  <w:noWrap w:val="0"/>
                  <w:vAlign w:val="center"/>
                </w:tcPr>
                <w:p w14:paraId="52D9EA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65A088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本项目符合《产业结构调整指导目录（2019年本）》，不属于落后产能项目</w:t>
                  </w:r>
                  <w:r>
                    <w:rPr>
                      <w:rFonts w:hint="default" w:ascii="Times New Roman" w:hAnsi="Times New Roman" w:eastAsia="宋体" w:cs="Times New Roman"/>
                      <w:color w:val="auto"/>
                      <w:sz w:val="21"/>
                      <w:szCs w:val="21"/>
                      <w:lang w:eastAsia="zh-CN"/>
                    </w:rPr>
                    <w:t>。</w:t>
                  </w:r>
                </w:p>
              </w:tc>
              <w:tc>
                <w:tcPr>
                  <w:tcW w:w="473" w:type="pct"/>
                  <w:noWrap w:val="0"/>
                  <w:vAlign w:val="center"/>
                </w:tcPr>
                <w:p w14:paraId="648574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9DD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66338A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16</w:t>
                  </w:r>
                </w:p>
              </w:tc>
              <w:tc>
                <w:tcPr>
                  <w:tcW w:w="3039" w:type="pct"/>
                  <w:noWrap w:val="0"/>
                  <w:vAlign w:val="center"/>
                </w:tcPr>
                <w:p w14:paraId="55A863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禁止建设高毒高残留以及对环境影响大的农药原药生产装置，严格控制尿素、磷铵、电石、焦炭、黄磷、烧碱、纯碱、聚氯乙烯等行业新增产能</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3446B8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w:t>
                  </w:r>
                  <w:r>
                    <w:rPr>
                      <w:rFonts w:hint="default" w:ascii="Times New Roman" w:hAnsi="Times New Roman" w:eastAsia="宋体" w:cs="Times New Roman"/>
                      <w:color w:val="auto"/>
                      <w:sz w:val="21"/>
                      <w:szCs w:val="21"/>
                      <w:shd w:val="clear" w:color="auto" w:fill="FFFFFF"/>
                    </w:rPr>
                    <w:t>高毒高残留以及对环境影响大的农药原药生产装置</w:t>
                  </w:r>
                  <w:r>
                    <w:rPr>
                      <w:rFonts w:hint="default" w:ascii="Times New Roman" w:hAnsi="Times New Roman" w:eastAsia="宋体" w:cs="Times New Roman"/>
                      <w:color w:val="auto"/>
                      <w:sz w:val="21"/>
                      <w:szCs w:val="21"/>
                      <w:shd w:val="clear" w:color="auto" w:fill="FFFFFF"/>
                      <w:lang w:eastAsia="zh-CN"/>
                    </w:rPr>
                    <w:t>。</w:t>
                  </w:r>
                </w:p>
              </w:tc>
              <w:tc>
                <w:tcPr>
                  <w:tcW w:w="473" w:type="pct"/>
                  <w:noWrap w:val="0"/>
                  <w:vAlign w:val="center"/>
                </w:tcPr>
                <w:p w14:paraId="48712F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28E5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1D7BA1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17</w:t>
                  </w:r>
                </w:p>
              </w:tc>
              <w:tc>
                <w:tcPr>
                  <w:tcW w:w="3039" w:type="pct"/>
                  <w:noWrap w:val="0"/>
                  <w:vAlign w:val="center"/>
                </w:tcPr>
                <w:p w14:paraId="333105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442C4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本项目不属于危险化学品生产项目</w:t>
                  </w:r>
                  <w:r>
                    <w:rPr>
                      <w:rFonts w:hint="default" w:ascii="Times New Roman" w:hAnsi="Times New Roman" w:eastAsia="宋体" w:cs="Times New Roman"/>
                      <w:color w:val="auto"/>
                      <w:sz w:val="21"/>
                      <w:szCs w:val="21"/>
                      <w:lang w:eastAsia="zh-CN"/>
                    </w:rPr>
                    <w:t>。</w:t>
                  </w:r>
                </w:p>
              </w:tc>
              <w:tc>
                <w:tcPr>
                  <w:tcW w:w="473" w:type="pct"/>
                  <w:noWrap w:val="0"/>
                  <w:vAlign w:val="center"/>
                </w:tcPr>
                <w:p w14:paraId="5A267B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bl>
          <w:p w14:paraId="5E8623C2">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rPr>
              <w:t>综上，本项目与《云南省长江经济带发展负面清单指南实施细则（试行）》规定的内容相符合。</w:t>
            </w:r>
          </w:p>
          <w:p w14:paraId="5F785C3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、与《中华人民共和国长江保护法》相符性分析</w:t>
            </w:r>
          </w:p>
          <w:p w14:paraId="480573AB">
            <w:pPr>
              <w:keepNext w:val="0"/>
              <w:keepLines w:val="0"/>
              <w:pageBreakBefore w:val="0"/>
              <w:suppressLineNumbers w:val="0"/>
              <w:kinsoku/>
              <w:wordWrap/>
              <w:overflowPunct/>
              <w:topLinePunct w:val="0"/>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2020年12月26日第十三届全国人民代表大会常务委员会第二十四次会议通过</w:t>
            </w:r>
            <w:r>
              <w:rPr>
                <w:rFonts w:hint="default" w:ascii="Times New Roman" w:hAnsi="Times New Roman" w:eastAsia="宋体" w:cs="Times New Roman"/>
                <w:color w:val="auto"/>
                <w:sz w:val="24"/>
                <w:szCs w:val="24"/>
                <w:lang w:eastAsia="zh-CN"/>
              </w:rPr>
              <w:t>《中华人民共和国长江保护法》。</w:t>
            </w:r>
          </w:p>
          <w:p w14:paraId="7381D0F6">
            <w:pPr>
              <w:keepNext w:val="0"/>
              <w:keepLines w:val="0"/>
              <w:pageBreakBefore w:val="0"/>
              <w:widowControl w:val="0"/>
              <w:numPr>
                <w:ilvl w:val="0"/>
                <w:numId w:val="0"/>
              </w:numPr>
              <w:suppressLineNumbers w:val="0"/>
              <w:kinsoku/>
              <w:wordWrap/>
              <w:overflowPunct/>
              <w:topLinePunct w:val="0"/>
              <w:autoSpaceDE/>
              <w:autoSpaceDN w:val="0"/>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本项目主要从事涂料</w:t>
            </w:r>
            <w:r>
              <w:rPr>
                <w:rFonts w:hint="eastAsia" w:cs="Times New Roman"/>
                <w:color w:val="auto"/>
                <w:sz w:val="24"/>
                <w:szCs w:val="24"/>
                <w:lang w:val="en-US" w:eastAsia="zh-CN"/>
              </w:rPr>
              <w:t>生产</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项目选址</w:t>
            </w:r>
            <w:r>
              <w:rPr>
                <w:rFonts w:hint="default" w:ascii="Times New Roman" w:hAnsi="Times New Roman" w:eastAsia="宋体" w:cs="Times New Roman"/>
                <w:color w:val="auto"/>
                <w:sz w:val="24"/>
                <w:szCs w:val="24"/>
                <w:lang w:val="en-US" w:eastAsia="zh-CN"/>
              </w:rPr>
              <w:t>于云南省昆明市富民工业园区白石岩—大白坡片区</w:t>
            </w:r>
            <w:r>
              <w:rPr>
                <w:rFonts w:hint="eastAsia" w:hAnsi="Times New Roman" w:cs="Times New Roman"/>
                <w:color w:val="auto"/>
                <w:sz w:val="24"/>
                <w:szCs w:val="24"/>
                <w:lang w:val="en-US" w:eastAsia="zh-CN"/>
              </w:rPr>
              <w:t>哨箐</w:t>
            </w:r>
            <w:r>
              <w:rPr>
                <w:rFonts w:hint="default" w:ascii="Times New Roman" w:hAnsi="Times New Roman" w:eastAsia="宋体" w:cs="Times New Roman"/>
                <w:color w:val="auto"/>
                <w:sz w:val="24"/>
                <w:szCs w:val="24"/>
                <w:lang w:val="en-US" w:eastAsia="zh-CN"/>
              </w:rPr>
              <w:t>组团</w:t>
            </w:r>
            <w:r>
              <w:rPr>
                <w:rFonts w:hint="eastAsia" w:cs="Times New Roman"/>
                <w:color w:val="auto"/>
                <w:sz w:val="24"/>
                <w:szCs w:val="24"/>
                <w:lang w:val="en-US" w:eastAsia="zh-CN"/>
              </w:rPr>
              <w:t>，项目的建设符合园区定位，项目距离螳螂川1.3km，不在长江干支流岸线一公里范围内。</w:t>
            </w:r>
            <w:r>
              <w:rPr>
                <w:rFonts w:hint="default" w:ascii="Times New Roman" w:hAnsi="Times New Roman" w:eastAsia="宋体" w:cs="Times New Roman"/>
                <w:color w:val="auto"/>
                <w:sz w:val="24"/>
                <w:szCs w:val="24"/>
                <w:lang w:val="en-US" w:eastAsia="zh-CN"/>
              </w:rPr>
              <w:t>不属于</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中华人民共和国长江保护法</w:t>
            </w:r>
            <w:r>
              <w:rPr>
                <w:rFonts w:hint="default"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lang w:eastAsia="zh-CN"/>
              </w:rPr>
              <w:t>禁止建设的行业，不</w:t>
            </w:r>
            <w:r>
              <w:rPr>
                <w:rFonts w:hint="default" w:ascii="Times New Roman" w:hAnsi="Times New Roman" w:eastAsia="宋体" w:cs="Times New Roman"/>
                <w:color w:val="auto"/>
                <w:sz w:val="24"/>
                <w:szCs w:val="24"/>
              </w:rPr>
              <w:t>违反生态环境准入清单的规定进行生产建设活动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符合国家产业政策</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选址不涉及自然保护区、饮用水源保护区、水产种质资源保护区、生态红线、基本农田等环境敏感区域，满足《</w:t>
            </w:r>
            <w:r>
              <w:rPr>
                <w:rFonts w:hint="default" w:ascii="Times New Roman" w:hAnsi="Times New Roman" w:eastAsia="宋体" w:cs="Times New Roman"/>
                <w:color w:val="auto"/>
                <w:sz w:val="24"/>
                <w:szCs w:val="24"/>
                <w:lang w:eastAsia="zh-CN"/>
              </w:rPr>
              <w:t>中华人民共和国长江保护法</w:t>
            </w:r>
            <w:r>
              <w:rPr>
                <w:rFonts w:hint="default" w:ascii="Times New Roman" w:hAnsi="Times New Roman" w:eastAsia="宋体" w:cs="Times New Roman"/>
                <w:color w:val="auto"/>
                <w:sz w:val="24"/>
                <w:szCs w:val="24"/>
              </w:rPr>
              <w:t>》中的要求。</w:t>
            </w:r>
          </w:p>
          <w:p w14:paraId="53A757DD">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val="0"/>
                <w:color w:val="auto"/>
                <w:sz w:val="24"/>
                <w:szCs w:val="24"/>
                <w:highlight w:val="none"/>
                <w:lang w:val="en-US" w:eastAsia="zh-CN"/>
              </w:rPr>
              <w:t>与《昆明市大气污染防治条例》相符性分析</w:t>
            </w:r>
          </w:p>
          <w:p w14:paraId="05EF07E1">
            <w:pPr>
              <w:keepNext w:val="0"/>
              <w:keepLines w:val="0"/>
              <w:pageBreakBefore w:val="0"/>
              <w:suppressLineNumbers w:val="0"/>
              <w:kinsoku/>
              <w:wordWrap/>
              <w:overflowPunct/>
              <w:topLinePunct w:val="0"/>
              <w:bidi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项目与《昆明市大气污染防治条例》相符性分析见表1-</w:t>
            </w:r>
            <w:r>
              <w:rPr>
                <w:rFonts w:hint="eastAsia"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val="en-US" w:eastAsia="zh-CN"/>
              </w:rPr>
              <w:t>。</w:t>
            </w:r>
          </w:p>
          <w:p w14:paraId="46AA4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76" w:lineRule="auto"/>
              <w:ind w:left="0" w:leftChars="0" w:righ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表1-</w:t>
            </w:r>
            <w:r>
              <w:rPr>
                <w:rFonts w:hint="eastAsia" w:cs="Times New Roman"/>
                <w:b/>
                <w:bCs/>
                <w:color w:val="auto"/>
                <w:spacing w:val="-2"/>
                <w:sz w:val="21"/>
                <w:szCs w:val="21"/>
                <w:highlight w:val="none"/>
                <w:lang w:val="en-US" w:eastAsia="zh-CN"/>
              </w:rPr>
              <w:t>5</w:t>
            </w:r>
            <w:r>
              <w:rPr>
                <w:rFonts w:hint="default" w:ascii="Times New Roman" w:hAnsi="Times New Roman" w:eastAsia="宋体" w:cs="Times New Roman"/>
                <w:b/>
                <w:bCs/>
                <w:color w:val="auto"/>
                <w:spacing w:val="-2"/>
                <w:sz w:val="21"/>
                <w:szCs w:val="21"/>
                <w:highlight w:val="none"/>
              </w:rPr>
              <w:t xml:space="preserve"> </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pacing w:val="-2"/>
                <w:sz w:val="21"/>
                <w:szCs w:val="21"/>
                <w:highlight w:val="none"/>
                <w:lang w:eastAsia="zh-CN"/>
              </w:rPr>
              <w:t>与《昆明市大气污染防治条例》</w:t>
            </w:r>
            <w:r>
              <w:rPr>
                <w:rFonts w:hint="default" w:ascii="Times New Roman" w:hAnsi="Times New Roman" w:eastAsia="宋体" w:cs="Times New Roman"/>
                <w:b/>
                <w:bCs/>
                <w:color w:val="auto"/>
                <w:spacing w:val="-2"/>
                <w:sz w:val="21"/>
                <w:szCs w:val="21"/>
                <w:highlight w:val="none"/>
              </w:rPr>
              <w:t>的符合性分析</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7"/>
              <w:gridCol w:w="1855"/>
              <w:gridCol w:w="935"/>
            </w:tblGrid>
            <w:tr w14:paraId="1819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197" w:type="pct"/>
                  <w:noWrap w:val="0"/>
                  <w:vAlign w:val="center"/>
                </w:tcPr>
                <w:p w14:paraId="4383961C">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rPr>
                    <w:t>昆明市大气污染防治条例</w:t>
                  </w:r>
                  <w:r>
                    <w:rPr>
                      <w:rFonts w:hint="default" w:ascii="Times New Roman" w:hAnsi="Times New Roman" w:eastAsia="宋体" w:cs="Times New Roman"/>
                      <w:b/>
                      <w:bCs/>
                      <w:color w:val="auto"/>
                      <w:kern w:val="0"/>
                      <w:sz w:val="21"/>
                      <w:szCs w:val="21"/>
                      <w:highlight w:val="none"/>
                    </w:rPr>
                    <w:t>要求</w:t>
                  </w:r>
                </w:p>
              </w:tc>
              <w:tc>
                <w:tcPr>
                  <w:tcW w:w="1198" w:type="pct"/>
                  <w:noWrap w:val="0"/>
                  <w:vAlign w:val="center"/>
                </w:tcPr>
                <w:p w14:paraId="2C498A5F">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项目情况</w:t>
                  </w:r>
                </w:p>
              </w:tc>
              <w:tc>
                <w:tcPr>
                  <w:tcW w:w="604" w:type="pct"/>
                  <w:noWrap w:val="0"/>
                  <w:vAlign w:val="center"/>
                </w:tcPr>
                <w:p w14:paraId="62725D3B">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符合性</w:t>
                  </w:r>
                </w:p>
              </w:tc>
            </w:tr>
            <w:tr w14:paraId="5731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7" w:type="pct"/>
                  <w:noWrap w:val="0"/>
                  <w:vAlign w:val="center"/>
                </w:tcPr>
                <w:p w14:paraId="5FF216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禁止通过偷排、篡改或者伪造监测数据、以逃避现场检查为目的的临时停产、非紧急情况下开启应急排放通道、擅自拆除或者不正常运行大气污染防治设施等逃避监管的方式排放大气污染物。</w:t>
                  </w:r>
                </w:p>
              </w:tc>
              <w:tc>
                <w:tcPr>
                  <w:tcW w:w="1198" w:type="pct"/>
                  <w:noWrap w:val="0"/>
                  <w:vAlign w:val="center"/>
                </w:tcPr>
                <w:p w14:paraId="081CCED7">
                  <w:pPr>
                    <w:keepNext w:val="0"/>
                    <w:keepLines w:val="0"/>
                    <w:pageBreakBefore w:val="0"/>
                    <w:widowControl/>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本项目为</w:t>
                  </w:r>
                  <w:r>
                    <w:rPr>
                      <w:rFonts w:hint="eastAsia" w:cs="Times New Roman"/>
                      <w:color w:val="auto"/>
                      <w:sz w:val="21"/>
                      <w:szCs w:val="21"/>
                      <w:highlight w:val="none"/>
                      <w:lang w:eastAsia="zh-CN"/>
                    </w:rPr>
                    <w:t>涂料制造</w:t>
                  </w:r>
                  <w:r>
                    <w:rPr>
                      <w:rFonts w:hint="default" w:ascii="Times New Roman" w:hAnsi="Times New Roman" w:eastAsia="宋体" w:cs="Times New Roman"/>
                      <w:color w:val="auto"/>
                      <w:sz w:val="21"/>
                      <w:szCs w:val="21"/>
                      <w:highlight w:val="none"/>
                      <w:lang w:eastAsia="zh-CN"/>
                    </w:rPr>
                    <w:t>项目，</w:t>
                  </w:r>
                  <w:r>
                    <w:rPr>
                      <w:rFonts w:hint="eastAsia" w:cs="Times New Roman"/>
                      <w:color w:val="auto"/>
                      <w:sz w:val="21"/>
                      <w:szCs w:val="21"/>
                      <w:highlight w:val="none"/>
                      <w:lang w:eastAsia="zh-CN"/>
                    </w:rPr>
                    <w:t>产生的颗粒物、非甲烷总烃均采用科学合理的处置措施处理，满足达标排放，严格按照要设置排气筒，定期监测</w:t>
                  </w:r>
                  <w:r>
                    <w:rPr>
                      <w:rFonts w:hint="default" w:ascii="Times New Roman" w:hAnsi="Times New Roman" w:eastAsia="宋体" w:cs="Times New Roman"/>
                      <w:color w:val="auto"/>
                      <w:sz w:val="21"/>
                      <w:szCs w:val="21"/>
                      <w:highlight w:val="none"/>
                      <w:lang w:eastAsia="zh-CN"/>
                    </w:rPr>
                    <w:t>，不存在偷排</w:t>
                  </w:r>
                  <w:r>
                    <w:rPr>
                      <w:rFonts w:hint="default" w:ascii="Times New Roman" w:hAnsi="Times New Roman" w:eastAsia="宋体" w:cs="Times New Roman"/>
                      <w:b w:val="0"/>
                      <w:bCs w:val="0"/>
                      <w:snapToGrid w:val="0"/>
                      <w:color w:val="auto"/>
                      <w:kern w:val="0"/>
                      <w:sz w:val="21"/>
                      <w:szCs w:val="21"/>
                      <w:highlight w:val="none"/>
                      <w:lang w:eastAsia="zh-CN"/>
                    </w:rPr>
                    <w:t>。</w:t>
                  </w:r>
                </w:p>
              </w:tc>
              <w:tc>
                <w:tcPr>
                  <w:tcW w:w="604" w:type="pct"/>
                  <w:noWrap w:val="0"/>
                  <w:vAlign w:val="center"/>
                </w:tcPr>
                <w:p w14:paraId="6B19298A">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4E32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7" w:type="pct"/>
                  <w:noWrap w:val="0"/>
                  <w:vAlign w:val="center"/>
                </w:tcPr>
                <w:p w14:paraId="0869775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198" w:type="pct"/>
                  <w:noWrap w:val="0"/>
                  <w:vAlign w:val="center"/>
                </w:tcPr>
                <w:p w14:paraId="5C74FA69">
                  <w:pPr>
                    <w:keepNext w:val="0"/>
                    <w:keepLines w:val="0"/>
                    <w:pageBreakBefore w:val="0"/>
                    <w:widowControl/>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本项目为</w:t>
                  </w:r>
                  <w:r>
                    <w:rPr>
                      <w:rFonts w:hint="eastAsia" w:cs="Times New Roman"/>
                      <w:color w:val="auto"/>
                      <w:sz w:val="21"/>
                      <w:szCs w:val="21"/>
                      <w:highlight w:val="none"/>
                      <w:lang w:eastAsia="zh-CN"/>
                    </w:rPr>
                    <w:t>涂料制造</w:t>
                  </w:r>
                  <w:r>
                    <w:rPr>
                      <w:rFonts w:hint="default" w:ascii="Times New Roman" w:hAnsi="Times New Roman" w:eastAsia="宋体" w:cs="Times New Roman"/>
                      <w:color w:val="auto"/>
                      <w:sz w:val="21"/>
                      <w:szCs w:val="21"/>
                      <w:highlight w:val="none"/>
                      <w:lang w:eastAsia="zh-CN"/>
                    </w:rPr>
                    <w:t>项目，</w:t>
                  </w:r>
                  <w:r>
                    <w:rPr>
                      <w:rFonts w:hint="eastAsia" w:cs="Times New Roman"/>
                      <w:color w:val="auto"/>
                      <w:sz w:val="21"/>
                      <w:szCs w:val="21"/>
                      <w:highlight w:val="none"/>
                      <w:lang w:eastAsia="zh-CN"/>
                    </w:rPr>
                    <w:t>生产线设置在封闭的生产厂房内，产生的颗粒物采取布袋</w:t>
                  </w:r>
                  <w:r>
                    <w:rPr>
                      <w:rFonts w:hint="eastAsia" w:cs="Times New Roman"/>
                      <w:color w:val="auto"/>
                      <w:sz w:val="21"/>
                      <w:szCs w:val="21"/>
                      <w:highlight w:val="none"/>
                      <w:lang w:val="en-US" w:eastAsia="zh-CN"/>
                    </w:rPr>
                    <w:t>除尘</w:t>
                  </w:r>
                  <w:r>
                    <w:rPr>
                      <w:rFonts w:hint="eastAsia" w:cs="Times New Roman"/>
                      <w:color w:val="auto"/>
                      <w:sz w:val="21"/>
                      <w:szCs w:val="21"/>
                      <w:highlight w:val="none"/>
                      <w:lang w:eastAsia="zh-CN"/>
                    </w:rPr>
                    <w:t>、旋风</w:t>
                  </w:r>
                  <w:r>
                    <w:rPr>
                      <w:rFonts w:hint="eastAsia" w:cs="Times New Roman"/>
                      <w:color w:val="auto"/>
                      <w:sz w:val="21"/>
                      <w:szCs w:val="21"/>
                      <w:highlight w:val="none"/>
                      <w:lang w:val="en-US" w:eastAsia="zh-CN"/>
                    </w:rPr>
                    <w:t>除尘，集中式滤筒除尘，</w:t>
                  </w:r>
                  <w:r>
                    <w:rPr>
                      <w:rFonts w:hint="eastAsia" w:cs="Times New Roman"/>
                      <w:color w:val="auto"/>
                      <w:sz w:val="21"/>
                      <w:szCs w:val="21"/>
                      <w:highlight w:val="none"/>
                      <w:lang w:eastAsia="zh-CN"/>
                    </w:rPr>
                    <w:t>非甲烷总烃</w:t>
                  </w:r>
                  <w:r>
                    <w:rPr>
                      <w:rFonts w:hint="eastAsia" w:cs="Times New Roman"/>
                      <w:color w:val="auto"/>
                      <w:sz w:val="21"/>
                      <w:szCs w:val="21"/>
                      <w:highlight w:val="none"/>
                      <w:lang w:val="en-US" w:eastAsia="zh-CN"/>
                    </w:rPr>
                    <w:t>采用UV+</w:t>
                  </w:r>
                  <w:r>
                    <w:rPr>
                      <w:rFonts w:hint="eastAsia" w:cs="Times New Roman"/>
                      <w:color w:val="auto"/>
                      <w:sz w:val="21"/>
                      <w:szCs w:val="21"/>
                      <w:highlight w:val="none"/>
                      <w:lang w:eastAsia="zh-CN"/>
                    </w:rPr>
                    <w:t>活性炭</w:t>
                  </w:r>
                  <w:r>
                    <w:rPr>
                      <w:rFonts w:hint="eastAsia" w:cs="Times New Roman"/>
                      <w:color w:val="auto"/>
                      <w:sz w:val="21"/>
                      <w:szCs w:val="21"/>
                      <w:highlight w:val="none"/>
                      <w:lang w:val="en-US" w:eastAsia="zh-CN"/>
                    </w:rPr>
                    <w:t>吸附装置</w:t>
                  </w:r>
                  <w:r>
                    <w:rPr>
                      <w:rFonts w:hint="eastAsia" w:cs="Times New Roman"/>
                      <w:color w:val="auto"/>
                      <w:sz w:val="21"/>
                      <w:szCs w:val="21"/>
                      <w:highlight w:val="none"/>
                      <w:lang w:eastAsia="zh-CN"/>
                    </w:rPr>
                    <w:t>等废气处置措施进行处理。</w:t>
                  </w:r>
                </w:p>
              </w:tc>
              <w:tc>
                <w:tcPr>
                  <w:tcW w:w="604" w:type="pct"/>
                  <w:noWrap w:val="0"/>
                  <w:vAlign w:val="center"/>
                </w:tcPr>
                <w:p w14:paraId="66A809A8">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589A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7" w:type="pct"/>
                  <w:noWrap w:val="0"/>
                  <w:vAlign w:val="center"/>
                </w:tcPr>
                <w:p w14:paraId="57F929A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1198" w:type="pct"/>
                  <w:noWrap w:val="0"/>
                  <w:vAlign w:val="center"/>
                </w:tcPr>
                <w:p w14:paraId="79B9039A">
                  <w:pPr>
                    <w:keepNext w:val="0"/>
                    <w:keepLines w:val="0"/>
                    <w:pageBreakBefore w:val="0"/>
                    <w:widowControl/>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本项目含挥发性有机物的原料为</w:t>
                  </w:r>
                  <w:r>
                    <w:rPr>
                      <w:rFonts w:hint="default"/>
                      <w:color w:val="auto"/>
                      <w:sz w:val="21"/>
                    </w:rPr>
                    <w:t>防冻剂（丙二醇）</w:t>
                  </w:r>
                  <w:r>
                    <w:rPr>
                      <w:rFonts w:hint="default" w:ascii="Times New Roman" w:hAnsi="Times New Roman" w:eastAsia="宋体" w:cs="Times New Roman"/>
                      <w:color w:val="auto"/>
                      <w:sz w:val="21"/>
                      <w:szCs w:val="21"/>
                      <w:highlight w:val="none"/>
                      <w:lang w:eastAsia="zh-CN"/>
                    </w:rPr>
                    <w:t>符合质量标准要求。</w:t>
                  </w:r>
                </w:p>
              </w:tc>
              <w:tc>
                <w:tcPr>
                  <w:tcW w:w="604" w:type="pct"/>
                  <w:noWrap w:val="0"/>
                  <w:vAlign w:val="center"/>
                </w:tcPr>
                <w:p w14:paraId="014B12B5">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符合</w:t>
                  </w:r>
                </w:p>
              </w:tc>
            </w:tr>
          </w:tbl>
          <w:p w14:paraId="776E71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综上，项目符合《昆明市大气污染防治条例》要求。</w:t>
            </w:r>
          </w:p>
          <w:p w14:paraId="4DD504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与《重点行业挥发性有机物综合治理方案》符合性分析</w:t>
            </w:r>
          </w:p>
          <w:p w14:paraId="41616C25">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为贯彻落实《中共</w:t>
            </w:r>
            <w:r>
              <w:rPr>
                <w:rFonts w:hint="eastAsia" w:cs="Times New Roman"/>
                <w:color w:val="auto"/>
                <w:sz w:val="24"/>
                <w:szCs w:val="24"/>
                <w:lang w:val="en-US" w:eastAsia="zh-CN"/>
              </w:rPr>
              <w:t>党中央、国务院</w:t>
            </w:r>
            <w:r>
              <w:rPr>
                <w:rFonts w:hint="default" w:ascii="Times New Roman" w:hAnsi="Times New Roman" w:eastAsia="宋体" w:cs="Times New Roman"/>
                <w:color w:val="auto"/>
                <w:sz w:val="24"/>
                <w:szCs w:val="24"/>
                <w:lang w:val="en-US" w:eastAsia="zh-CN"/>
              </w:rPr>
              <w:t>关于全面加强生态环境保护坚决打好污染防治攻坚战的意见》《国务院关于印发打赢蓝天保卫战三年行动计划的通知》有关要求，深入实施《“十三五”挥发性有机物污染防治工作方案》，加强对各地工作指导，提高挥发性有机物（VOCs）治理的科学性、针对性和有效性，协同控制温室气体排放。</w:t>
            </w:r>
          </w:p>
          <w:p w14:paraId="7703C6CA">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大力推进源头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14:paraId="1AEAEA29">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eastAsia" w:ascii="Times New Roman" w:hAnsi="Times New Roman" w:eastAsia="宋体" w:cs="Times New Roman"/>
                <w:color w:val="auto"/>
                <w:sz w:val="24"/>
                <w:szCs w:val="24"/>
                <w:lang w:val="en-US" w:eastAsia="zh-CN"/>
              </w:rPr>
              <w:t>。</w:t>
            </w:r>
          </w:p>
          <w:p w14:paraId="209A8114">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（三）推进建设适宜高效的治污设施。企业新建治污设施或对现有治污设施实施改造，应依据排放废气的浓度、组分、风量，温度、湿度、压力，以及生产工况等，合理选择治理技术。</w:t>
            </w:r>
          </w:p>
          <w:p w14:paraId="0AE337B3">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（四）深入实施精细化管控。各地应围绕当地环境空气质量改善需求，根据O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来源解析，结合行业污染排放特征和VOCs物质光化学反应活性等，确定本地区VOCs控制的重点行业和重点污染物，兼顾恶臭污染物和有毒有害物质控制等，提出有效管控方案，提高VOCs治理的精准性、针对性和有效性。</w:t>
            </w:r>
          </w:p>
          <w:p w14:paraId="67D6BE27">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生产过程产生的VOCs（以非甲烷总烃计）经“</w:t>
            </w:r>
            <w:r>
              <w:rPr>
                <w:rFonts w:hint="eastAsia" w:cs="Times New Roman"/>
                <w:color w:val="auto"/>
                <w:sz w:val="24"/>
                <w:szCs w:val="24"/>
                <w:lang w:val="en-US" w:eastAsia="zh-CN"/>
              </w:rPr>
              <w:t>UV光氧+</w:t>
            </w:r>
            <w:r>
              <w:rPr>
                <w:rFonts w:hint="default" w:ascii="Times New Roman" w:hAnsi="Times New Roman" w:eastAsia="宋体" w:cs="Times New Roman"/>
                <w:color w:val="auto"/>
                <w:sz w:val="24"/>
                <w:szCs w:val="24"/>
                <w:lang w:val="en-US" w:eastAsia="zh-CN"/>
              </w:rPr>
              <w:t>活性炭吸附装置”处理后由15m排气筒</w:t>
            </w:r>
            <w:r>
              <w:rPr>
                <w:rFonts w:hint="eastAsia" w:cs="Times New Roman"/>
                <w:color w:val="auto"/>
                <w:sz w:val="24"/>
                <w:szCs w:val="24"/>
                <w:lang w:val="en-US" w:eastAsia="zh-CN"/>
              </w:rPr>
              <w:t>达标</w:t>
            </w:r>
            <w:r>
              <w:rPr>
                <w:rFonts w:hint="default" w:ascii="Times New Roman" w:hAnsi="Times New Roman" w:eastAsia="宋体" w:cs="Times New Roman"/>
                <w:color w:val="auto"/>
                <w:sz w:val="24"/>
                <w:szCs w:val="24"/>
                <w:lang w:val="en-US" w:eastAsia="zh-CN"/>
              </w:rPr>
              <w:t>排放；符合《重点行业挥发性有机物综合治理方案》的相关技术要求。</w:t>
            </w:r>
          </w:p>
          <w:p w14:paraId="49EBC02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6、与《云南省重点行业挥发性有机物综合治理实施方案》符合性分析</w:t>
            </w:r>
          </w:p>
          <w:p w14:paraId="320296E8">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color w:val="auto"/>
                <w:sz w:val="24"/>
              </w:rPr>
            </w:pPr>
            <w:r>
              <w:rPr>
                <w:rFonts w:hint="default"/>
                <w:color w:val="auto"/>
                <w:sz w:val="24"/>
              </w:rPr>
              <w:t>2019年9月4日，云南省生态环境厅印发了《云南省重点行业挥发性有机物综合治理实施方案》（云环通〔2019〕125号）。项目与《云南省重点行业挥发性有机物综合治理实施方案》的相符性分析见表1-</w:t>
            </w:r>
            <w:r>
              <w:rPr>
                <w:rFonts w:hint="eastAsia"/>
                <w:color w:val="auto"/>
                <w:sz w:val="24"/>
                <w:lang w:val="en-US" w:eastAsia="zh-CN"/>
              </w:rPr>
              <w:t>6</w:t>
            </w:r>
            <w:r>
              <w:rPr>
                <w:rFonts w:hint="default"/>
                <w:color w:val="auto"/>
                <w:sz w:val="24"/>
              </w:rPr>
              <w:t>。</w:t>
            </w:r>
          </w:p>
          <w:p w14:paraId="2928DB36">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b/>
                <w:color w:val="auto"/>
                <w:szCs w:val="21"/>
              </w:rPr>
            </w:pPr>
            <w:r>
              <w:rPr>
                <w:rFonts w:hint="default"/>
                <w:b/>
                <w:color w:val="auto"/>
                <w:szCs w:val="21"/>
              </w:rPr>
              <w:t>表1-</w:t>
            </w:r>
            <w:r>
              <w:rPr>
                <w:rFonts w:hint="eastAsia"/>
                <w:b/>
                <w:color w:val="auto"/>
                <w:szCs w:val="21"/>
                <w:lang w:val="en-US" w:eastAsia="zh-CN"/>
              </w:rPr>
              <w:t>6</w:t>
            </w:r>
            <w:r>
              <w:rPr>
                <w:rFonts w:hint="default"/>
                <w:b/>
                <w:color w:val="auto"/>
                <w:szCs w:val="21"/>
              </w:rPr>
              <w:t xml:space="preserve">  项目与《云南省重点行业挥发性有机物综合治理实施方案》的相符性分析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3"/>
              <w:gridCol w:w="3269"/>
              <w:gridCol w:w="718"/>
            </w:tblGrid>
            <w:tr w14:paraId="1617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21" w:type="pct"/>
                  <w:noWrap w:val="0"/>
                  <w:vAlign w:val="center"/>
                </w:tcPr>
                <w:p w14:paraId="16EE979D">
                  <w:pPr>
                    <w:pStyle w:val="26"/>
                    <w:keepNext w:val="0"/>
                    <w:keepLines w:val="0"/>
                    <w:pageBreakBefore w:val="0"/>
                    <w:widowControl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
                      <w:color w:val="auto"/>
                      <w:sz w:val="21"/>
                      <w:szCs w:val="21"/>
                      <w:lang w:bidi="ar"/>
                    </w:rPr>
                  </w:pPr>
                  <w:r>
                    <w:rPr>
                      <w:rFonts w:hint="default" w:ascii="Times New Roman" w:hAnsi="Times New Roman" w:eastAsia="宋体" w:cs="Times New Roman"/>
                      <w:b/>
                      <w:color w:val="auto"/>
                      <w:sz w:val="21"/>
                      <w:szCs w:val="21"/>
                      <w:lang w:bidi="ar"/>
                    </w:rPr>
                    <w:t>《云南省重点行业挥发性有机物综合治理实施方案》</w:t>
                  </w:r>
                </w:p>
              </w:tc>
              <w:tc>
                <w:tcPr>
                  <w:tcW w:w="2112" w:type="pct"/>
                  <w:noWrap w:val="0"/>
                  <w:vAlign w:val="center"/>
                </w:tcPr>
                <w:p w14:paraId="15037117">
                  <w:pPr>
                    <w:keepNext w:val="0"/>
                    <w:keepLines w:val="0"/>
                    <w:pageBreakBefore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eastAsia="宋体"/>
                      <w:b/>
                      <w:color w:val="auto"/>
                      <w:szCs w:val="21"/>
                    </w:rPr>
                  </w:pPr>
                  <w:r>
                    <w:rPr>
                      <w:rFonts w:hint="default" w:eastAsia="宋体"/>
                      <w:b/>
                      <w:color w:val="auto"/>
                      <w:szCs w:val="21"/>
                    </w:rPr>
                    <w:t>本项目</w:t>
                  </w:r>
                </w:p>
              </w:tc>
              <w:tc>
                <w:tcPr>
                  <w:tcW w:w="465" w:type="pct"/>
                  <w:noWrap w:val="0"/>
                  <w:vAlign w:val="center"/>
                </w:tcPr>
                <w:p w14:paraId="47F818B4">
                  <w:pPr>
                    <w:keepNext w:val="0"/>
                    <w:keepLines w:val="0"/>
                    <w:pageBreakBefore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eastAsia="宋体"/>
                      <w:b/>
                      <w:color w:val="auto"/>
                      <w:szCs w:val="21"/>
                    </w:rPr>
                  </w:pPr>
                  <w:r>
                    <w:rPr>
                      <w:rFonts w:hint="default" w:eastAsia="宋体"/>
                      <w:b/>
                      <w:color w:val="auto"/>
                      <w:szCs w:val="21"/>
                    </w:rPr>
                    <w:t>相符性</w:t>
                  </w:r>
                </w:p>
              </w:tc>
            </w:tr>
            <w:tr w14:paraId="6327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21" w:type="pct"/>
                  <w:noWrap w:val="0"/>
                  <w:vAlign w:val="center"/>
                </w:tcPr>
                <w:p w14:paraId="4377DF81">
                  <w:pPr>
                    <w:pStyle w:val="26"/>
                    <w:keepNext w:val="0"/>
                    <w:keepLines w:val="0"/>
                    <w:pageBreakBefore w:val="0"/>
                    <w:suppressLineNumbers w:val="0"/>
                    <w:kinsoku/>
                    <w:wordWrap/>
                    <w:overflowPunct/>
                    <w:bidi w:val="0"/>
                    <w:adjustRightInd w:val="0"/>
                    <w:snapToGrid w:val="0"/>
                    <w:spacing w:beforeAutospacing="0" w:afterAutospacing="0"/>
                    <w:ind w:left="0" w:leftChars="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112" w:type="pct"/>
                  <w:noWrap w:val="0"/>
                  <w:vAlign w:val="center"/>
                </w:tcPr>
                <w:p w14:paraId="0CEC904F">
                  <w:pPr>
                    <w:keepNext w:val="0"/>
                    <w:keepLines w:val="0"/>
                    <w:pageBreakBefore w:val="0"/>
                    <w:suppressLineNumbers w:val="0"/>
                    <w:kinsoku/>
                    <w:wordWrap/>
                    <w:overflowPunct/>
                    <w:bidi w:val="0"/>
                    <w:adjustRightInd w:val="0"/>
                    <w:snapToGrid w:val="0"/>
                    <w:spacing w:before="0" w:beforeAutospacing="0" w:after="0" w:afterAutospacing="0"/>
                    <w:ind w:left="0" w:leftChars="0" w:right="0"/>
                    <w:jc w:val="left"/>
                    <w:textAlignment w:val="auto"/>
                    <w:rPr>
                      <w:rFonts w:hint="eastAsia" w:eastAsia="宋体"/>
                      <w:color w:val="auto"/>
                      <w:szCs w:val="21"/>
                      <w:lang w:eastAsia="zh-CN" w:bidi="ar"/>
                    </w:rPr>
                  </w:pPr>
                  <w:r>
                    <w:rPr>
                      <w:rFonts w:hint="eastAsia" w:eastAsia="宋体"/>
                      <w:color w:val="auto"/>
                      <w:szCs w:val="21"/>
                      <w:lang w:eastAsia="zh-CN" w:bidi="ar"/>
                    </w:rPr>
                    <w:t>项目已采取含</w:t>
                  </w:r>
                  <w:r>
                    <w:rPr>
                      <w:rFonts w:hint="default" w:ascii="Times New Roman" w:hAnsi="Times New Roman" w:eastAsia="宋体" w:cs="Times New Roman"/>
                      <w:color w:val="auto"/>
                      <w:sz w:val="21"/>
                      <w:szCs w:val="21"/>
                      <w:lang w:bidi="ar"/>
                    </w:rPr>
                    <w:t>VOCs 物料（包括含 VOCs 原辅材料、含 VOCs 产品、含 VOCs 废料以及有机聚合物材料等）储存、转移和输送、设备与管线组件泄漏、敞开液面逸散以及工艺过程等五类排放源实施管控，</w:t>
                  </w:r>
                  <w:r>
                    <w:rPr>
                      <w:rFonts w:hint="eastAsia" w:cs="Times New Roman"/>
                      <w:b w:val="0"/>
                      <w:bCs w:val="0"/>
                      <w:color w:val="auto"/>
                      <w:sz w:val="21"/>
                      <w:szCs w:val="21"/>
                      <w:lang w:val="en-US" w:eastAsia="zh-CN"/>
                    </w:rPr>
                    <w:t>包装口扩散的非甲烷总烃</w:t>
                  </w:r>
                  <w:r>
                    <w:rPr>
                      <w:rFonts w:hint="default" w:ascii="Times New Roman" w:hAnsi="Times New Roman" w:eastAsia="宋体" w:cs="Times New Roman"/>
                      <w:b w:val="0"/>
                      <w:bCs w:val="0"/>
                      <w:color w:val="auto"/>
                      <w:sz w:val="21"/>
                      <w:szCs w:val="21"/>
                      <w:lang w:eastAsia="zh-CN"/>
                    </w:rPr>
                    <w:t>经</w:t>
                  </w:r>
                  <w:r>
                    <w:rPr>
                      <w:rFonts w:hint="eastAsia" w:cs="Times New Roman"/>
                      <w:b w:val="0"/>
                      <w:bCs w:val="0"/>
                      <w:color w:val="auto"/>
                      <w:sz w:val="21"/>
                      <w:szCs w:val="21"/>
                      <w:lang w:val="en-US" w:eastAsia="zh-CN"/>
                    </w:rPr>
                    <w:t>集气罩收集，</w:t>
                  </w:r>
                  <w:r>
                    <w:rPr>
                      <w:rFonts w:hint="default" w:ascii="Times New Roman" w:hAnsi="Times New Roman" w:eastAsia="宋体" w:cs="Times New Roman"/>
                      <w:b w:val="0"/>
                      <w:bCs w:val="0"/>
                      <w:color w:val="auto"/>
                      <w:sz w:val="21"/>
                      <w:szCs w:val="21"/>
                      <w:lang w:eastAsia="zh-CN"/>
                    </w:rPr>
                    <w:t>“</w:t>
                  </w:r>
                  <w:r>
                    <w:rPr>
                      <w:rFonts w:hint="eastAsia" w:cs="Times New Roman"/>
                      <w:b w:val="0"/>
                      <w:bCs w:val="0"/>
                      <w:color w:val="auto"/>
                      <w:sz w:val="21"/>
                      <w:szCs w:val="21"/>
                      <w:lang w:val="en-US" w:eastAsia="zh-CN"/>
                    </w:rPr>
                    <w:t>UV光氧+活性炭吸附</w:t>
                  </w:r>
                  <w:r>
                    <w:rPr>
                      <w:rFonts w:hint="default" w:ascii="Times New Roman" w:hAnsi="Times New Roman" w:eastAsia="宋体" w:cs="Times New Roman"/>
                      <w:b w:val="0"/>
                      <w:bCs w:val="0"/>
                      <w:color w:val="auto"/>
                      <w:sz w:val="21"/>
                      <w:szCs w:val="21"/>
                      <w:lang w:eastAsia="zh-CN"/>
                    </w:rPr>
                    <w:t>”处理后由</w:t>
                  </w:r>
                  <w:r>
                    <w:rPr>
                      <w:rFonts w:hint="eastAsia" w:cs="Times New Roman"/>
                      <w:b w:val="0"/>
                      <w:bCs w:val="0"/>
                      <w:color w:val="auto"/>
                      <w:sz w:val="21"/>
                      <w:szCs w:val="21"/>
                      <w:lang w:val="en-US" w:eastAsia="zh-CN"/>
                    </w:rPr>
                    <w:t>15</w:t>
                  </w:r>
                  <w:r>
                    <w:rPr>
                      <w:rFonts w:hint="default" w:ascii="Times New Roman" w:hAnsi="Times New Roman" w:eastAsia="宋体" w:cs="Times New Roman"/>
                      <w:b w:val="0"/>
                      <w:bCs w:val="0"/>
                      <w:color w:val="auto"/>
                      <w:sz w:val="21"/>
                      <w:szCs w:val="21"/>
                      <w:lang w:val="en-US" w:eastAsia="zh-CN"/>
                    </w:rPr>
                    <w:t>m排气筒排放</w:t>
                  </w:r>
                  <w:r>
                    <w:rPr>
                      <w:rFonts w:hint="eastAsia" w:cs="Times New Roman"/>
                      <w:b w:val="0"/>
                      <w:bCs w:val="0"/>
                      <w:color w:val="auto"/>
                      <w:sz w:val="21"/>
                      <w:szCs w:val="21"/>
                      <w:lang w:val="en-US" w:eastAsia="zh-CN"/>
                    </w:rPr>
                    <w:t>。</w:t>
                  </w:r>
                </w:p>
              </w:tc>
              <w:tc>
                <w:tcPr>
                  <w:tcW w:w="465" w:type="pct"/>
                  <w:noWrap w:val="0"/>
                  <w:vAlign w:val="center"/>
                </w:tcPr>
                <w:p w14:paraId="15D1D805">
                  <w:pPr>
                    <w:pStyle w:val="26"/>
                    <w:keepNext w:val="0"/>
                    <w:keepLines w:val="0"/>
                    <w:pageBreakBefore w:val="0"/>
                    <w:widowControl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相符</w:t>
                  </w:r>
                </w:p>
              </w:tc>
            </w:tr>
            <w:tr w14:paraId="5885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21" w:type="pct"/>
                  <w:noWrap w:val="0"/>
                  <w:vAlign w:val="center"/>
                </w:tcPr>
                <w:p w14:paraId="3EBF7B68">
                  <w:pPr>
                    <w:pStyle w:val="26"/>
                    <w:keepNext w:val="0"/>
                    <w:keepLines w:val="0"/>
                    <w:pageBreakBefore w:val="0"/>
                    <w:suppressLineNumbers w:val="0"/>
                    <w:kinsoku/>
                    <w:wordWrap/>
                    <w:overflowPunct/>
                    <w:bidi w:val="0"/>
                    <w:adjustRightInd w:val="0"/>
                    <w:snapToGrid w:val="0"/>
                    <w:spacing w:beforeAutospacing="0" w:afterAutospacing="0"/>
                    <w:ind w:left="0" w:leftChars="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 VOCs 无组织排放位置，控制风速应不低于 0.3米/秒，有行业要求的按相关规定执行。</w:t>
                  </w:r>
                </w:p>
              </w:tc>
              <w:tc>
                <w:tcPr>
                  <w:tcW w:w="2112" w:type="pct"/>
                  <w:noWrap w:val="0"/>
                  <w:vAlign w:val="center"/>
                </w:tcPr>
                <w:p w14:paraId="6EAEB129">
                  <w:pPr>
                    <w:pStyle w:val="26"/>
                    <w:keepNext w:val="0"/>
                    <w:keepLines w:val="0"/>
                    <w:pageBreakBefore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eastAsia="zh-CN" w:bidi="ar"/>
                    </w:rPr>
                    <w:t>项目</w:t>
                  </w:r>
                  <w:r>
                    <w:rPr>
                      <w:rFonts w:hint="eastAsia" w:ascii="Times New Roman" w:hAnsi="Times New Roman" w:cs="Times New Roman"/>
                      <w:color w:val="auto"/>
                      <w:sz w:val="21"/>
                      <w:szCs w:val="21"/>
                      <w:lang w:val="en-US" w:eastAsia="zh-CN" w:bidi="ar"/>
                    </w:rPr>
                    <w:t>设置的是局部集气罩，</w:t>
                  </w:r>
                  <w:r>
                    <w:rPr>
                      <w:rFonts w:hint="default" w:ascii="Times New Roman" w:hAnsi="Times New Roman" w:eastAsia="宋体" w:cs="Times New Roman"/>
                      <w:color w:val="auto"/>
                      <w:sz w:val="21"/>
                      <w:szCs w:val="21"/>
                      <w:lang w:bidi="ar"/>
                    </w:rPr>
                    <w:t>集气罩开口面最远处的 VOCs 无组织排放位置，风速</w:t>
                  </w:r>
                  <w:r>
                    <w:rPr>
                      <w:rFonts w:hint="eastAsia" w:ascii="Times New Roman" w:hAnsi="Times New Roman" w:cs="Times New Roman"/>
                      <w:color w:val="auto"/>
                      <w:sz w:val="21"/>
                      <w:szCs w:val="21"/>
                      <w:lang w:val="en-US" w:eastAsia="zh-CN" w:bidi="ar"/>
                    </w:rPr>
                    <w:t>较高</w:t>
                  </w:r>
                  <w:r>
                    <w:rPr>
                      <w:rFonts w:hint="eastAsia" w:ascii="Times New Roman" w:hAnsi="Times New Roman" w:cs="Times New Roman"/>
                      <w:color w:val="auto"/>
                      <w:sz w:val="21"/>
                      <w:szCs w:val="21"/>
                      <w:lang w:eastAsia="zh-CN" w:bidi="ar"/>
                    </w:rPr>
                    <w:t>，</w:t>
                  </w:r>
                  <w:r>
                    <w:rPr>
                      <w:rFonts w:hint="default" w:ascii="Times New Roman" w:hAnsi="Times New Roman" w:eastAsia="宋体" w:cs="Times New Roman"/>
                      <w:color w:val="auto"/>
                      <w:sz w:val="21"/>
                      <w:szCs w:val="21"/>
                      <w:lang w:bidi="ar"/>
                    </w:rPr>
                    <w:t>不低于 0.3米/秒</w:t>
                  </w:r>
                </w:p>
              </w:tc>
              <w:tc>
                <w:tcPr>
                  <w:tcW w:w="465" w:type="pct"/>
                  <w:noWrap w:val="0"/>
                  <w:vAlign w:val="center"/>
                </w:tcPr>
                <w:p w14:paraId="4C0B4439">
                  <w:pPr>
                    <w:pStyle w:val="26"/>
                    <w:keepNext w:val="0"/>
                    <w:keepLines w:val="0"/>
                    <w:pageBreakBefore w:val="0"/>
                    <w:widowControl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相符</w:t>
                  </w:r>
                </w:p>
              </w:tc>
            </w:tr>
          </w:tbl>
          <w:p w14:paraId="6ABB0254">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color w:val="auto"/>
                <w:sz w:val="24"/>
              </w:rPr>
            </w:pPr>
            <w:r>
              <w:rPr>
                <w:rFonts w:hint="default"/>
                <w:color w:val="auto"/>
                <w:sz w:val="24"/>
              </w:rPr>
              <w:t>综上所述，项目与《云南省重点行业挥发性有机物综合治理实施方案》（云环通〔2019〕125号）相符。</w:t>
            </w:r>
          </w:p>
          <w:p w14:paraId="6DBB5D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、产业政策的符合性分析</w:t>
            </w:r>
          </w:p>
          <w:p w14:paraId="17D89EE2">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涂料生产项目，根据《国民经济行业分类》（GB/T4754-2017）及第1号修改单的通知（国统字〔2019〕66号），本项目属于C2641涂料制造。根据《产业结构调整指导目录（2019年本）》（2020年1月1日实施）；项目不属于鼓励类、限制类和淘汰类目录之列，属于允许类项目，符合国家产业政策。</w:t>
            </w:r>
          </w:p>
          <w:p w14:paraId="68CEC7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、选址符合性分析</w:t>
            </w:r>
          </w:p>
          <w:p w14:paraId="58BBC13E">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项目为涂料生产，位于富民工业园区白石岩—大白坡片区</w:t>
            </w:r>
            <w:r>
              <w:rPr>
                <w:rFonts w:hint="eastAsia" w:cs="Times New Roman"/>
                <w:color w:val="auto"/>
                <w:sz w:val="24"/>
                <w:szCs w:val="24"/>
                <w:lang w:val="en-US" w:eastAsia="zh-CN"/>
              </w:rPr>
              <w:t>哨箐</w:t>
            </w:r>
            <w:r>
              <w:rPr>
                <w:rFonts w:hint="default" w:ascii="Times New Roman" w:hAnsi="Times New Roman" w:eastAsia="宋体" w:cs="Times New Roman"/>
                <w:color w:val="auto"/>
                <w:sz w:val="24"/>
                <w:szCs w:val="24"/>
                <w:lang w:val="en-US" w:eastAsia="zh-CN"/>
              </w:rPr>
              <w:t>组团，属工业用地，符合园区规划。由于园区基础设施的建设，所选厂地在供电、供水、交通等基础条件十分便利。根据引用的环境质量数据，项目区具有一定的环境容量，对项目建设无重大环境制约因素。在采取相应环保措施后，项目产生的废气对周围环境影响较小；废水</w:t>
            </w:r>
            <w:r>
              <w:rPr>
                <w:rFonts w:hint="eastAsia" w:cs="Times New Roman"/>
                <w:color w:val="auto"/>
                <w:sz w:val="24"/>
                <w:szCs w:val="24"/>
                <w:lang w:val="en-US" w:eastAsia="zh-CN"/>
              </w:rPr>
              <w:t>经自建污水处理站处理达标后排入园区污水管网</w:t>
            </w:r>
            <w:r>
              <w:rPr>
                <w:rFonts w:hint="default" w:ascii="Times New Roman" w:hAnsi="Times New Roman" w:eastAsia="宋体" w:cs="Times New Roman"/>
                <w:color w:val="auto"/>
                <w:sz w:val="24"/>
                <w:szCs w:val="24"/>
                <w:lang w:val="en-US" w:eastAsia="zh-CN"/>
              </w:rPr>
              <w:t>；噪声厂界可达标排放；固体废物均能得到合理处置，项目</w:t>
            </w:r>
            <w:r>
              <w:rPr>
                <w:rFonts w:hint="eastAsia" w:cs="Times New Roman"/>
                <w:color w:val="auto"/>
                <w:sz w:val="24"/>
                <w:szCs w:val="24"/>
                <w:lang w:val="en-US" w:eastAsia="zh-CN"/>
              </w:rPr>
              <w:t>周边500m范围主要分布有电器设备及机械制造企业</w:t>
            </w:r>
            <w:r>
              <w:rPr>
                <w:rFonts w:hint="default" w:ascii="Times New Roman" w:hAnsi="Times New Roman" w:eastAsia="宋体" w:cs="Times New Roman"/>
                <w:color w:val="auto"/>
                <w:sz w:val="24"/>
                <w:szCs w:val="24"/>
                <w:lang w:val="en-US" w:eastAsia="zh-CN"/>
              </w:rPr>
              <w:t>与周围环境相容。</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周围无需要特殊保护的文物、名胜、古迹和文化、自然遗产，不属于自然保护区和风景名胜区的保护范围。</w:t>
            </w:r>
          </w:p>
          <w:p w14:paraId="2F3221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综上，项目建设场地条件、交通运输、环境保护和水、电、通信等条件好，无重大的环境制约因素，项目选址合理。</w:t>
            </w:r>
          </w:p>
          <w:p w14:paraId="7C5D1C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、平面布置符合性分析</w:t>
            </w:r>
          </w:p>
          <w:p w14:paraId="195ADFE8">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本</w:t>
            </w:r>
            <w:r>
              <w:rPr>
                <w:rFonts w:hint="default" w:ascii="Times New Roman" w:hAnsi="Times New Roman" w:eastAsia="宋体" w:cs="Times New Roman"/>
                <w:color w:val="auto"/>
                <w:sz w:val="24"/>
                <w:szCs w:val="24"/>
                <w:lang w:val="en-US" w:eastAsia="zh-CN"/>
              </w:rPr>
              <w:t>项目为扩建项目，厂区布局已形成。厂区分为两个片区，办公区（含食堂）设置在东南角；厂</w:t>
            </w:r>
            <w:r>
              <w:rPr>
                <w:rFonts w:hint="eastAsia" w:cs="Times New Roman"/>
                <w:color w:val="auto"/>
                <w:sz w:val="24"/>
                <w:szCs w:val="24"/>
                <w:lang w:val="en-US" w:eastAsia="zh-CN"/>
              </w:rPr>
              <w:t>区</w:t>
            </w:r>
            <w:r>
              <w:rPr>
                <w:rFonts w:hint="default" w:ascii="Times New Roman" w:hAnsi="Times New Roman" w:eastAsia="宋体" w:cs="Times New Roman"/>
                <w:color w:val="auto"/>
                <w:sz w:val="24"/>
                <w:szCs w:val="24"/>
                <w:lang w:val="en-US" w:eastAsia="zh-CN"/>
              </w:rPr>
              <w:t>北面为生产区，设置有</w:t>
            </w:r>
            <w:r>
              <w:rPr>
                <w:rFonts w:hint="eastAsia"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生产车间、</w:t>
            </w:r>
            <w:r>
              <w:rPr>
                <w:rFonts w:hint="eastAsia"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成品库、腻子粉生产车间和原料仓库；1栋甲类库、</w:t>
            </w:r>
            <w:r>
              <w:rPr>
                <w:rFonts w:hint="eastAsia" w:cs="Times New Roman"/>
                <w:color w:val="auto"/>
                <w:sz w:val="24"/>
                <w:szCs w:val="24"/>
                <w:lang w:val="en-US" w:eastAsia="zh-CN"/>
              </w:rPr>
              <w:t>1个</w:t>
            </w:r>
            <w:r>
              <w:rPr>
                <w:rFonts w:hint="default" w:ascii="Times New Roman" w:hAnsi="Times New Roman" w:eastAsia="宋体" w:cs="Times New Roman"/>
                <w:color w:val="auto"/>
                <w:sz w:val="24"/>
                <w:szCs w:val="24"/>
                <w:lang w:val="en-US" w:eastAsia="zh-CN"/>
              </w:rPr>
              <w:t>危废间均为沿西边厂界进行布置；东北角设置事故水池和一般固废间。生产线布置于</w:t>
            </w:r>
            <w:r>
              <w:rPr>
                <w:rFonts w:hint="eastAsia" w:cs="Times New Roman"/>
                <w:color w:val="auto"/>
                <w:sz w:val="24"/>
                <w:szCs w:val="24"/>
                <w:lang w:val="en-US" w:eastAsia="zh-CN"/>
              </w:rPr>
              <w:t>两个</w:t>
            </w:r>
            <w:r>
              <w:rPr>
                <w:rFonts w:hint="default" w:ascii="Times New Roman" w:hAnsi="Times New Roman" w:eastAsia="宋体" w:cs="Times New Roman"/>
                <w:color w:val="auto"/>
                <w:sz w:val="24"/>
                <w:szCs w:val="24"/>
                <w:lang w:val="en-US" w:eastAsia="zh-CN"/>
              </w:rPr>
              <w:t>间生产车间内，另设置</w:t>
            </w:r>
            <w:r>
              <w:rPr>
                <w:rFonts w:hint="eastAsia" w:cs="Times New Roman"/>
                <w:color w:val="auto"/>
                <w:sz w:val="24"/>
                <w:szCs w:val="24"/>
                <w:lang w:val="en-US" w:eastAsia="zh-CN"/>
              </w:rPr>
              <w:t>1个</w:t>
            </w:r>
            <w:r>
              <w:rPr>
                <w:rFonts w:hint="default" w:ascii="Times New Roman" w:hAnsi="Times New Roman" w:eastAsia="宋体" w:cs="Times New Roman"/>
                <w:color w:val="auto"/>
                <w:sz w:val="24"/>
                <w:szCs w:val="24"/>
                <w:lang w:val="en-US" w:eastAsia="zh-CN"/>
              </w:rPr>
              <w:t>原料库。</w:t>
            </w:r>
            <w:r>
              <w:rPr>
                <w:rFonts w:hint="eastAsia" w:cs="Times New Roman"/>
                <w:color w:val="auto"/>
                <w:sz w:val="24"/>
                <w:szCs w:val="24"/>
                <w:lang w:val="en-US" w:eastAsia="zh-CN"/>
              </w:rPr>
              <w:t>水性涂料生产</w:t>
            </w:r>
            <w:r>
              <w:rPr>
                <w:rFonts w:hint="default" w:ascii="Times New Roman" w:hAnsi="Times New Roman" w:eastAsia="宋体" w:cs="Times New Roman"/>
                <w:color w:val="auto"/>
                <w:sz w:val="24"/>
                <w:szCs w:val="24"/>
                <w:lang w:val="en-US" w:eastAsia="zh-CN"/>
              </w:rPr>
              <w:t>车间设置2条乳胶漆生产线</w:t>
            </w:r>
            <w:r>
              <w:rPr>
                <w:rFonts w:hint="eastAsia" w:cs="Times New Roman"/>
                <w:color w:val="auto"/>
                <w:sz w:val="24"/>
                <w:szCs w:val="24"/>
                <w:lang w:val="en-US" w:eastAsia="zh-CN"/>
              </w:rPr>
              <w:t>、1条砂壁产品生产线</w:t>
            </w:r>
            <w:r>
              <w:rPr>
                <w:rFonts w:hint="default" w:ascii="Times New Roman" w:hAnsi="Times New Roman" w:eastAsia="宋体" w:cs="Times New Roman"/>
                <w:color w:val="auto"/>
                <w:sz w:val="24"/>
                <w:szCs w:val="24"/>
                <w:lang w:val="en-US" w:eastAsia="zh-CN"/>
              </w:rPr>
              <w:t>，腻子粉车间设置2条腻子粉生产线，在</w:t>
            </w:r>
            <w:r>
              <w:rPr>
                <w:rFonts w:hint="eastAsia" w:cs="Times New Roman"/>
                <w:color w:val="auto"/>
                <w:sz w:val="24"/>
                <w:szCs w:val="24"/>
                <w:lang w:val="en-US" w:eastAsia="zh-CN"/>
              </w:rPr>
              <w:t>厂区</w:t>
            </w:r>
            <w:r>
              <w:rPr>
                <w:rFonts w:hint="default" w:ascii="Times New Roman" w:hAnsi="Times New Roman" w:eastAsia="宋体" w:cs="Times New Roman"/>
                <w:color w:val="auto"/>
                <w:sz w:val="24"/>
                <w:szCs w:val="24"/>
                <w:lang w:val="en-US" w:eastAsia="zh-CN"/>
              </w:rPr>
              <w:t>的西南角靠近山体的位置设置有污水处理系统。甲类库、危废间</w:t>
            </w:r>
            <w:r>
              <w:rPr>
                <w:rFonts w:hint="eastAsia" w:cs="Times New Roman"/>
                <w:color w:val="auto"/>
                <w:sz w:val="24"/>
                <w:szCs w:val="24"/>
                <w:lang w:val="en-US" w:eastAsia="zh-CN"/>
              </w:rPr>
              <w:t>设置在厂区侧风向，办公生活区设置在厂区上风向，厂区布置合理。</w:t>
            </w:r>
          </w:p>
          <w:p w14:paraId="2B8E0D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10</w:t>
            </w:r>
            <w:r>
              <w:rPr>
                <w:rFonts w:hint="default" w:ascii="Times New Roman" w:hAnsi="Times New Roman" w:eastAsia="宋体" w:cs="Times New Roman"/>
                <w:b/>
                <w:bCs/>
                <w:color w:val="auto"/>
                <w:sz w:val="24"/>
                <w:szCs w:val="24"/>
                <w:lang w:val="en-US" w:eastAsia="zh-CN"/>
              </w:rPr>
              <w:t>、环境相容性分析</w:t>
            </w:r>
          </w:p>
          <w:p w14:paraId="23852ED4">
            <w:pPr>
              <w:pStyle w:val="26"/>
              <w:keepNext w:val="0"/>
              <w:keepLines w:val="0"/>
              <w:pageBreakBefore w:val="0"/>
              <w:widowControl/>
              <w:suppressLineNumbers w:val="0"/>
              <w:kinsoku/>
              <w:wordWrap/>
              <w:overflowPunct/>
              <w:autoSpaceDE w:val="0"/>
              <w:autoSpaceDN w:val="0"/>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sz w:val="24"/>
                <w:szCs w:val="24"/>
                <w:lang w:val="en-US" w:eastAsia="zh-CN"/>
              </w:rPr>
              <w:t>本项目位于云南省昆明市富民工业园区白石岩—大白坡片区</w:t>
            </w:r>
            <w:r>
              <w:rPr>
                <w:rFonts w:hint="eastAsia" w:ascii="Times New Roman" w:hAnsi="Times New Roman" w:cs="Times New Roman"/>
                <w:color w:val="auto"/>
                <w:sz w:val="24"/>
                <w:szCs w:val="24"/>
                <w:lang w:val="en-US" w:eastAsia="zh-CN"/>
              </w:rPr>
              <w:t>哨箐</w:t>
            </w:r>
            <w:r>
              <w:rPr>
                <w:rFonts w:hint="default" w:ascii="Times New Roman" w:hAnsi="Times New Roman" w:eastAsia="宋体" w:cs="Times New Roman"/>
                <w:color w:val="auto"/>
                <w:sz w:val="24"/>
                <w:szCs w:val="24"/>
                <w:lang w:val="en-US" w:eastAsia="zh-CN"/>
              </w:rPr>
              <w:t>组团，</w:t>
            </w:r>
            <w:r>
              <w:rPr>
                <w:rFonts w:hint="default" w:ascii="Times New Roman" w:hAnsi="Times New Roman" w:eastAsia="宋体" w:cs="Times New Roman"/>
                <w:color w:val="auto"/>
                <w:kern w:val="2"/>
                <w:sz w:val="24"/>
                <w:szCs w:val="24"/>
                <w:lang w:val="en-US" w:eastAsia="zh-CN" w:bidi="ar"/>
              </w:rPr>
              <w:t>项目所在地的周边关系详见</w:t>
            </w:r>
            <w:r>
              <w:rPr>
                <w:rFonts w:hint="eastAsia" w:ascii="Times New Roman" w:hAnsi="Times New Roman" w:cs="Times New Roman"/>
                <w:color w:val="auto"/>
                <w:kern w:val="2"/>
                <w:sz w:val="24"/>
                <w:szCs w:val="24"/>
                <w:lang w:val="en-US" w:eastAsia="zh-CN" w:bidi="ar"/>
              </w:rPr>
              <w:t>下表</w:t>
            </w:r>
            <w:r>
              <w:rPr>
                <w:rFonts w:hint="default" w:ascii="Times New Roman" w:hAnsi="Times New Roman" w:eastAsia="宋体" w:cs="Times New Roman"/>
                <w:color w:val="auto"/>
                <w:kern w:val="2"/>
                <w:sz w:val="24"/>
                <w:szCs w:val="24"/>
                <w:lang w:val="en-US" w:eastAsia="zh-CN" w:bidi="ar"/>
              </w:rPr>
              <w:t>。</w:t>
            </w:r>
          </w:p>
          <w:p w14:paraId="4EC45C19">
            <w:pPr>
              <w:keepNext w:val="0"/>
              <w:keepLines w:val="0"/>
              <w:pageBreakBefore w:val="0"/>
              <w:widowControl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b/>
                <w:bCs w:val="0"/>
                <w:color w:val="auto"/>
                <w:kern w:val="2"/>
                <w:sz w:val="21"/>
                <w:szCs w:val="22"/>
                <w:lang w:val="en-US" w:eastAsia="zh-CN" w:bidi="ar"/>
              </w:rPr>
              <w:t>表</w:t>
            </w:r>
            <w:r>
              <w:rPr>
                <w:rFonts w:hint="default" w:ascii="Times New Roman" w:hAnsi="Times New Roman" w:eastAsia="宋体" w:cs="Times New Roman"/>
                <w:b/>
                <w:bCs/>
                <w:color w:val="auto"/>
                <w:kern w:val="2"/>
                <w:sz w:val="21"/>
                <w:szCs w:val="22"/>
                <w:lang w:val="en-US" w:eastAsia="zh-CN" w:bidi="ar"/>
              </w:rPr>
              <w:t>1-</w:t>
            </w:r>
            <w:r>
              <w:rPr>
                <w:rFonts w:hint="eastAsia" w:cs="Times New Roman"/>
                <w:b/>
                <w:bCs/>
                <w:color w:val="auto"/>
                <w:kern w:val="2"/>
                <w:sz w:val="21"/>
                <w:szCs w:val="22"/>
                <w:lang w:val="en-US" w:eastAsia="zh-CN" w:bidi="ar"/>
              </w:rPr>
              <w:t>7</w:t>
            </w:r>
            <w:r>
              <w:rPr>
                <w:rFonts w:hint="default" w:ascii="Times New Roman" w:hAnsi="Times New Roman" w:eastAsia="宋体" w:cs="Times New Roman"/>
                <w:color w:val="auto"/>
                <w:kern w:val="2"/>
                <w:sz w:val="21"/>
                <w:szCs w:val="22"/>
                <w:lang w:val="en-US" w:eastAsia="zh-CN" w:bidi="ar"/>
              </w:rPr>
              <w:t xml:space="preserve">  </w:t>
            </w:r>
            <w:r>
              <w:rPr>
                <w:rFonts w:hint="default" w:ascii="Times New Roman" w:hAnsi="Times New Roman" w:eastAsia="宋体" w:cs="Times New Roman"/>
                <w:b/>
                <w:bCs w:val="0"/>
                <w:color w:val="auto"/>
                <w:kern w:val="2"/>
                <w:sz w:val="21"/>
                <w:szCs w:val="22"/>
                <w:lang w:val="en-US" w:eastAsia="zh-CN" w:bidi="ar"/>
              </w:rPr>
              <w:t>项目周围环境关系一览表</w:t>
            </w:r>
          </w:p>
          <w:tbl>
            <w:tblPr>
              <w:tblStyle w:val="28"/>
              <w:tblW w:w="497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886"/>
              <w:gridCol w:w="3440"/>
              <w:gridCol w:w="1599"/>
              <w:gridCol w:w="1788"/>
            </w:tblGrid>
            <w:tr w14:paraId="08D4CB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6820B04B">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序号</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36A6756C">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名称</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18D85EA9">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方位/距离</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7B3988F5">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污染物</w:t>
                  </w:r>
                </w:p>
              </w:tc>
            </w:tr>
            <w:tr w14:paraId="65F91F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4E2963E3">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1</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057485D5">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昆明湘云衡电器设备有限公司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1C432242">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eastAsia" w:cs="Times New Roman"/>
                      <w:color w:val="auto"/>
                      <w:kern w:val="2"/>
                      <w:sz w:val="21"/>
                      <w:szCs w:val="21"/>
                      <w:lang w:val="en-US" w:eastAsia="zh-CN" w:bidi="ar"/>
                    </w:rPr>
                    <w:t>南</w:t>
                  </w:r>
                  <w:r>
                    <w:rPr>
                      <w:rFonts w:hint="default" w:ascii="Times New Roman" w:hAnsi="Times New Roman" w:eastAsia="宋体" w:cs="Times New Roman"/>
                      <w:color w:val="auto"/>
                      <w:kern w:val="2"/>
                      <w:sz w:val="21"/>
                      <w:szCs w:val="21"/>
                      <w:lang w:val="en-US" w:eastAsia="zh-CN" w:bidi="ar"/>
                    </w:rPr>
                    <w:t>侧</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1EE2812E">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TSP、VOCs</w:t>
                  </w:r>
                </w:p>
              </w:tc>
            </w:tr>
            <w:tr w14:paraId="00B53C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343D2082">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2</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61E42294">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斯特龙板业有限公司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5DBC1466">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  南侧</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60m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5A8D3FED">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0FA36D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194D4228">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3</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52404DF4">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昆明远实机械设备制造有限公司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00903432">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东侧</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14m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176A79FE">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6A3837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32E6CC4C">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4</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5EA0B401">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 xml:space="preserve">昆明骏马建筑机械有限公司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01C12EBF">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 xml:space="preserve"> 东侧</w:t>
                  </w:r>
                  <w:r>
                    <w:rPr>
                      <w:rFonts w:hint="eastAsia" w:cs="Times New Roman"/>
                      <w:color w:val="auto"/>
                      <w:szCs w:val="21"/>
                      <w:lang w:val="en-US" w:eastAsia="zh-CN"/>
                    </w:rPr>
                    <w:t>、</w:t>
                  </w:r>
                  <w:r>
                    <w:rPr>
                      <w:rFonts w:hint="default" w:ascii="Times New Roman" w:hAnsi="Times New Roman" w:eastAsia="宋体" w:cs="Times New Roman"/>
                      <w:color w:val="auto"/>
                      <w:szCs w:val="21"/>
                      <w:lang w:val="en-US"/>
                    </w:rPr>
                    <w:t>132m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18943FCF">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7D550B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4B112765">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5</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6CBD77AE">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 xml:space="preserve">昆明云盾消防设备有限公司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3912D201">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 xml:space="preserve"> 南侧</w:t>
                  </w:r>
                  <w:r>
                    <w:rPr>
                      <w:rFonts w:hint="eastAsia" w:cs="Times New Roman"/>
                      <w:color w:val="auto"/>
                      <w:szCs w:val="21"/>
                      <w:lang w:val="en-US" w:eastAsia="zh-CN"/>
                    </w:rPr>
                    <w:t>、</w:t>
                  </w:r>
                  <w:r>
                    <w:rPr>
                      <w:rFonts w:hint="default" w:ascii="Times New Roman" w:hAnsi="Times New Roman" w:eastAsia="宋体" w:cs="Times New Roman"/>
                      <w:color w:val="auto"/>
                      <w:szCs w:val="21"/>
                      <w:lang w:val="en-US"/>
                    </w:rPr>
                    <w:t>466m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37A60790">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4C7B12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67B55B1D">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6</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6C0F958F">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 xml:space="preserve">云南银桥机械设备制造有限公司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78C96D37">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南侧</w:t>
                  </w:r>
                  <w:r>
                    <w:rPr>
                      <w:rFonts w:hint="eastAsia" w:cs="Times New Roman"/>
                      <w:color w:val="auto"/>
                      <w:szCs w:val="21"/>
                      <w:lang w:val="en-US" w:eastAsia="zh-CN"/>
                    </w:rPr>
                    <w:t>、</w:t>
                  </w:r>
                  <w:r>
                    <w:rPr>
                      <w:rFonts w:hint="default" w:ascii="Times New Roman" w:hAnsi="Times New Roman" w:eastAsia="宋体" w:cs="Times New Roman"/>
                      <w:color w:val="auto"/>
                      <w:szCs w:val="21"/>
                      <w:lang w:val="en-US"/>
                    </w:rPr>
                    <w:t>320m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46D99C50">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3AEB21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3C8C1ECB">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7</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110A1A32">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eastAsia"/>
                      <w:color w:val="auto"/>
                    </w:rPr>
                    <w:t xml:space="preserve">云南德众内燃零部件制造有限公司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25FA3249">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eastAsia"/>
                      <w:color w:val="auto"/>
                    </w:rPr>
                    <w:t>南侧</w:t>
                  </w:r>
                  <w:r>
                    <w:rPr>
                      <w:rFonts w:hint="eastAsia"/>
                      <w:color w:val="auto"/>
                      <w:lang w:eastAsia="zh-CN"/>
                    </w:rPr>
                    <w:t>、</w:t>
                  </w:r>
                  <w:r>
                    <w:rPr>
                      <w:rFonts w:hint="eastAsia"/>
                      <w:color w:val="auto"/>
                    </w:rPr>
                    <w:t>120m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1E10EAFD">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6C549B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1F26EF26">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8</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6D88461C">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昆明市欣誉恒食品有限公司</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3DD1F52B">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eastAsia" w:cs="Times New Roman"/>
                      <w:color w:val="auto"/>
                      <w:kern w:val="2"/>
                      <w:sz w:val="21"/>
                      <w:szCs w:val="21"/>
                      <w:lang w:val="en-US" w:eastAsia="zh-CN" w:bidi="ar"/>
                    </w:rPr>
                    <w:t>东</w:t>
                  </w:r>
                  <w:r>
                    <w:rPr>
                      <w:rFonts w:hint="default" w:ascii="Times New Roman" w:hAnsi="Times New Roman" w:eastAsia="宋体" w:cs="Times New Roman"/>
                      <w:color w:val="auto"/>
                      <w:kern w:val="2"/>
                      <w:sz w:val="21"/>
                      <w:szCs w:val="21"/>
                      <w:lang w:val="en-US" w:eastAsia="zh-CN" w:bidi="ar"/>
                    </w:rPr>
                    <w:t>侧，</w:t>
                  </w:r>
                  <w:r>
                    <w:rPr>
                      <w:rFonts w:hint="eastAsia" w:cs="Times New Roman"/>
                      <w:color w:val="auto"/>
                      <w:kern w:val="2"/>
                      <w:sz w:val="21"/>
                      <w:szCs w:val="21"/>
                      <w:lang w:val="en-US" w:eastAsia="zh-CN" w:bidi="ar"/>
                    </w:rPr>
                    <w:t>288</w:t>
                  </w:r>
                  <w:r>
                    <w:rPr>
                      <w:rFonts w:hint="default" w:ascii="Times New Roman" w:hAnsi="Times New Roman" w:eastAsia="宋体" w:cs="Times New Roman"/>
                      <w:color w:val="auto"/>
                      <w:kern w:val="2"/>
                      <w:sz w:val="21"/>
                      <w:szCs w:val="21"/>
                      <w:lang w:val="en-US" w:eastAsia="zh-CN" w:bidi="ar"/>
                    </w:rPr>
                    <w:t>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2095EB32">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232D75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76B66E0D">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9</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21F0CCC7">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云南</w:t>
                  </w:r>
                  <w:r>
                    <w:rPr>
                      <w:rFonts w:hint="eastAsia" w:cs="Times New Roman"/>
                      <w:color w:val="auto"/>
                      <w:kern w:val="2"/>
                      <w:sz w:val="21"/>
                      <w:szCs w:val="21"/>
                      <w:lang w:val="en-US" w:eastAsia="zh-CN" w:bidi="ar"/>
                    </w:rPr>
                    <w:t>万多电气有限公司</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7F8AF849">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eastAsia" w:cs="Times New Roman"/>
                      <w:color w:val="auto"/>
                      <w:kern w:val="2"/>
                      <w:sz w:val="21"/>
                      <w:szCs w:val="21"/>
                      <w:lang w:val="en-US" w:eastAsia="zh-CN" w:bidi="ar"/>
                    </w:rPr>
                    <w:t>东</w:t>
                  </w:r>
                  <w:r>
                    <w:rPr>
                      <w:rFonts w:hint="default" w:ascii="Times New Roman" w:hAnsi="Times New Roman" w:eastAsia="宋体" w:cs="Times New Roman"/>
                      <w:color w:val="auto"/>
                      <w:kern w:val="2"/>
                      <w:sz w:val="21"/>
                      <w:szCs w:val="21"/>
                      <w:lang w:val="en-US" w:eastAsia="zh-CN" w:bidi="ar"/>
                    </w:rPr>
                    <w:t>侧，</w:t>
                  </w:r>
                  <w:r>
                    <w:rPr>
                      <w:rFonts w:hint="eastAsia" w:cs="Times New Roman"/>
                      <w:color w:val="auto"/>
                      <w:kern w:val="2"/>
                      <w:sz w:val="21"/>
                      <w:szCs w:val="21"/>
                      <w:lang w:val="en-US" w:eastAsia="zh-CN" w:bidi="ar"/>
                    </w:rPr>
                    <w:t>276</w:t>
                  </w:r>
                  <w:r>
                    <w:rPr>
                      <w:rFonts w:hint="default" w:ascii="Times New Roman" w:hAnsi="Times New Roman" w:eastAsia="宋体" w:cs="Times New Roman"/>
                      <w:color w:val="auto"/>
                      <w:kern w:val="2"/>
                      <w:sz w:val="21"/>
                      <w:szCs w:val="21"/>
                      <w:lang w:val="en-US" w:eastAsia="zh-CN" w:bidi="ar"/>
                    </w:rPr>
                    <w:t>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2FD0B1BB">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7452DA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5576BD77">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10</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13DE28E8">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昆明拿爱施化肥有限公司</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4E886FD1">
                  <w:pPr>
                    <w:keepNext w:val="0"/>
                    <w:keepLines w:val="0"/>
                    <w:pageBreakBefore w:val="0"/>
                    <w:widowControl w:val="0"/>
                    <w:suppressLineNumbers w:val="0"/>
                    <w:kinsoku/>
                    <w:wordWrap/>
                    <w:overflowPunct/>
                    <w:bidi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Cs w:val="21"/>
                      <w:lang w:val="en-US"/>
                    </w:rPr>
                  </w:pPr>
                  <w:r>
                    <w:rPr>
                      <w:rFonts w:hint="eastAsia" w:cs="Times New Roman"/>
                      <w:color w:val="auto"/>
                      <w:kern w:val="2"/>
                      <w:sz w:val="21"/>
                      <w:szCs w:val="21"/>
                      <w:lang w:val="en-US" w:eastAsia="zh-CN" w:bidi="ar"/>
                    </w:rPr>
                    <w:t>东</w:t>
                  </w:r>
                  <w:r>
                    <w:rPr>
                      <w:rFonts w:hint="default" w:ascii="Times New Roman" w:hAnsi="Times New Roman" w:eastAsia="宋体" w:cs="Times New Roman"/>
                      <w:color w:val="auto"/>
                      <w:kern w:val="2"/>
                      <w:sz w:val="21"/>
                      <w:szCs w:val="21"/>
                      <w:lang w:val="en-US" w:eastAsia="zh-CN" w:bidi="ar"/>
                    </w:rPr>
                    <w:t>侧，</w:t>
                  </w:r>
                  <w:r>
                    <w:rPr>
                      <w:rFonts w:hint="eastAsia" w:cs="Times New Roman"/>
                      <w:color w:val="auto"/>
                      <w:kern w:val="2"/>
                      <w:sz w:val="21"/>
                      <w:szCs w:val="21"/>
                      <w:lang w:val="en-US" w:eastAsia="zh-CN" w:bidi="ar"/>
                    </w:rPr>
                    <w:t>276</w:t>
                  </w:r>
                  <w:r>
                    <w:rPr>
                      <w:rFonts w:hint="default" w:ascii="Times New Roman" w:hAnsi="Times New Roman" w:eastAsia="宋体" w:cs="Times New Roman"/>
                      <w:color w:val="auto"/>
                      <w:kern w:val="2"/>
                      <w:sz w:val="21"/>
                      <w:szCs w:val="21"/>
                      <w:lang w:val="en-US" w:eastAsia="zh-CN" w:bidi="ar"/>
                    </w:rPr>
                    <w:t>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76B9C919">
                  <w:pPr>
                    <w:keepNext w:val="0"/>
                    <w:keepLines w:val="0"/>
                    <w:pageBreakBefore w:val="0"/>
                    <w:widowControl w:val="0"/>
                    <w:suppressLineNumbers w:val="0"/>
                    <w:kinsoku/>
                    <w:wordWrap/>
                    <w:overflowPunct/>
                    <w:bidi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6BA3AD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0F98BD78">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11</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034FE0F1">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昆明</w:t>
                  </w:r>
                  <w:r>
                    <w:rPr>
                      <w:rFonts w:hint="eastAsia" w:cs="Times New Roman"/>
                      <w:color w:val="auto"/>
                      <w:kern w:val="2"/>
                      <w:sz w:val="21"/>
                      <w:szCs w:val="21"/>
                      <w:lang w:val="en-US" w:eastAsia="zh-CN" w:bidi="ar"/>
                    </w:rPr>
                    <w:t>盛必达涂料有限公司</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09FFF770">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eastAsia" w:cs="Times New Roman"/>
                      <w:color w:val="auto"/>
                      <w:kern w:val="2"/>
                      <w:sz w:val="21"/>
                      <w:szCs w:val="21"/>
                      <w:lang w:val="en-US" w:eastAsia="zh-CN" w:bidi="ar"/>
                    </w:rPr>
                    <w:t>东</w:t>
                  </w:r>
                  <w:r>
                    <w:rPr>
                      <w:rFonts w:hint="default" w:ascii="Times New Roman" w:hAnsi="Times New Roman" w:eastAsia="宋体" w:cs="Times New Roman"/>
                      <w:color w:val="auto"/>
                      <w:kern w:val="2"/>
                      <w:sz w:val="21"/>
                      <w:szCs w:val="21"/>
                      <w:lang w:val="en-US" w:eastAsia="zh-CN" w:bidi="ar"/>
                    </w:rPr>
                    <w:t>北侧，</w:t>
                  </w:r>
                  <w:r>
                    <w:rPr>
                      <w:rFonts w:hint="eastAsia" w:cs="Times New Roman"/>
                      <w:color w:val="auto"/>
                      <w:kern w:val="2"/>
                      <w:sz w:val="21"/>
                      <w:szCs w:val="21"/>
                      <w:lang w:val="en-US" w:eastAsia="zh-CN" w:bidi="ar"/>
                    </w:rPr>
                    <w:t>367</w:t>
                  </w:r>
                  <w:r>
                    <w:rPr>
                      <w:rFonts w:hint="default" w:ascii="Times New Roman" w:hAnsi="Times New Roman" w:eastAsia="宋体" w:cs="Times New Roman"/>
                      <w:color w:val="auto"/>
                      <w:kern w:val="2"/>
                      <w:sz w:val="21"/>
                      <w:szCs w:val="21"/>
                      <w:lang w:val="en-US" w:eastAsia="zh-CN" w:bidi="ar"/>
                    </w:rPr>
                    <w:t>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3630C06C">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VOCs</w:t>
                  </w:r>
                </w:p>
              </w:tc>
            </w:tr>
          </w:tbl>
          <w:p w14:paraId="3CC25EB7">
            <w:pPr>
              <w:pStyle w:val="26"/>
              <w:keepNext w:val="0"/>
              <w:keepLines w:val="0"/>
              <w:pageBreakBefore w:val="0"/>
              <w:widowControl w:val="0"/>
              <w:suppressLineNumbers w:val="0"/>
              <w:kinsoku/>
              <w:wordWrap/>
              <w:overflowPunct/>
              <w:autoSpaceDE w:val="0"/>
              <w:autoSpaceDN w:val="0"/>
              <w:bidi w:val="0"/>
              <w:adjustRightInd w:val="0"/>
              <w:snapToGrid w:val="0"/>
              <w:spacing w:before="0" w:beforeAutospacing="0" w:after="0" w:afterAutospacing="0" w:line="343" w:lineRule="auto"/>
              <w:ind w:left="0" w:leftChars="0" w:right="0" w:firstLine="480" w:firstLineChars="200"/>
              <w:jc w:val="both"/>
              <w:textAlignment w:val="auto"/>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kern w:val="2"/>
                <w:sz w:val="24"/>
                <w:szCs w:val="24"/>
                <w:lang w:val="en-US" w:eastAsia="zh-CN" w:bidi="ar"/>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lang w:val="zh-CN" w:eastAsia="zh-CN" w:bidi="ar"/>
              </w:rPr>
              <w:t>项目</w:t>
            </w:r>
            <w:r>
              <w:rPr>
                <w:rFonts w:hint="default" w:ascii="Times New Roman" w:hAnsi="Times New Roman" w:eastAsia="宋体" w:cs="Times New Roman"/>
                <w:color w:val="auto"/>
                <w:kern w:val="2"/>
                <w:sz w:val="24"/>
                <w:szCs w:val="24"/>
                <w:lang w:val="en-US" w:eastAsia="zh-CN" w:bidi="ar"/>
              </w:rPr>
              <w:t>产生的</w:t>
            </w:r>
            <w:r>
              <w:rPr>
                <w:rFonts w:hint="default" w:ascii="Times New Roman" w:hAnsi="Times New Roman" w:eastAsia="宋体" w:cs="Times New Roman"/>
                <w:color w:val="auto"/>
                <w:kern w:val="2"/>
                <w:sz w:val="24"/>
                <w:szCs w:val="24"/>
                <w:lang w:val="zh-CN" w:eastAsia="zh-CN" w:bidi="ar"/>
              </w:rPr>
              <w:t>噪声</w:t>
            </w:r>
            <w:r>
              <w:rPr>
                <w:rFonts w:hint="eastAsia" w:ascii="Times New Roman" w:hAnsi="Times New Roman" w:cs="Times New Roman"/>
                <w:color w:val="auto"/>
                <w:kern w:val="2"/>
                <w:sz w:val="24"/>
                <w:szCs w:val="24"/>
                <w:lang w:val="en-US" w:eastAsia="zh-CN" w:bidi="ar"/>
              </w:rPr>
              <w:t>满足</w:t>
            </w:r>
            <w:r>
              <w:rPr>
                <w:rFonts w:hint="default" w:ascii="Times New Roman" w:hAnsi="Times New Roman" w:eastAsia="宋体" w:cs="Times New Roman"/>
                <w:color w:val="auto"/>
                <w:kern w:val="2"/>
                <w:sz w:val="24"/>
                <w:szCs w:val="24"/>
                <w:lang w:val="zh-CN" w:eastAsia="zh-CN" w:bidi="ar"/>
              </w:rPr>
              <w:t>达标排放，</w:t>
            </w:r>
            <w:r>
              <w:rPr>
                <w:rFonts w:hint="eastAsia" w:ascii="Times New Roman" w:hAnsi="Times New Roman" w:cs="Times New Roman"/>
                <w:color w:val="auto"/>
                <w:kern w:val="2"/>
                <w:sz w:val="24"/>
                <w:szCs w:val="24"/>
                <w:lang w:val="en-US" w:eastAsia="zh-CN" w:bidi="ar"/>
              </w:rPr>
              <w:t>水性涂料生产车间投料产生的粉尘、包装后产生非甲烷总烃采用集气罩收集，布袋除尘器+UV光氧+活性炭吸附装置处理后，通过1根15m排气筒排放；腻子粉投料、配料、混料粉尘经集中式滤筒除尘系统处理后15m的排气筒排放；腻子粉包装口粉尘采用旋风除尘器除尘后无组织排放，废气的排放均满足达标排放。</w:t>
            </w:r>
            <w:r>
              <w:rPr>
                <w:rFonts w:hint="default" w:ascii="Times New Roman" w:hAnsi="Times New Roman" w:eastAsia="宋体" w:cs="Times New Roman"/>
                <w:color w:val="auto"/>
                <w:kern w:val="2"/>
                <w:sz w:val="24"/>
                <w:szCs w:val="24"/>
                <w:lang w:val="zh-CN" w:eastAsia="zh-CN" w:bidi="ar"/>
              </w:rPr>
              <w:t>废水</w:t>
            </w:r>
            <w:r>
              <w:rPr>
                <w:rFonts w:hint="eastAsia" w:ascii="Times New Roman" w:hAnsi="Times New Roman" w:cs="Times New Roman"/>
                <w:color w:val="auto"/>
                <w:kern w:val="2"/>
                <w:sz w:val="24"/>
                <w:szCs w:val="24"/>
                <w:lang w:val="zh-CN" w:eastAsia="zh-CN" w:bidi="ar"/>
              </w:rPr>
              <w:t>经自建污水处理系统处理达标后进入园区污水管网</w:t>
            </w:r>
            <w:r>
              <w:rPr>
                <w:rFonts w:hint="default" w:ascii="Times New Roman" w:hAnsi="Times New Roman" w:eastAsia="宋体" w:cs="Times New Roman"/>
                <w:color w:val="auto"/>
                <w:kern w:val="2"/>
                <w:sz w:val="24"/>
                <w:szCs w:val="24"/>
                <w:lang w:val="en-US" w:eastAsia="zh-CN" w:bidi="ar"/>
              </w:rPr>
              <w:t>，固体废物100%合理处置，</w:t>
            </w:r>
            <w:r>
              <w:rPr>
                <w:rFonts w:hint="default" w:ascii="Times New Roman" w:hAnsi="Times New Roman" w:eastAsia="宋体" w:cs="Times New Roman"/>
                <w:color w:val="auto"/>
                <w:kern w:val="2"/>
                <w:sz w:val="24"/>
                <w:szCs w:val="24"/>
                <w:lang w:val="zh-CN" w:eastAsia="zh-CN" w:bidi="ar"/>
              </w:rPr>
              <w:t>项目的生产对周围企业的影响不大。</w:t>
            </w:r>
          </w:p>
          <w:p w14:paraId="5BE10DC7">
            <w:pPr>
              <w:keepNext w:val="0"/>
              <w:keepLines w:val="0"/>
              <w:pageBreakBefore w:val="0"/>
              <w:widowControl/>
              <w:suppressLineNumbers w:val="0"/>
              <w:kinsoku/>
              <w:wordWrap/>
              <w:overflowPunct/>
              <w:bidi w:val="0"/>
              <w:snapToGrid w:val="0"/>
              <w:spacing w:before="0" w:beforeAutospacing="0" w:after="0" w:afterAutospacing="0"/>
              <w:ind w:left="0" w:leftChars="0" w:right="0" w:firstLine="720" w:firstLineChars="300"/>
              <w:jc w:val="left"/>
              <w:textAlignment w:val="auto"/>
              <w:rPr>
                <w:rFonts w:hint="eastAsia"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zh-CN" w:eastAsia="zh-CN" w:bidi="ar"/>
              </w:rPr>
              <w:t>综上所述，本项目与周围环境是相容的。</w:t>
            </w:r>
            <w:r>
              <w:rPr>
                <w:rFonts w:hint="eastAsia" w:cs="Times New Roman"/>
                <w:color w:val="auto"/>
                <w:kern w:val="2"/>
                <w:sz w:val="24"/>
                <w:szCs w:val="24"/>
                <w:lang w:val="en-US" w:eastAsia="zh-CN" w:bidi="ar"/>
              </w:rPr>
              <w:t xml:space="preserve">     </w:t>
            </w:r>
          </w:p>
          <w:p w14:paraId="28169AD9">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4"/>
                <w:szCs w:val="24"/>
                <w:lang w:val="en-US" w:eastAsia="zh-CN"/>
              </w:rPr>
            </w:pPr>
          </w:p>
        </w:tc>
      </w:tr>
    </w:tbl>
    <w:p w14:paraId="51A77698">
      <w:pPr>
        <w:spacing w:line="360" w:lineRule="auto"/>
        <w:outlineLvl w:val="9"/>
        <w:rPr>
          <w:rFonts w:hint="default" w:ascii="Times New Roman" w:hAnsi="Times New Roman" w:eastAsia="宋体" w:cs="Times New Roman"/>
          <w:color w:val="auto"/>
          <w:sz w:val="30"/>
        </w:rPr>
        <w:sectPr>
          <w:footerReference r:id="rId7" w:type="default"/>
          <w:pgSz w:w="11906" w:h="16838"/>
          <w:pgMar w:top="1701" w:right="1531" w:bottom="1701" w:left="1531" w:header="851" w:footer="1077" w:gutter="0"/>
          <w:pgNumType w:fmt="decimal" w:start="1"/>
          <w:cols w:space="720" w:num="1"/>
          <w:docGrid w:linePitch="312" w:charSpace="0"/>
        </w:sectPr>
      </w:pPr>
    </w:p>
    <w:p w14:paraId="489888FE">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bookmarkStart w:id="2" w:name="_Toc13710"/>
      <w:r>
        <w:rPr>
          <w:rFonts w:hint="default" w:ascii="Times New Roman" w:hAnsi="Times New Roman" w:eastAsia="宋体" w:cs="Times New Roman"/>
          <w:b/>
          <w:bCs/>
          <w:snapToGrid w:val="0"/>
          <w:color w:val="auto"/>
          <w:sz w:val="30"/>
          <w:szCs w:val="30"/>
        </w:rPr>
        <w:t>二、建设项目工程分析</w:t>
      </w:r>
      <w:bookmarkEnd w:id="2"/>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5B65D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noWrap w:val="0"/>
            <w:vAlign w:val="center"/>
          </w:tcPr>
          <w:p w14:paraId="1DE82E4D">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建设内容</w:t>
            </w:r>
          </w:p>
        </w:tc>
        <w:tc>
          <w:tcPr>
            <w:tcW w:w="8612" w:type="dxa"/>
            <w:noWrap w:val="0"/>
            <w:vAlign w:val="top"/>
          </w:tcPr>
          <w:p w14:paraId="5E65ECFC">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1、项目背景</w:t>
            </w:r>
          </w:p>
          <w:p w14:paraId="4A60C86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立邦是世界著名的涂料制造商，成立于1881年，已有超过100年的历史，是世界上最早的涂料公司之一。立邦作为亚太地区最大的涂料制造商，其业务范围广泛，涉及到多种领域，产品涉及了建筑涂料、汽车涂料、一般工业涂料、卷钢涂料、粉末涂料等。</w:t>
            </w:r>
          </w:p>
          <w:p w14:paraId="3A2E2A9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立邦涂料（成都）有限公司，企注册资金 1000 万美元，组建于2005年11月27日，地址位于成都市经济技术开发区成龙大道600号。立邦涂料（成都） 有限公司主要从事水性及油性涂料的生产，包括：乳胶漆、砂胶漆、真石漆、腻子膏、腻子粉、木器漆、硝基漆等类型。覆盖了中国西部地区的九省一市：重庆、四川、云南、贵州、新疆、陕西、宁夏、青海、西藏、甘肃。立邦涂料（成都）有限公司成立以来，销售额逐年增长，从2007年的3.2亿增长到2012年的11亿，特别是云南地区的销售成长迅猛。为便于云南地区的销售需求，立邦涂料（成都）有限公司在云南设立分公司—立邦涂料（昆明）有限公司，考虑到市场因素的影响，当时租用富民工业园区哨箐片区内云南鸿发机械有限公司已建成的一间钢结构厂房进行临时性生产，产品为水性涂料和腻子粉，</w:t>
            </w:r>
            <w:r>
              <w:rPr>
                <w:rFonts w:hint="eastAsia" w:cs="Times New Roman"/>
                <w:color w:val="auto"/>
                <w:sz w:val="24"/>
                <w:szCs w:val="24"/>
                <w:lang w:val="en-US" w:eastAsia="zh-CN"/>
              </w:rPr>
              <w:t>年产涂料4万吨，其中水性涂料系列 38500t/a，腻子粉系列 1500t/a。</w:t>
            </w:r>
            <w:r>
              <w:rPr>
                <w:rFonts w:hint="default" w:ascii="Times New Roman" w:hAnsi="Times New Roman" w:eastAsia="宋体" w:cs="Times New Roman"/>
                <w:color w:val="auto"/>
                <w:sz w:val="24"/>
                <w:szCs w:val="24"/>
                <w:lang w:val="en-US" w:eastAsia="zh-CN"/>
              </w:rPr>
              <w:t>该项目于2013年3月20日取得富民县发展和改革局富发改[2013]22号《关于核准立邦涂料（昆明）有限公司水性涂料生产建设项目的批复》，并委托云南省环境科学研究院开展了项目的环境影响评价工作，于2014年4月3日取得富民县环境保护局的批复；2015年10月28日取得富民县环境保护局的项目环保验收批复。</w:t>
            </w:r>
          </w:p>
          <w:p w14:paraId="58740CD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2016年立邦涂料（昆明）有限公司决定扩大生产规模，不再租用厂房进行生产，自建厂房进行生产线的建设，在富民工业园区白石岩—大白坡片区的哨箐组团最西的空地建设厂房，建设“涂料（昆明）有限公司年产9.85万吨水性涂料及腻子粉技术改造项目”</w:t>
            </w:r>
            <w:r>
              <w:rPr>
                <w:rFonts w:hint="eastAsia" w:cs="Times New Roman"/>
                <w:color w:val="auto"/>
                <w:sz w:val="24"/>
                <w:szCs w:val="24"/>
                <w:lang w:val="en-US" w:eastAsia="zh-CN"/>
              </w:rPr>
              <w:t>（以下简称“原项目”）</w:t>
            </w:r>
            <w:r>
              <w:rPr>
                <w:rFonts w:hint="default" w:ascii="Times New Roman" w:hAnsi="Times New Roman" w:eastAsia="宋体" w:cs="Times New Roman"/>
                <w:color w:val="auto"/>
                <w:sz w:val="24"/>
                <w:szCs w:val="24"/>
                <w:lang w:val="en-US" w:eastAsia="zh-CN"/>
              </w:rPr>
              <w:t>，生产规模扩大至 98500t/a</w:t>
            </w:r>
            <w:r>
              <w:rPr>
                <w:rFonts w:hint="eastAsia" w:cs="Times New Roman"/>
                <w:color w:val="auto"/>
                <w:sz w:val="24"/>
                <w:szCs w:val="24"/>
                <w:lang w:val="en-US" w:eastAsia="zh-CN"/>
              </w:rPr>
              <w:t>（乳胶漆60000吨/年、砂壁产品20000吨/年、腻子粉18500吨/年）</w:t>
            </w:r>
            <w:r>
              <w:rPr>
                <w:rFonts w:hint="default" w:ascii="Times New Roman" w:hAnsi="Times New Roman" w:eastAsia="宋体" w:cs="Times New Roman"/>
                <w:color w:val="auto"/>
                <w:sz w:val="24"/>
                <w:szCs w:val="24"/>
                <w:lang w:val="en-US" w:eastAsia="zh-CN"/>
              </w:rPr>
              <w:t>，产品种类仍为水性涂料和腻子粉涂料，水性涂料产品种类中增加了砂壁产品；并配套建堆存立邦涂料（成都）公司生产的涂料产品的甲类仓库，原有厂区的生产设备全部搬迁至新厂房，组装后再使用，原租用厂房归还业主，不再进行生产。</w:t>
            </w:r>
          </w:p>
          <w:p w14:paraId="0E52962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富民县工业园区管委会2016年2月22 日以《富民工业园区入园项目选址联席会会议纪要》同意</w:t>
            </w:r>
            <w:r>
              <w:rPr>
                <w:rFonts w:hint="eastAsia" w:cs="Times New Roman"/>
                <w:color w:val="auto"/>
                <w:sz w:val="24"/>
                <w:szCs w:val="24"/>
                <w:lang w:val="en-US" w:eastAsia="zh-CN"/>
              </w:rPr>
              <w:t>原项目</w:t>
            </w:r>
            <w:r>
              <w:rPr>
                <w:rFonts w:hint="default" w:ascii="Times New Roman" w:hAnsi="Times New Roman" w:eastAsia="宋体" w:cs="Times New Roman"/>
                <w:color w:val="auto"/>
                <w:sz w:val="24"/>
                <w:szCs w:val="24"/>
                <w:lang w:val="en-US" w:eastAsia="zh-CN"/>
              </w:rPr>
              <w:t>进入工业园区哨箐片区内；立邦涂料（昆明）有限公司于 2016 年 1 月委托云南环境工程设计研究中心开展了该项目的环境影响评价工作，并于2016 年 6月20取得了富明县环境保护局文件（富环保复[2013]22号）关于《涂料（昆明）有限公司年产9.85万吨水性涂料及腻子粉技术改造项目环境影响报告书》的批复）</w:t>
            </w:r>
            <w:r>
              <w:rPr>
                <w:rFonts w:hint="eastAsia" w:cs="Times New Roman"/>
                <w:color w:val="auto"/>
                <w:sz w:val="24"/>
                <w:szCs w:val="24"/>
                <w:lang w:val="en-US" w:eastAsia="zh-CN"/>
              </w:rPr>
              <w:t>，同意项目的建设</w:t>
            </w:r>
            <w:r>
              <w:rPr>
                <w:rFonts w:hint="default" w:ascii="Times New Roman" w:hAnsi="Times New Roman" w:eastAsia="宋体" w:cs="Times New Roman"/>
                <w:color w:val="auto"/>
                <w:sz w:val="24"/>
                <w:szCs w:val="24"/>
                <w:lang w:val="en-US" w:eastAsia="zh-CN"/>
              </w:rPr>
              <w:t>；并</w:t>
            </w:r>
            <w:r>
              <w:rPr>
                <w:rFonts w:hint="eastAsia" w:cs="Times New Roman"/>
                <w:color w:val="auto"/>
                <w:sz w:val="24"/>
                <w:szCs w:val="24"/>
                <w:lang w:val="en-US" w:eastAsia="zh-CN"/>
              </w:rPr>
              <w:t>于</w:t>
            </w:r>
            <w:r>
              <w:rPr>
                <w:rFonts w:hint="default" w:ascii="Times New Roman" w:hAnsi="Times New Roman" w:eastAsia="宋体" w:cs="Times New Roman"/>
                <w:color w:val="auto"/>
                <w:sz w:val="24"/>
                <w:szCs w:val="24"/>
                <w:lang w:val="en-US" w:eastAsia="zh-CN"/>
              </w:rPr>
              <w:t>2019年10完成了项目竣工环境保护验收。</w:t>
            </w:r>
          </w:p>
          <w:p w14:paraId="79C5730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到202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月，为了满足市场需求，建设单位决定再次扩大生产规模，在原厂址：富民工业园区白石岩—大白坡片区哨箐</w:t>
            </w:r>
            <w:r>
              <w:rPr>
                <w:rFonts w:hint="eastAsia" w:cs="Times New Roman"/>
                <w:color w:val="auto"/>
                <w:sz w:val="24"/>
                <w:szCs w:val="24"/>
                <w:lang w:val="en-US" w:eastAsia="zh-CN"/>
              </w:rPr>
              <w:t>组团</w:t>
            </w:r>
            <w:r>
              <w:rPr>
                <w:rFonts w:hint="default" w:ascii="Times New Roman" w:hAnsi="Times New Roman" w:eastAsia="宋体" w:cs="Times New Roman"/>
                <w:color w:val="auto"/>
                <w:sz w:val="24"/>
                <w:szCs w:val="24"/>
                <w:lang w:val="en-US" w:eastAsia="zh-CN"/>
              </w:rPr>
              <w:t>进行扩建</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利用原有生产线通过在腻子粉生产车间增加1台自动机械手码垛机</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轨道改造、投料间改造、增加电动葫芦、1号线包装机改造、增加一套MES自动生产系统，在</w:t>
            </w:r>
            <w:r>
              <w:rPr>
                <w:rFonts w:hint="eastAsia" w:cs="Times New Roman"/>
                <w:color w:val="auto"/>
                <w:sz w:val="24"/>
                <w:szCs w:val="24"/>
                <w:lang w:val="en-US" w:eastAsia="zh-CN"/>
              </w:rPr>
              <w:t>水性涂料生产</w:t>
            </w:r>
            <w:r>
              <w:rPr>
                <w:rFonts w:hint="default" w:ascii="Times New Roman" w:hAnsi="Times New Roman" w:eastAsia="宋体" w:cs="Times New Roman"/>
                <w:color w:val="auto"/>
                <w:sz w:val="24"/>
                <w:szCs w:val="24"/>
                <w:lang w:val="en-US" w:eastAsia="zh-CN"/>
              </w:rPr>
              <w:t>车间增加2台砂壁包装机、1台自动码垛机及配套传输轨道、砂壁生产缸电机改造（单电机改造为双电机）、增加2个30m³乳液槽罐、1个30m³助剂槽罐、乳胶漆包装扫码方式</w:t>
            </w:r>
            <w:r>
              <w:rPr>
                <w:rFonts w:hint="eastAsia" w:cs="Times New Roman"/>
                <w:color w:val="auto"/>
                <w:sz w:val="24"/>
                <w:szCs w:val="24"/>
                <w:lang w:val="en-US" w:eastAsia="zh-CN"/>
              </w:rPr>
              <w:t>改进</w:t>
            </w:r>
            <w:r>
              <w:rPr>
                <w:rFonts w:hint="default" w:ascii="Times New Roman" w:hAnsi="Times New Roman" w:eastAsia="宋体" w:cs="Times New Roman"/>
                <w:color w:val="auto"/>
                <w:sz w:val="24"/>
                <w:szCs w:val="24"/>
                <w:lang w:val="en-US" w:eastAsia="zh-CN"/>
              </w:rPr>
              <w:t>，增加项目年运营时间等</w:t>
            </w:r>
            <w:r>
              <w:rPr>
                <w:rFonts w:hint="eastAsia" w:cs="Times New Roman"/>
                <w:color w:val="auto"/>
                <w:sz w:val="24"/>
                <w:szCs w:val="24"/>
                <w:lang w:val="en-US" w:eastAsia="zh-CN"/>
              </w:rPr>
              <w:t>新建“</w:t>
            </w:r>
            <w:r>
              <w:rPr>
                <w:rFonts w:hint="default" w:ascii="Times New Roman" w:hAnsi="Times New Roman" w:eastAsia="宋体" w:cs="Times New Roman"/>
                <w:color w:val="auto"/>
                <w:sz w:val="24"/>
                <w:szCs w:val="24"/>
                <w:lang w:eastAsia="zh-CN"/>
              </w:rPr>
              <w:t>水性涂料产品、腻子粉产品产能提升改造项目</w:t>
            </w:r>
            <w:r>
              <w:rPr>
                <w:rFonts w:hint="eastAsia" w:cs="Times New Roman"/>
                <w:color w:val="auto"/>
                <w:sz w:val="24"/>
                <w:szCs w:val="24"/>
                <w:lang w:val="en-US" w:eastAsia="zh-CN"/>
              </w:rPr>
              <w:t>”（以下简称“本项目”）</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该项目于2023年2月取得富民县发展和改革委投资项目备案证，备案编号为：2302-530124-04-02-529015。</w:t>
            </w:r>
            <w:r>
              <w:rPr>
                <w:rFonts w:hint="default" w:ascii="Times New Roman" w:hAnsi="Times New Roman" w:eastAsia="宋体" w:cs="Times New Roman"/>
                <w:color w:val="auto"/>
                <w:sz w:val="24"/>
                <w:szCs w:val="24"/>
                <w:lang w:val="en-US" w:eastAsia="zh-CN"/>
              </w:rPr>
              <w:t>本项目建成后，全厂生产腻子粉产品120000吨/年，水性涂料100000吨/年</w:t>
            </w:r>
            <w:r>
              <w:rPr>
                <w:rFonts w:hint="eastAsia" w:cs="Times New Roman"/>
                <w:color w:val="auto"/>
                <w:sz w:val="24"/>
                <w:szCs w:val="24"/>
                <w:lang w:val="en-US" w:eastAsia="zh-CN"/>
              </w:rPr>
              <w:t>（包含：乳胶漆75000吨/年、砂壁产品25000吨/年）</w:t>
            </w:r>
            <w:r>
              <w:rPr>
                <w:rFonts w:hint="default" w:ascii="Times New Roman" w:hAnsi="Times New Roman" w:eastAsia="宋体" w:cs="Times New Roman"/>
                <w:color w:val="auto"/>
                <w:sz w:val="24"/>
                <w:szCs w:val="24"/>
                <w:lang w:val="en-US" w:eastAsia="zh-CN"/>
              </w:rPr>
              <w:t>，总产量为22万吨/年。</w:t>
            </w:r>
          </w:p>
          <w:p w14:paraId="0FC8544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根据《中华人民共和国环境保护法》、《中华人民共和国环境影响评价法》和《建设项目环境保护管理条例》的规定，本项目应开展环境影响评价工作。根据《建设项目环境影响评价分类管理名录》（20</w:t>
            </w:r>
            <w:r>
              <w:rPr>
                <w:rFonts w:hint="default"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eastAsia="zh-CN"/>
              </w:rPr>
              <w:t>实施</w:t>
            </w:r>
            <w:r>
              <w:rPr>
                <w:rFonts w:hint="default" w:ascii="Times New Roman" w:hAnsi="Times New Roman" w:eastAsia="宋体" w:cs="Times New Roman"/>
                <w:color w:val="auto"/>
                <w:sz w:val="24"/>
                <w:szCs w:val="24"/>
              </w:rPr>
              <w:t>）规定，拟建项目属于“</w:t>
            </w:r>
            <w:r>
              <w:rPr>
                <w:rFonts w:hint="default" w:ascii="Times New Roman" w:hAnsi="Times New Roman" w:eastAsia="宋体" w:cs="Times New Roman"/>
                <w:color w:val="auto"/>
                <w:sz w:val="24"/>
                <w:szCs w:val="24"/>
                <w:lang w:val="en-US" w:eastAsia="zh-CN"/>
              </w:rPr>
              <w:t>二十三、化学原料和化学制品制造业</w:t>
            </w:r>
            <w:r>
              <w:rPr>
                <w:rFonts w:hint="default" w:ascii="Times New Roman" w:hAnsi="Times New Roman" w:eastAsia="宋体" w:cs="Times New Roman"/>
                <w:color w:val="auto"/>
                <w:sz w:val="24"/>
                <w:szCs w:val="24"/>
              </w:rPr>
              <w:t>”中的“</w:t>
            </w:r>
            <w:r>
              <w:rPr>
                <w:rFonts w:hint="default" w:ascii="Times New Roman" w:hAnsi="Times New Roman" w:eastAsia="宋体" w:cs="Times New Roman"/>
                <w:color w:val="auto"/>
                <w:sz w:val="24"/>
                <w:szCs w:val="24"/>
                <w:lang w:val="en-US" w:eastAsia="zh-CN"/>
              </w:rPr>
              <w:t>44、涂料、油墨、颜料及类似产品制造264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单纯物理分离、物理提纯、混合、分装的（不产生废水或挥发性有机物的除外），</w:t>
            </w:r>
            <w:r>
              <w:rPr>
                <w:rFonts w:hint="default" w:ascii="Times New Roman" w:hAnsi="Times New Roman" w:eastAsia="宋体" w:cs="Times New Roman"/>
                <w:color w:val="auto"/>
                <w:sz w:val="24"/>
                <w:szCs w:val="24"/>
              </w:rPr>
              <w:t>故编制</w:t>
            </w:r>
            <w:r>
              <w:rPr>
                <w:rFonts w:hint="eastAsia" w:cs="Times New Roman"/>
                <w:color w:val="auto"/>
                <w:sz w:val="24"/>
                <w:szCs w:val="24"/>
                <w:lang w:val="en-US" w:eastAsia="zh-CN"/>
              </w:rPr>
              <w:t>环境影响</w:t>
            </w:r>
            <w:r>
              <w:rPr>
                <w:rFonts w:hint="default" w:ascii="Times New Roman" w:hAnsi="Times New Roman" w:eastAsia="宋体" w:cs="Times New Roman"/>
                <w:color w:val="auto"/>
                <w:sz w:val="24"/>
                <w:szCs w:val="24"/>
              </w:rPr>
              <w:t>报告表。为此，</w:t>
            </w:r>
            <w:r>
              <w:rPr>
                <w:rFonts w:hint="default" w:ascii="Times New Roman" w:hAnsi="Times New Roman" w:eastAsia="宋体" w:cs="Times New Roman"/>
                <w:color w:val="auto"/>
                <w:sz w:val="24"/>
                <w:szCs w:val="24"/>
                <w:lang w:eastAsia="zh-CN"/>
              </w:rPr>
              <w:t>立邦涂料（昆明）有限公司</w:t>
            </w:r>
            <w:r>
              <w:rPr>
                <w:rFonts w:hint="default" w:ascii="Times New Roman" w:hAnsi="Times New Roman" w:eastAsia="宋体" w:cs="Times New Roman"/>
                <w:bCs/>
                <w:color w:val="auto"/>
                <w:sz w:val="24"/>
                <w:szCs w:val="24"/>
              </w:rPr>
              <w:t>委托我单位承担</w:t>
            </w:r>
            <w:r>
              <w:rPr>
                <w:rFonts w:hint="default" w:ascii="Times New Roman" w:hAnsi="Times New Roman" w:eastAsia="宋体" w:cs="Times New Roman"/>
                <w:color w:val="auto"/>
                <w:sz w:val="24"/>
                <w:szCs w:val="24"/>
                <w:lang w:eastAsia="zh-CN"/>
              </w:rPr>
              <w:t>水</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性涂料产品、腻子粉产品产能提升改造项目</w:t>
            </w:r>
            <w:r>
              <w:rPr>
                <w:rFonts w:hint="eastAsia" w:cs="Times New Roman"/>
                <w:color w:val="auto"/>
                <w:sz w:val="24"/>
                <w:szCs w:val="24"/>
                <w:lang w:eastAsia="zh-CN"/>
              </w:rPr>
              <w:t>”</w:t>
            </w:r>
            <w:r>
              <w:rPr>
                <w:rFonts w:hint="default" w:ascii="Times New Roman" w:hAnsi="Times New Roman" w:eastAsia="宋体" w:cs="Times New Roman"/>
                <w:bCs/>
                <w:color w:val="auto"/>
                <w:sz w:val="24"/>
                <w:szCs w:val="24"/>
              </w:rPr>
              <w:t>的环境影响评价工作。</w:t>
            </w:r>
            <w:r>
              <w:rPr>
                <w:rFonts w:hint="default" w:ascii="Times New Roman" w:hAnsi="Times New Roman" w:eastAsia="宋体" w:cs="Times New Roman"/>
                <w:color w:val="auto"/>
                <w:sz w:val="24"/>
                <w:szCs w:val="24"/>
              </w:rPr>
              <w:t>接受委托后，我公司组织技术人员进行现场详细踏勘和调查，收集了有关该项目的资料，在此基础上根据国家环保法规、标准和环境影响评价技术导则，编制了《</w:t>
            </w:r>
            <w:r>
              <w:rPr>
                <w:rFonts w:hint="default" w:ascii="Times New Roman" w:hAnsi="Times New Roman" w:eastAsia="宋体" w:cs="Times New Roman"/>
                <w:color w:val="auto"/>
                <w:sz w:val="24"/>
                <w:szCs w:val="24"/>
                <w:lang w:eastAsia="zh-CN"/>
              </w:rPr>
              <w:t>水性涂料产品、腻子粉产品产能提升改造项目</w:t>
            </w:r>
            <w:r>
              <w:rPr>
                <w:rFonts w:hint="default" w:ascii="Times New Roman" w:hAnsi="Times New Roman" w:eastAsia="宋体" w:cs="Times New Roman"/>
                <w:color w:val="auto"/>
                <w:sz w:val="24"/>
                <w:szCs w:val="24"/>
              </w:rPr>
              <w:t>环境影响报告表》，供建设单位上报审查。</w:t>
            </w:r>
          </w:p>
          <w:p w14:paraId="56C7B110">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2、项目概况</w:t>
            </w:r>
          </w:p>
          <w:p w14:paraId="7B0166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项目名称：水性涂料产品、腻子粉产品产能提升改造项目</w:t>
            </w:r>
          </w:p>
          <w:p w14:paraId="7D141F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项目建设地点：云南省昆明市富民县富民工业园区哨箐机械加工园，地理位置中心坐标</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东经102°27′44.478″，北纬25°16′17.804″。</w:t>
            </w:r>
          </w:p>
          <w:p w14:paraId="238482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建设单位：立邦涂料（昆明）有限公司</w:t>
            </w:r>
          </w:p>
          <w:p w14:paraId="09A227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建设性质：扩建</w:t>
            </w:r>
          </w:p>
          <w:p w14:paraId="1C1998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项目投资：170万元，其中环保投资</w:t>
            </w:r>
            <w:r>
              <w:rPr>
                <w:rFonts w:hint="eastAsia" w:cs="Times New Roman"/>
                <w:color w:val="auto"/>
                <w:sz w:val="24"/>
                <w:szCs w:val="24"/>
                <w:lang w:val="en-US" w:eastAsia="zh-CN"/>
              </w:rPr>
              <w:t>32</w:t>
            </w:r>
            <w:r>
              <w:rPr>
                <w:rFonts w:hint="default" w:ascii="Times New Roman" w:hAnsi="Times New Roman" w:eastAsia="宋体" w:cs="Times New Roman"/>
                <w:color w:val="auto"/>
                <w:sz w:val="24"/>
                <w:szCs w:val="24"/>
                <w:lang w:val="en-US" w:eastAsia="zh-CN"/>
              </w:rPr>
              <w:t>万元，占总投资的</w:t>
            </w:r>
            <w:r>
              <w:rPr>
                <w:rFonts w:hint="eastAsia" w:cs="Times New Roman"/>
                <w:color w:val="auto"/>
                <w:sz w:val="24"/>
                <w:szCs w:val="24"/>
                <w:lang w:val="en-US" w:eastAsia="zh-CN"/>
              </w:rPr>
              <w:t>18.8</w:t>
            </w:r>
            <w:r>
              <w:rPr>
                <w:rFonts w:hint="default" w:ascii="Times New Roman" w:hAnsi="Times New Roman" w:eastAsia="宋体" w:cs="Times New Roman"/>
                <w:color w:val="auto"/>
                <w:sz w:val="24"/>
                <w:szCs w:val="24"/>
                <w:lang w:val="en-US" w:eastAsia="zh-CN"/>
              </w:rPr>
              <w:t>%。</w:t>
            </w:r>
          </w:p>
          <w:p w14:paraId="0106C7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建设规模：厂区占地面积41335.4hm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(62亩)，本次扩建在原有</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条生产线（2条乳胶漆生产线，2条腻子粉生产线、1条砂壁生产线）通过技术改进</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生产设备更新</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增加</w:t>
            </w:r>
            <w:r>
              <w:rPr>
                <w:rFonts w:hint="eastAsia" w:cs="Times New Roman"/>
                <w:color w:val="auto"/>
                <w:sz w:val="24"/>
                <w:szCs w:val="24"/>
                <w:lang w:val="en-US" w:eastAsia="zh-CN"/>
              </w:rPr>
              <w:t>辅助</w:t>
            </w:r>
            <w:r>
              <w:rPr>
                <w:rFonts w:hint="default" w:ascii="Times New Roman" w:hAnsi="Times New Roman" w:eastAsia="宋体" w:cs="Times New Roman"/>
                <w:color w:val="auto"/>
                <w:sz w:val="24"/>
                <w:szCs w:val="24"/>
                <w:lang w:val="en-US" w:eastAsia="zh-CN"/>
              </w:rPr>
              <w:t>设备</w:t>
            </w:r>
            <w:r>
              <w:rPr>
                <w:rFonts w:hint="eastAsia" w:cs="Times New Roman"/>
                <w:color w:val="auto"/>
                <w:sz w:val="24"/>
                <w:szCs w:val="24"/>
                <w:lang w:val="en-US" w:eastAsia="zh-CN"/>
              </w:rPr>
              <w:t>、调整</w:t>
            </w:r>
            <w:r>
              <w:rPr>
                <w:rFonts w:hint="default" w:ascii="Times New Roman" w:hAnsi="Times New Roman" w:eastAsia="宋体" w:cs="Times New Roman"/>
                <w:color w:val="auto"/>
                <w:sz w:val="24"/>
                <w:szCs w:val="24"/>
                <w:lang w:val="en-US" w:eastAsia="zh-CN"/>
              </w:rPr>
              <w:t>运营时间等扩建，扩建内容包含：腻子粉生产车间增加1台自动机械手码垛机</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轨道改造、投料间改造、增加电动葫芦、1号线包装机改造、除尘器改造、增加一套MES自动生产系统；在</w:t>
            </w:r>
            <w:r>
              <w:rPr>
                <w:rFonts w:hint="eastAsia" w:cs="Times New Roman"/>
                <w:color w:val="auto"/>
                <w:sz w:val="24"/>
                <w:szCs w:val="24"/>
                <w:lang w:val="en-US" w:eastAsia="zh-CN"/>
              </w:rPr>
              <w:t>水性涂料生产</w:t>
            </w:r>
            <w:r>
              <w:rPr>
                <w:rFonts w:hint="default" w:ascii="Times New Roman" w:hAnsi="Times New Roman" w:eastAsia="宋体" w:cs="Times New Roman"/>
                <w:color w:val="auto"/>
                <w:sz w:val="24"/>
                <w:szCs w:val="24"/>
                <w:lang w:val="en-US" w:eastAsia="zh-CN"/>
              </w:rPr>
              <w:t>车间增加2台砂壁包装机、1台自动码垛机及配套传输轨道、砂壁生产缸电机改造（单电机改造为双电机）、增加2个30m³乳液槽罐、1个30m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助剂槽罐、乳胶漆包装扫码方式</w:t>
            </w:r>
            <w:r>
              <w:rPr>
                <w:rFonts w:hint="eastAsia" w:cs="Times New Roman"/>
                <w:color w:val="auto"/>
                <w:sz w:val="24"/>
                <w:szCs w:val="24"/>
                <w:lang w:val="en-US" w:eastAsia="zh-CN"/>
              </w:rPr>
              <w:t>进</w:t>
            </w:r>
            <w:r>
              <w:rPr>
                <w:rFonts w:hint="default" w:ascii="Times New Roman" w:hAnsi="Times New Roman" w:eastAsia="宋体" w:cs="Times New Roman"/>
                <w:color w:val="auto"/>
                <w:sz w:val="24"/>
                <w:szCs w:val="24"/>
                <w:lang w:val="en-US" w:eastAsia="zh-CN"/>
              </w:rPr>
              <w:t>等，扩建完成后全厂生产腻子粉产品120000吨/年，水性涂料100000吨/年，总产量为22万吨/年。</w:t>
            </w:r>
          </w:p>
          <w:p w14:paraId="1C9EF062">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3、主要建设内容及工程规模</w:t>
            </w:r>
          </w:p>
          <w:p w14:paraId="67F76A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4"/>
                <w:szCs w:val="24"/>
                <w:lang w:val="en-US" w:eastAsia="zh-CN"/>
              </w:rPr>
              <w:t>项目工程内容包括主体工程、辅助工程、公用工程、环保工程。项目主要建设内容见表2-1。</w:t>
            </w:r>
          </w:p>
          <w:p w14:paraId="324E26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项目</w:t>
            </w:r>
            <w:r>
              <w:rPr>
                <w:rFonts w:hint="default" w:ascii="Times New Roman" w:hAnsi="Times New Roman" w:eastAsia="宋体" w:cs="Times New Roman"/>
                <w:b/>
                <w:bCs/>
                <w:color w:val="auto"/>
                <w:sz w:val="21"/>
                <w:szCs w:val="21"/>
                <w:lang w:eastAsia="zh-CN"/>
              </w:rPr>
              <w:t>主要建设内容一览表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8"/>
              <w:gridCol w:w="523"/>
              <w:gridCol w:w="1431"/>
              <w:gridCol w:w="4751"/>
              <w:gridCol w:w="1302"/>
            </w:tblGrid>
            <w:tr w14:paraId="1A90F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86" w:type="pct"/>
                  <w:gridSpan w:val="3"/>
                  <w:vAlign w:val="center"/>
                </w:tcPr>
                <w:p w14:paraId="1034D492">
                  <w:pPr>
                    <w:pStyle w:val="41"/>
                    <w:keepNext w:val="0"/>
                    <w:keepLines w:val="0"/>
                    <w:suppressLineNumbers w:val="0"/>
                    <w:spacing w:before="18"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工程名称</w:t>
                  </w:r>
                </w:p>
              </w:tc>
              <w:tc>
                <w:tcPr>
                  <w:tcW w:w="2836" w:type="pct"/>
                  <w:vAlign w:val="center"/>
                </w:tcPr>
                <w:p w14:paraId="7F6E9004">
                  <w:pPr>
                    <w:pStyle w:val="41"/>
                    <w:keepNext w:val="0"/>
                    <w:keepLines w:val="0"/>
                    <w:suppressLineNumbers w:val="0"/>
                    <w:spacing w:before="18"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建设内容及功能</w:t>
                  </w:r>
                </w:p>
              </w:tc>
              <w:tc>
                <w:tcPr>
                  <w:tcW w:w="777" w:type="pct"/>
                  <w:vAlign w:val="center"/>
                </w:tcPr>
                <w:p w14:paraId="70DCEF96">
                  <w:pPr>
                    <w:pStyle w:val="41"/>
                    <w:keepNext w:val="0"/>
                    <w:keepLines w:val="0"/>
                    <w:suppressLineNumbers w:val="0"/>
                    <w:spacing w:before="18" w:beforeAutospacing="0" w:after="0" w:afterAutospacing="0" w:line="240" w:lineRule="auto"/>
                    <w:ind w:left="108"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备注</w:t>
                  </w:r>
                </w:p>
              </w:tc>
            </w:tr>
            <w:tr w14:paraId="0B6E3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restart"/>
                  <w:vAlign w:val="center"/>
                </w:tcPr>
                <w:p w14:paraId="47C90539">
                  <w:pPr>
                    <w:pStyle w:val="41"/>
                    <w:keepNext w:val="0"/>
                    <w:keepLines w:val="0"/>
                    <w:suppressLineNumbers w:val="0"/>
                    <w:spacing w:before="23"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主体工程</w:t>
                  </w:r>
                </w:p>
              </w:tc>
              <w:tc>
                <w:tcPr>
                  <w:tcW w:w="312" w:type="pct"/>
                  <w:vAlign w:val="center"/>
                </w:tcPr>
                <w:p w14:paraId="0597B232">
                  <w:pPr>
                    <w:pStyle w:val="41"/>
                    <w:keepNext w:val="0"/>
                    <w:keepLines w:val="0"/>
                    <w:suppressLineNumbers w:val="0"/>
                    <w:spacing w:before="23" w:beforeAutospacing="0" w:after="0" w:afterAutospacing="0" w:line="240" w:lineRule="auto"/>
                    <w:ind w:left="108" w:right="9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生产</w:t>
                  </w:r>
                  <w:r>
                    <w:rPr>
                      <w:rFonts w:hint="default" w:ascii="Times New Roman" w:hAnsi="Times New Roman" w:eastAsia="宋体" w:cs="Times New Roman"/>
                      <w:color w:val="auto"/>
                      <w:sz w:val="21"/>
                    </w:rPr>
                    <w:t>车间</w:t>
                  </w:r>
                </w:p>
              </w:tc>
              <w:tc>
                <w:tcPr>
                  <w:tcW w:w="853" w:type="pct"/>
                  <w:vAlign w:val="center"/>
                </w:tcPr>
                <w:p w14:paraId="25BAE1B1">
                  <w:pPr>
                    <w:pStyle w:val="41"/>
                    <w:keepNext w:val="0"/>
                    <w:keepLines w:val="0"/>
                    <w:suppressLineNumbers w:val="0"/>
                    <w:spacing w:before="23" w:beforeAutospacing="0" w:after="0" w:afterAutospacing="0" w:line="240" w:lineRule="auto"/>
                    <w:ind w:left="109" w:right="93"/>
                    <w:jc w:val="center"/>
                    <w:rPr>
                      <w:rFonts w:hint="default" w:ascii="Times New Roman" w:hAnsi="Times New Roman" w:eastAsia="宋体" w:cs="Times New Roman"/>
                      <w:color w:val="auto"/>
                      <w:sz w:val="21"/>
                    </w:rPr>
                  </w:pPr>
                  <w:r>
                    <w:rPr>
                      <w:rFonts w:hint="eastAsia" w:ascii="Times New Roman" w:hAnsi="Times New Roman" w:eastAsia="宋体" w:cs="Times New Roman"/>
                      <w:color w:val="auto"/>
                      <w:spacing w:val="-6"/>
                      <w:sz w:val="21"/>
                      <w:lang w:eastAsia="zh-CN"/>
                    </w:rPr>
                    <w:t>腻子粉车间、</w:t>
                  </w:r>
                  <w:r>
                    <w:rPr>
                      <w:rFonts w:hint="default" w:ascii="Times New Roman" w:hAnsi="Times New Roman" w:eastAsia="宋体" w:cs="Times New Roman"/>
                      <w:color w:val="auto"/>
                      <w:spacing w:val="-6"/>
                      <w:sz w:val="21"/>
                    </w:rPr>
                    <w:t>成品库</w:t>
                  </w:r>
                </w:p>
              </w:tc>
              <w:tc>
                <w:tcPr>
                  <w:tcW w:w="2836" w:type="pct"/>
                  <w:vAlign w:val="center"/>
                </w:tcPr>
                <w:p w14:paraId="48541A2D">
                  <w:pPr>
                    <w:pStyle w:val="41"/>
                    <w:keepNext w:val="0"/>
                    <w:keepLines w:val="0"/>
                    <w:suppressLineNumbers w:val="0"/>
                    <w:spacing w:before="21" w:beforeAutospacing="0" w:after="0" w:afterAutospacing="0" w:line="240" w:lineRule="auto"/>
                    <w:ind w:left="105" w:right="0"/>
                    <w:jc w:val="center"/>
                    <w:rPr>
                      <w:rFonts w:hint="eastAsia" w:ascii="Times New Roman" w:hAnsi="Times New Roman" w:eastAsia="宋体" w:cs="Times New Roman"/>
                      <w:color w:val="auto"/>
                      <w:sz w:val="21"/>
                      <w:lang w:eastAsia="zh-CN"/>
                    </w:rPr>
                  </w:pPr>
                  <w:r>
                    <w:rPr>
                      <w:rFonts w:hint="eastAsia" w:cs="Times New Roman"/>
                      <w:color w:val="auto"/>
                      <w:spacing w:val="-8"/>
                      <w:sz w:val="21"/>
                      <w:lang w:val="en-US" w:eastAsia="zh-CN"/>
                    </w:rPr>
                    <w:t>位于厂区东侧，</w:t>
                  </w:r>
                  <w:r>
                    <w:rPr>
                      <w:rFonts w:hint="default" w:ascii="Times New Roman" w:hAnsi="Times New Roman" w:eastAsia="宋体" w:cs="Times New Roman"/>
                      <w:color w:val="auto"/>
                      <w:spacing w:val="-8"/>
                      <w:sz w:val="21"/>
                    </w:rPr>
                    <w:t xml:space="preserve">为独立彩钢板厂房，占地面积 </w:t>
                  </w:r>
                  <w:r>
                    <w:rPr>
                      <w:rFonts w:hint="default" w:ascii="Times New Roman" w:hAnsi="Times New Roman" w:eastAsia="宋体" w:cs="Times New Roman"/>
                      <w:color w:val="auto"/>
                      <w:spacing w:val="-5"/>
                      <w:sz w:val="21"/>
                    </w:rPr>
                    <w:t>3564m</w:t>
                  </w:r>
                  <w:r>
                    <w:rPr>
                      <w:rFonts w:hint="default" w:ascii="Times New Roman" w:hAnsi="Times New Roman" w:eastAsia="宋体" w:cs="Times New Roman"/>
                      <w:color w:val="auto"/>
                      <w:spacing w:val="-5"/>
                      <w:position w:val="7"/>
                      <w:sz w:val="13"/>
                    </w:rPr>
                    <w:t>2</w:t>
                  </w:r>
                  <w:r>
                    <w:rPr>
                      <w:rFonts w:hint="default" w:ascii="Times New Roman" w:hAnsi="Times New Roman" w:eastAsia="宋体" w:cs="Times New Roman"/>
                      <w:color w:val="auto"/>
                      <w:spacing w:val="-3"/>
                      <w:sz w:val="21"/>
                    </w:rPr>
                    <w:t>，建筑面积约</w:t>
                  </w:r>
                  <w:r>
                    <w:rPr>
                      <w:rFonts w:hint="default" w:ascii="Times New Roman" w:hAnsi="Times New Roman" w:eastAsia="宋体" w:cs="Times New Roman"/>
                      <w:color w:val="auto"/>
                      <w:spacing w:val="-17"/>
                      <w:sz w:val="21"/>
                    </w:rPr>
                    <w:t xml:space="preserve">为 </w:t>
                  </w:r>
                  <w:r>
                    <w:rPr>
                      <w:rFonts w:hint="default" w:ascii="Times New Roman" w:hAnsi="Times New Roman" w:eastAsia="宋体" w:cs="Times New Roman"/>
                      <w:color w:val="auto"/>
                      <w:sz w:val="21"/>
                    </w:rPr>
                    <w:t>4455m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pacing w:val="-13"/>
                      <w:position w:val="7"/>
                      <w:sz w:val="13"/>
                    </w:rPr>
                    <w:t xml:space="preserve"> </w:t>
                  </w:r>
                  <w:r>
                    <w:rPr>
                      <w:rFonts w:hint="default" w:ascii="Times New Roman" w:hAnsi="Times New Roman" w:eastAsia="宋体" w:cs="Times New Roman"/>
                      <w:color w:val="auto"/>
                      <w:spacing w:val="2"/>
                      <w:sz w:val="21"/>
                    </w:rPr>
                    <w:t>，主体为</w:t>
                  </w:r>
                  <w:r>
                    <w:rPr>
                      <w:rFonts w:hint="default" w:ascii="Times New Roman" w:hAnsi="Times New Roman" w:eastAsia="宋体" w:cs="Times New Roman"/>
                      <w:color w:val="auto"/>
                      <w:sz w:val="21"/>
                    </w:rPr>
                    <w:t>1</w:t>
                  </w:r>
                  <w:r>
                    <w:rPr>
                      <w:rFonts w:hint="default" w:ascii="Times New Roman" w:hAnsi="Times New Roman" w:eastAsia="宋体" w:cs="Times New Roman"/>
                      <w:color w:val="auto"/>
                      <w:spacing w:val="-6"/>
                      <w:sz w:val="21"/>
                    </w:rPr>
                    <w:t xml:space="preserve">层建筑，局部为 </w:t>
                  </w:r>
                  <w:r>
                    <w:rPr>
                      <w:rFonts w:hint="default" w:ascii="Times New Roman" w:hAnsi="Times New Roman" w:eastAsia="宋体" w:cs="Times New Roman"/>
                      <w:color w:val="auto"/>
                      <w:sz w:val="21"/>
                    </w:rPr>
                    <w:t>2</w:t>
                  </w:r>
                  <w:r>
                    <w:rPr>
                      <w:rFonts w:hint="default" w:ascii="Times New Roman" w:hAnsi="Times New Roman" w:eastAsia="宋体" w:cs="Times New Roman"/>
                      <w:color w:val="auto"/>
                      <w:spacing w:val="17"/>
                      <w:sz w:val="21"/>
                    </w:rPr>
                    <w:t xml:space="preserve"> </w:t>
                  </w:r>
                  <w:r>
                    <w:rPr>
                      <w:rFonts w:hint="default" w:ascii="Times New Roman" w:hAnsi="Times New Roman" w:eastAsia="宋体" w:cs="Times New Roman"/>
                      <w:color w:val="auto"/>
                      <w:spacing w:val="19"/>
                      <w:sz w:val="21"/>
                    </w:rPr>
                    <w:t>层</w:t>
                  </w:r>
                  <w:r>
                    <w:rPr>
                      <w:rFonts w:hint="default" w:ascii="Times New Roman" w:hAnsi="Times New Roman" w:eastAsia="宋体" w:cs="Times New Roman"/>
                      <w:color w:val="auto"/>
                      <w:spacing w:val="14"/>
                      <w:sz w:val="21"/>
                    </w:rPr>
                    <w:t>,</w:t>
                  </w:r>
                  <w:r>
                    <w:rPr>
                      <w:rFonts w:hint="default" w:ascii="Times New Roman" w:hAnsi="Times New Roman" w:eastAsia="宋体" w:cs="Times New Roman"/>
                      <w:color w:val="auto"/>
                      <w:spacing w:val="9"/>
                      <w:sz w:val="21"/>
                    </w:rPr>
                    <w:t>高约</w:t>
                  </w:r>
                  <w:r>
                    <w:rPr>
                      <w:rFonts w:hint="default" w:ascii="Times New Roman" w:hAnsi="Times New Roman" w:eastAsia="宋体" w:cs="Times New Roman"/>
                      <w:color w:val="auto"/>
                      <w:spacing w:val="-3"/>
                      <w:sz w:val="21"/>
                    </w:rPr>
                    <w:t>10.4m，2</w:t>
                  </w:r>
                  <w:r>
                    <w:rPr>
                      <w:rFonts w:hint="default" w:ascii="Times New Roman" w:hAnsi="Times New Roman" w:eastAsia="宋体" w:cs="Times New Roman"/>
                      <w:color w:val="auto"/>
                      <w:spacing w:val="-6"/>
                      <w:sz w:val="21"/>
                    </w:rPr>
                    <w:t>层建筑依墙建设，为设备的操作平台；该车间主要进行腻子粉和砂壁产品的生产，</w:t>
                  </w:r>
                  <w:r>
                    <w:rPr>
                      <w:rFonts w:hint="default" w:ascii="Times New Roman" w:hAnsi="Times New Roman" w:eastAsia="宋体" w:cs="Times New Roman"/>
                      <w:color w:val="auto"/>
                      <w:spacing w:val="-6"/>
                      <w:sz w:val="21"/>
                      <w:lang w:val="en-US" w:eastAsia="zh-CN"/>
                    </w:rPr>
                    <w:t>设置有</w:t>
                  </w:r>
                  <w:r>
                    <w:rPr>
                      <w:rFonts w:hint="default" w:ascii="Times New Roman" w:hAnsi="Times New Roman" w:eastAsia="宋体" w:cs="Times New Roman"/>
                      <w:color w:val="auto"/>
                    </w:rPr>
                    <w:t>2 条腻子粉生产线</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spacing w:val="-6"/>
                      <w:sz w:val="21"/>
                    </w:rPr>
                    <w:t>并做为腻</w:t>
                  </w:r>
                  <w:r>
                    <w:rPr>
                      <w:rFonts w:hint="default" w:ascii="Times New Roman" w:hAnsi="Times New Roman" w:eastAsia="宋体" w:cs="Times New Roman"/>
                      <w:color w:val="auto"/>
                      <w:sz w:val="21"/>
                    </w:rPr>
                    <w:t>子粉成品</w:t>
                  </w:r>
                  <w:r>
                    <w:rPr>
                      <w:rFonts w:hint="default" w:ascii="Times New Roman" w:hAnsi="Times New Roman" w:eastAsia="宋体" w:cs="Times New Roman"/>
                      <w:color w:val="auto"/>
                      <w:spacing w:val="-10"/>
                      <w:sz w:val="21"/>
                    </w:rPr>
                    <w:t>贮存；车间内分为</w:t>
                  </w:r>
                  <w:r>
                    <w:rPr>
                      <w:rFonts w:hint="eastAsia" w:ascii="Times New Roman" w:hAnsi="Times New Roman" w:eastAsia="宋体" w:cs="Times New Roman"/>
                      <w:color w:val="auto"/>
                      <w:spacing w:val="-10"/>
                      <w:sz w:val="21"/>
                      <w:lang w:val="en-US" w:eastAsia="zh-CN"/>
                    </w:rPr>
                    <w:t>2</w:t>
                  </w:r>
                  <w:r>
                    <w:rPr>
                      <w:rFonts w:hint="default" w:ascii="Times New Roman" w:hAnsi="Times New Roman" w:eastAsia="宋体" w:cs="Times New Roman"/>
                      <w:color w:val="auto"/>
                      <w:spacing w:val="-10"/>
                      <w:sz w:val="21"/>
                    </w:rPr>
                    <w:t>个区，</w:t>
                  </w:r>
                  <w:r>
                    <w:rPr>
                      <w:rFonts w:hint="eastAsia" w:cs="Times New Roman"/>
                      <w:color w:val="auto"/>
                      <w:spacing w:val="-10"/>
                      <w:sz w:val="21"/>
                      <w:lang w:eastAsia="zh-CN"/>
                    </w:rPr>
                    <w:t>西侧为</w:t>
                  </w:r>
                  <w:r>
                    <w:rPr>
                      <w:rFonts w:hint="default" w:ascii="Times New Roman" w:hAnsi="Times New Roman" w:eastAsia="宋体" w:cs="Times New Roman"/>
                      <w:color w:val="auto"/>
                      <w:spacing w:val="-2"/>
                      <w:sz w:val="21"/>
                    </w:rPr>
                    <w:t>腻子粉生产区</w:t>
                  </w:r>
                  <w:r>
                    <w:rPr>
                      <w:rFonts w:hint="eastAsia" w:cs="Times New Roman"/>
                      <w:color w:val="auto"/>
                      <w:spacing w:val="-2"/>
                      <w:sz w:val="21"/>
                      <w:lang w:eastAsia="zh-CN"/>
                    </w:rPr>
                    <w:t>、东侧为</w:t>
                  </w:r>
                  <w:r>
                    <w:rPr>
                      <w:rFonts w:hint="default" w:ascii="Times New Roman" w:hAnsi="Times New Roman" w:eastAsia="宋体" w:cs="Times New Roman"/>
                      <w:color w:val="auto"/>
                      <w:spacing w:val="-2"/>
                      <w:sz w:val="21"/>
                    </w:rPr>
                    <w:t>成品贮存区</w:t>
                  </w:r>
                  <w:r>
                    <w:rPr>
                      <w:rFonts w:hint="default" w:ascii="Times New Roman" w:hAnsi="Times New Roman" w:eastAsia="宋体" w:cs="Times New Roman"/>
                      <w:color w:val="auto"/>
                      <w:sz w:val="21"/>
                    </w:rPr>
                    <w:t>。本次</w:t>
                  </w:r>
                  <w:r>
                    <w:rPr>
                      <w:rFonts w:hint="default" w:ascii="Times New Roman" w:hAnsi="Times New Roman" w:eastAsia="宋体" w:cs="Times New Roman"/>
                      <w:color w:val="auto"/>
                      <w:sz w:val="21"/>
                      <w:lang w:val="en-US" w:eastAsia="zh-CN"/>
                    </w:rPr>
                    <w:t>扩建</w:t>
                  </w:r>
                  <w:r>
                    <w:rPr>
                      <w:rFonts w:hint="default" w:ascii="Times New Roman" w:hAnsi="Times New Roman" w:eastAsia="宋体" w:cs="Times New Roman"/>
                      <w:color w:val="auto"/>
                      <w:sz w:val="21"/>
                    </w:rPr>
                    <w:t>，</w:t>
                  </w:r>
                  <w:r>
                    <w:rPr>
                      <w:rFonts w:hint="default" w:ascii="Times New Roman" w:hAnsi="Times New Roman" w:eastAsia="宋体" w:cs="Times New Roman"/>
                      <w:color w:val="auto"/>
                      <w:sz w:val="21"/>
                      <w:lang w:val="en-US" w:eastAsia="zh-CN"/>
                    </w:rPr>
                    <w:t>增加1间</w:t>
                  </w:r>
                  <w:r>
                    <w:rPr>
                      <w:rFonts w:hint="eastAsia" w:cs="Times New Roman"/>
                      <w:color w:val="auto"/>
                      <w:sz w:val="21"/>
                      <w:lang w:val="en-US" w:eastAsia="zh-CN"/>
                    </w:rPr>
                    <w:t>配料间</w:t>
                  </w:r>
                  <w:r>
                    <w:rPr>
                      <w:rFonts w:hint="default" w:ascii="Times New Roman" w:hAnsi="Times New Roman" w:eastAsia="宋体" w:cs="Times New Roman"/>
                      <w:color w:val="auto"/>
                      <w:sz w:val="21"/>
                      <w:lang w:val="en-US" w:eastAsia="zh-CN"/>
                    </w:rPr>
                    <w:t>、1台自动机械手码垛机及轨道改造、增加电动葫芦、包装机改造、增加一套MES自动生产系统</w:t>
                  </w:r>
                  <w:r>
                    <w:rPr>
                      <w:rFonts w:hint="default" w:ascii="Times New Roman" w:hAnsi="Times New Roman" w:eastAsia="宋体" w:cs="Times New Roman"/>
                      <w:color w:val="auto"/>
                      <w:sz w:val="21"/>
                    </w:rPr>
                    <w:t>，使腻子粉生产线生产规模从目前的</w:t>
                  </w:r>
                  <w:r>
                    <w:rPr>
                      <w:rFonts w:hint="default" w:ascii="Times New Roman" w:hAnsi="Times New Roman" w:eastAsia="宋体" w:cs="Times New Roman"/>
                      <w:color w:val="auto"/>
                    </w:rPr>
                    <w:t>18500t/</w:t>
                  </w:r>
                  <w:r>
                    <w:rPr>
                      <w:rFonts w:hint="default" w:ascii="Times New Roman" w:hAnsi="Times New Roman" w:eastAsia="宋体" w:cs="Times New Roman"/>
                      <w:color w:val="auto"/>
                      <w:spacing w:val="-1"/>
                    </w:rPr>
                    <w:t>a</w:t>
                  </w:r>
                  <w:r>
                    <w:rPr>
                      <w:rFonts w:hint="default" w:ascii="Times New Roman" w:hAnsi="Times New Roman" w:eastAsia="宋体" w:cs="Times New Roman"/>
                      <w:color w:val="auto"/>
                      <w:spacing w:val="5"/>
                      <w:sz w:val="21"/>
                    </w:rPr>
                    <w:t xml:space="preserve"> </w:t>
                  </w:r>
                  <w:r>
                    <w:rPr>
                      <w:rFonts w:hint="default" w:ascii="Times New Roman" w:hAnsi="Times New Roman" w:eastAsia="宋体" w:cs="Times New Roman"/>
                      <w:color w:val="auto"/>
                      <w:spacing w:val="-11"/>
                      <w:sz w:val="21"/>
                    </w:rPr>
                    <w:t xml:space="preserve">提高到 </w:t>
                  </w:r>
                  <w:r>
                    <w:rPr>
                      <w:rFonts w:hint="default" w:ascii="Times New Roman" w:hAnsi="Times New Roman" w:eastAsia="宋体" w:cs="Times New Roman"/>
                      <w:color w:val="auto"/>
                      <w:spacing w:val="-11"/>
                      <w:sz w:val="21"/>
                      <w:lang w:val="en-US" w:eastAsia="zh-CN"/>
                    </w:rPr>
                    <w:t>120000吨/年</w:t>
                  </w:r>
                  <w:r>
                    <w:rPr>
                      <w:rFonts w:hint="eastAsia" w:ascii="Times New Roman" w:hAnsi="Times New Roman" w:eastAsia="宋体" w:cs="Times New Roman"/>
                      <w:color w:val="auto"/>
                      <w:spacing w:val="-5"/>
                      <w:sz w:val="21"/>
                      <w:lang w:eastAsia="zh-CN"/>
                    </w:rPr>
                    <w:t>。</w:t>
                  </w:r>
                </w:p>
              </w:tc>
              <w:tc>
                <w:tcPr>
                  <w:tcW w:w="777" w:type="pct"/>
                  <w:vAlign w:val="center"/>
                </w:tcPr>
                <w:p w14:paraId="2F74E1DC">
                  <w:pPr>
                    <w:pStyle w:val="41"/>
                    <w:keepNext w:val="0"/>
                    <w:keepLines w:val="0"/>
                    <w:suppressLineNumbers w:val="0"/>
                    <w:spacing w:before="23" w:beforeAutospacing="0" w:after="0" w:afterAutospacing="0" w:line="240" w:lineRule="auto"/>
                    <w:ind w:left="108" w:right="57"/>
                    <w:jc w:val="both"/>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主体建筑原项目已建成，</w:t>
                  </w:r>
                  <w:r>
                    <w:rPr>
                      <w:rFonts w:hint="default" w:ascii="Times New Roman" w:hAnsi="Times New Roman" w:eastAsia="宋体" w:cs="Times New Roman"/>
                      <w:color w:val="auto"/>
                      <w:sz w:val="21"/>
                      <w:lang w:val="en-US" w:eastAsia="zh-CN"/>
                    </w:rPr>
                    <w:t>在原有生产线上进行生产技术改进、设备更新、生产设备增加</w:t>
                  </w:r>
                  <w:r>
                    <w:rPr>
                      <w:rFonts w:hint="eastAsia" w:cs="Times New Roman"/>
                      <w:color w:val="auto"/>
                      <w:sz w:val="21"/>
                      <w:lang w:val="en-US" w:eastAsia="zh-CN"/>
                    </w:rPr>
                    <w:t>，生产时间增加。</w:t>
                  </w:r>
                </w:p>
              </w:tc>
            </w:tr>
            <w:tr w14:paraId="4373E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5B288A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312" w:type="pct"/>
                  <w:vAlign w:val="center"/>
                </w:tcPr>
                <w:p w14:paraId="5547E7D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853" w:type="pct"/>
                  <w:vAlign w:val="center"/>
                </w:tcPr>
                <w:p w14:paraId="794302F5">
                  <w:pPr>
                    <w:pStyle w:val="41"/>
                    <w:keepNext w:val="0"/>
                    <w:keepLines w:val="0"/>
                    <w:suppressLineNumbers w:val="0"/>
                    <w:spacing w:before="20" w:beforeAutospacing="0" w:after="0" w:afterAutospacing="0" w:line="240" w:lineRule="auto"/>
                    <w:ind w:left="109" w:right="93"/>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乳胶漆生产车间</w:t>
                  </w:r>
                </w:p>
              </w:tc>
              <w:tc>
                <w:tcPr>
                  <w:tcW w:w="2836" w:type="pct"/>
                  <w:vAlign w:val="center"/>
                </w:tcPr>
                <w:p w14:paraId="2E33C69F">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eastAsia" w:cs="Times New Roman"/>
                      <w:color w:val="auto"/>
                      <w:spacing w:val="-8"/>
                      <w:sz w:val="21"/>
                      <w:lang w:val="en-US" w:eastAsia="zh-CN"/>
                    </w:rPr>
                    <w:t>位于厂区中间，</w:t>
                  </w:r>
                  <w:r>
                    <w:rPr>
                      <w:rFonts w:hint="default" w:ascii="Times New Roman" w:hAnsi="Times New Roman" w:eastAsia="宋体" w:cs="Times New Roman"/>
                      <w:color w:val="auto"/>
                      <w:spacing w:val="-8"/>
                      <w:sz w:val="21"/>
                    </w:rPr>
                    <w:t xml:space="preserve">为独立彩钢板厂房，占地面积约为 </w:t>
                  </w:r>
                  <w:r>
                    <w:rPr>
                      <w:rFonts w:hint="default" w:ascii="Times New Roman" w:hAnsi="Times New Roman" w:eastAsia="宋体" w:cs="Times New Roman"/>
                      <w:color w:val="auto"/>
                      <w:spacing w:val="-4"/>
                      <w:sz w:val="21"/>
                    </w:rPr>
                    <w:t>3564m</w:t>
                  </w:r>
                  <w:r>
                    <w:rPr>
                      <w:rFonts w:hint="default" w:ascii="Times New Roman" w:hAnsi="Times New Roman" w:eastAsia="宋体" w:cs="Times New Roman"/>
                      <w:color w:val="auto"/>
                      <w:spacing w:val="-4"/>
                      <w:position w:val="7"/>
                      <w:sz w:val="13"/>
                    </w:rPr>
                    <w:t>2</w:t>
                  </w:r>
                  <w:r>
                    <w:rPr>
                      <w:rFonts w:hint="default" w:ascii="Times New Roman" w:hAnsi="Times New Roman" w:eastAsia="宋体" w:cs="Times New Roman"/>
                      <w:color w:val="auto"/>
                      <w:spacing w:val="-5"/>
                      <w:sz w:val="21"/>
                    </w:rPr>
                    <w:t>，建筑面</w:t>
                  </w:r>
                  <w:r>
                    <w:rPr>
                      <w:rFonts w:hint="default" w:ascii="Times New Roman" w:hAnsi="Times New Roman" w:eastAsia="宋体" w:cs="Times New Roman"/>
                      <w:color w:val="auto"/>
                      <w:spacing w:val="-6"/>
                      <w:sz w:val="21"/>
                    </w:rPr>
                    <w:t xml:space="preserve">积约为 </w:t>
                  </w:r>
                  <w:r>
                    <w:rPr>
                      <w:rFonts w:hint="default" w:ascii="Times New Roman" w:hAnsi="Times New Roman" w:eastAsia="宋体" w:cs="Times New Roman"/>
                      <w:color w:val="auto"/>
                      <w:spacing w:val="2"/>
                      <w:sz w:val="21"/>
                    </w:rPr>
                    <w:t>5346m</w:t>
                  </w:r>
                  <w:r>
                    <w:rPr>
                      <w:rFonts w:hint="default" w:ascii="Times New Roman" w:hAnsi="Times New Roman" w:eastAsia="宋体" w:cs="Times New Roman"/>
                      <w:color w:val="auto"/>
                      <w:spacing w:val="2"/>
                      <w:position w:val="7"/>
                      <w:sz w:val="13"/>
                    </w:rPr>
                    <w:t>2</w:t>
                  </w:r>
                  <w:r>
                    <w:rPr>
                      <w:rFonts w:hint="default" w:ascii="Times New Roman" w:hAnsi="Times New Roman" w:eastAsia="宋体" w:cs="Times New Roman"/>
                      <w:color w:val="auto"/>
                      <w:sz w:val="21"/>
                    </w:rPr>
                    <w:t>，主体为一层，局部为3</w:t>
                  </w:r>
                  <w:r>
                    <w:rPr>
                      <w:rFonts w:hint="default" w:ascii="Times New Roman" w:hAnsi="Times New Roman" w:eastAsia="宋体" w:cs="Times New Roman"/>
                      <w:color w:val="auto"/>
                      <w:spacing w:val="13"/>
                      <w:sz w:val="21"/>
                    </w:rPr>
                    <w:t xml:space="preserve"> </w:t>
                  </w:r>
                  <w:r>
                    <w:rPr>
                      <w:rFonts w:hint="default" w:ascii="Times New Roman" w:hAnsi="Times New Roman" w:eastAsia="宋体" w:cs="Times New Roman"/>
                      <w:color w:val="auto"/>
                      <w:spacing w:val="5"/>
                      <w:sz w:val="21"/>
                    </w:rPr>
                    <w:t>层，高约</w:t>
                  </w:r>
                  <w:r>
                    <w:rPr>
                      <w:rFonts w:hint="default" w:ascii="Times New Roman" w:hAnsi="Times New Roman" w:eastAsia="宋体" w:cs="Times New Roman"/>
                      <w:color w:val="auto"/>
                      <w:sz w:val="21"/>
                    </w:rPr>
                    <w:t>15.2m</w:t>
                  </w:r>
                  <w:r>
                    <w:rPr>
                      <w:rFonts w:hint="default" w:ascii="Times New Roman" w:hAnsi="Times New Roman" w:eastAsia="宋体" w:cs="Times New Roman"/>
                      <w:color w:val="auto"/>
                      <w:spacing w:val="-13"/>
                      <w:sz w:val="21"/>
                    </w:rPr>
                    <w:t xml:space="preserve">，局部 </w:t>
                  </w:r>
                  <w:r>
                    <w:rPr>
                      <w:rFonts w:hint="default" w:ascii="Times New Roman" w:hAnsi="Times New Roman" w:eastAsia="宋体" w:cs="Times New Roman"/>
                      <w:color w:val="auto"/>
                      <w:sz w:val="21"/>
                    </w:rPr>
                    <w:t>3</w:t>
                  </w:r>
                  <w:r>
                    <w:rPr>
                      <w:rFonts w:hint="default" w:ascii="Times New Roman" w:hAnsi="Times New Roman" w:eastAsia="宋体" w:cs="Times New Roman"/>
                      <w:color w:val="auto"/>
                      <w:spacing w:val="-6"/>
                      <w:sz w:val="21"/>
                    </w:rPr>
                    <w:t>层建筑为车间内根据需要依墙建设，</w:t>
                  </w:r>
                  <w:r>
                    <w:rPr>
                      <w:rFonts w:hint="default" w:ascii="Times New Roman" w:hAnsi="Times New Roman" w:eastAsia="宋体" w:cs="Times New Roman"/>
                      <w:color w:val="auto"/>
                      <w:sz w:val="21"/>
                    </w:rPr>
                    <w:t>为满足不同设备的操作平台；该车间</w:t>
                  </w:r>
                  <w:r>
                    <w:rPr>
                      <w:rFonts w:hint="eastAsia" w:cs="Times New Roman"/>
                      <w:color w:val="auto"/>
                      <w:sz w:val="21"/>
                      <w:lang w:eastAsia="zh-CN"/>
                    </w:rPr>
                    <w:t>西南角</w:t>
                  </w:r>
                  <w:r>
                    <w:rPr>
                      <w:rFonts w:hint="default" w:ascii="Times New Roman" w:hAnsi="Times New Roman" w:eastAsia="宋体" w:cs="Times New Roman"/>
                      <w:color w:val="auto"/>
                      <w:sz w:val="21"/>
                    </w:rPr>
                    <w:t>进行</w:t>
                  </w:r>
                  <w:r>
                    <w:rPr>
                      <w:rFonts w:hint="eastAsia" w:cs="Times New Roman"/>
                      <w:color w:val="auto"/>
                      <w:sz w:val="21"/>
                      <w:lang w:val="en-US" w:eastAsia="zh-CN"/>
                    </w:rPr>
                    <w:t>水性涂料</w:t>
                  </w:r>
                  <w:r>
                    <w:rPr>
                      <w:rFonts w:hint="default" w:ascii="Times New Roman" w:hAnsi="Times New Roman" w:eastAsia="宋体" w:cs="Times New Roman"/>
                      <w:color w:val="auto"/>
                      <w:sz w:val="21"/>
                    </w:rPr>
                    <w:t>的</w:t>
                  </w:r>
                  <w:r>
                    <w:rPr>
                      <w:rFonts w:hint="default" w:ascii="Times New Roman" w:hAnsi="Times New Roman" w:eastAsia="宋体" w:cs="Times New Roman"/>
                      <w:color w:val="auto"/>
                      <w:spacing w:val="-4"/>
                      <w:sz w:val="21"/>
                    </w:rPr>
                    <w:t>生产，设置有乳胶漆生产线</w:t>
                  </w:r>
                  <w:r>
                    <w:rPr>
                      <w:rFonts w:hint="default" w:ascii="Times New Roman" w:hAnsi="Times New Roman" w:eastAsia="宋体" w:cs="Times New Roman"/>
                      <w:color w:val="auto"/>
                      <w:sz w:val="21"/>
                    </w:rPr>
                    <w:t>2条，</w:t>
                  </w:r>
                  <w:r>
                    <w:rPr>
                      <w:rFonts w:hint="eastAsia" w:cs="Times New Roman"/>
                      <w:color w:val="auto"/>
                      <w:sz w:val="21"/>
                      <w:lang w:eastAsia="zh-CN"/>
                    </w:rPr>
                    <w:t>车间北侧为</w:t>
                  </w:r>
                  <w:r>
                    <w:rPr>
                      <w:rFonts w:hint="eastAsia" w:ascii="Times New Roman" w:hAnsi="Times New Roman" w:eastAsia="宋体" w:cs="Times New Roman"/>
                      <w:color w:val="auto"/>
                      <w:sz w:val="21"/>
                      <w:lang w:val="en-US" w:eastAsia="zh-CN"/>
                    </w:rPr>
                    <w:t>1条砂壁产品生产线。</w:t>
                  </w:r>
                  <w:r>
                    <w:rPr>
                      <w:rFonts w:hint="default" w:ascii="Times New Roman" w:hAnsi="Times New Roman" w:eastAsia="宋体" w:cs="Times New Roman"/>
                      <w:color w:val="auto"/>
                      <w:sz w:val="21"/>
                      <w:lang w:val="en-US" w:eastAsia="zh-CN"/>
                    </w:rPr>
                    <w:t>本次扩建增加2个30m³乳液槽罐、1个30m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助剂槽罐、</w:t>
                  </w:r>
                  <w:r>
                    <w:rPr>
                      <w:rFonts w:hint="eastAsia" w:ascii="Times New Roman" w:hAnsi="Times New Roman" w:eastAsia="宋体" w:cs="Times New Roman"/>
                      <w:color w:val="auto"/>
                      <w:sz w:val="21"/>
                      <w:lang w:val="en-US" w:eastAsia="zh-CN"/>
                    </w:rPr>
                    <w:t>改善</w:t>
                  </w:r>
                  <w:r>
                    <w:rPr>
                      <w:rFonts w:hint="default" w:ascii="Times New Roman" w:hAnsi="Times New Roman" w:eastAsia="宋体" w:cs="Times New Roman"/>
                      <w:color w:val="auto"/>
                      <w:sz w:val="21"/>
                      <w:lang w:val="en-US" w:eastAsia="zh-CN"/>
                    </w:rPr>
                    <w:t>乳胶漆包装扫码方式等</w:t>
                  </w:r>
                  <w:r>
                    <w:rPr>
                      <w:rFonts w:hint="default" w:ascii="Times New Roman" w:hAnsi="Times New Roman" w:eastAsia="宋体" w:cs="Times New Roman"/>
                      <w:color w:val="auto"/>
                      <w:sz w:val="21"/>
                    </w:rPr>
                    <w:t>。使乳胶漆生产线生产规模从目前的</w:t>
                  </w:r>
                  <w:r>
                    <w:rPr>
                      <w:rFonts w:hint="default" w:ascii="Times New Roman" w:hAnsi="Times New Roman" w:eastAsia="宋体" w:cs="Times New Roman"/>
                      <w:color w:val="auto"/>
                      <w:lang w:val="en-US" w:eastAsia="zh-CN"/>
                    </w:rPr>
                    <w:t>600</w:t>
                  </w:r>
                  <w:r>
                    <w:rPr>
                      <w:rFonts w:hint="default" w:ascii="Times New Roman" w:hAnsi="Times New Roman" w:eastAsia="宋体" w:cs="Times New Roman"/>
                      <w:color w:val="auto"/>
                    </w:rPr>
                    <w:t>00t/</w:t>
                  </w:r>
                  <w:r>
                    <w:rPr>
                      <w:rFonts w:hint="default" w:ascii="Times New Roman" w:hAnsi="Times New Roman" w:eastAsia="宋体" w:cs="Times New Roman"/>
                      <w:color w:val="auto"/>
                      <w:spacing w:val="-1"/>
                    </w:rPr>
                    <w:t>a</w:t>
                  </w:r>
                  <w:r>
                    <w:rPr>
                      <w:rFonts w:hint="default" w:ascii="Times New Roman" w:hAnsi="Times New Roman" w:eastAsia="宋体" w:cs="Times New Roman"/>
                      <w:color w:val="auto"/>
                      <w:spacing w:val="5"/>
                      <w:sz w:val="21"/>
                    </w:rPr>
                    <w:t xml:space="preserve"> </w:t>
                  </w:r>
                  <w:r>
                    <w:rPr>
                      <w:rFonts w:hint="default" w:ascii="Times New Roman" w:hAnsi="Times New Roman" w:eastAsia="宋体" w:cs="Times New Roman"/>
                      <w:color w:val="auto"/>
                      <w:spacing w:val="-11"/>
                      <w:sz w:val="21"/>
                    </w:rPr>
                    <w:t>提高到</w:t>
                  </w:r>
                  <w:r>
                    <w:rPr>
                      <w:rFonts w:hint="default" w:ascii="Times New Roman" w:hAnsi="Times New Roman" w:eastAsia="宋体" w:cs="Times New Roman"/>
                      <w:color w:val="auto"/>
                      <w:spacing w:val="-11"/>
                      <w:sz w:val="21"/>
                      <w:lang w:val="en-US" w:eastAsia="zh-CN"/>
                    </w:rPr>
                    <w:t>75000吨/年。</w:t>
                  </w:r>
                  <w:r>
                    <w:rPr>
                      <w:rFonts w:hint="default" w:ascii="Times New Roman" w:hAnsi="Times New Roman" w:eastAsia="宋体" w:cs="Times New Roman"/>
                      <w:color w:val="auto"/>
                      <w:spacing w:val="-5"/>
                      <w:sz w:val="21"/>
                      <w:lang w:eastAsia="zh-CN"/>
                    </w:rPr>
                    <w:t>在</w:t>
                  </w:r>
                  <w:r>
                    <w:rPr>
                      <w:rFonts w:hint="default" w:ascii="Times New Roman" w:hAnsi="Times New Roman" w:eastAsia="宋体" w:cs="Times New Roman"/>
                      <w:color w:val="auto"/>
                    </w:rPr>
                    <w:t>砂壁生产线</w:t>
                  </w:r>
                  <w:r>
                    <w:rPr>
                      <w:rFonts w:hint="default" w:ascii="Times New Roman" w:hAnsi="Times New Roman" w:eastAsia="宋体" w:cs="Times New Roman"/>
                      <w:color w:val="auto"/>
                      <w:lang w:eastAsia="zh-CN"/>
                    </w:rPr>
                    <w:t>增加</w:t>
                  </w:r>
                  <w:r>
                    <w:rPr>
                      <w:rFonts w:hint="default" w:ascii="Times New Roman" w:hAnsi="Times New Roman" w:eastAsia="宋体" w:cs="Times New Roman"/>
                      <w:color w:val="auto"/>
                      <w:sz w:val="21"/>
                      <w:lang w:val="en-US" w:eastAsia="zh-CN"/>
                    </w:rPr>
                    <w:t>2台砂壁包装机、1台自动码垛机及配套传输轨道、砂壁生产缸电机改造（单电机改造为双电机）等，</w:t>
                  </w:r>
                  <w:r>
                    <w:rPr>
                      <w:rFonts w:hint="default" w:ascii="Times New Roman" w:hAnsi="Times New Roman" w:eastAsia="宋体" w:cs="Times New Roman"/>
                      <w:color w:val="auto"/>
                      <w:spacing w:val="-6"/>
                      <w:sz w:val="21"/>
                    </w:rPr>
                    <w:t>砂壁产品</w:t>
                  </w:r>
                  <w:r>
                    <w:rPr>
                      <w:rFonts w:hint="default" w:ascii="Times New Roman" w:hAnsi="Times New Roman" w:eastAsia="宋体" w:cs="Times New Roman"/>
                      <w:color w:val="auto"/>
                      <w:sz w:val="21"/>
                    </w:rPr>
                    <w:t>生产规模从目前的</w:t>
                  </w:r>
                  <w:r>
                    <w:rPr>
                      <w:rFonts w:hint="default" w:ascii="Times New Roman" w:hAnsi="Times New Roman" w:eastAsia="宋体" w:cs="Times New Roman"/>
                      <w:color w:val="auto"/>
                      <w:lang w:val="en-US" w:eastAsia="zh-CN"/>
                    </w:rPr>
                    <w:t>200</w:t>
                  </w:r>
                  <w:r>
                    <w:rPr>
                      <w:rFonts w:hint="default" w:ascii="Times New Roman" w:hAnsi="Times New Roman" w:eastAsia="宋体" w:cs="Times New Roman"/>
                      <w:color w:val="auto"/>
                    </w:rPr>
                    <w:t>00t/</w:t>
                  </w:r>
                  <w:r>
                    <w:rPr>
                      <w:rFonts w:hint="default" w:ascii="Times New Roman" w:hAnsi="Times New Roman" w:eastAsia="宋体" w:cs="Times New Roman"/>
                      <w:color w:val="auto"/>
                      <w:spacing w:val="-1"/>
                    </w:rPr>
                    <w:t>a</w:t>
                  </w:r>
                  <w:r>
                    <w:rPr>
                      <w:rFonts w:hint="default" w:ascii="Times New Roman" w:hAnsi="Times New Roman" w:eastAsia="宋体" w:cs="Times New Roman"/>
                      <w:color w:val="auto"/>
                      <w:spacing w:val="-11"/>
                      <w:sz w:val="21"/>
                    </w:rPr>
                    <w:t xml:space="preserve">提高到 </w:t>
                  </w:r>
                  <w:r>
                    <w:rPr>
                      <w:rFonts w:hint="default" w:ascii="Times New Roman" w:hAnsi="Times New Roman" w:eastAsia="宋体" w:cs="Times New Roman"/>
                      <w:color w:val="auto"/>
                      <w:spacing w:val="-11"/>
                      <w:sz w:val="21"/>
                      <w:lang w:val="en-US" w:eastAsia="zh-CN"/>
                    </w:rPr>
                    <w:t>25000</w:t>
                  </w:r>
                  <w:r>
                    <w:rPr>
                      <w:rFonts w:hint="default" w:ascii="Times New Roman" w:hAnsi="Times New Roman" w:eastAsia="宋体" w:cs="Times New Roman"/>
                      <w:color w:val="auto"/>
                    </w:rPr>
                    <w:t>t/</w:t>
                  </w:r>
                  <w:r>
                    <w:rPr>
                      <w:rFonts w:hint="default" w:ascii="Times New Roman" w:hAnsi="Times New Roman" w:eastAsia="宋体" w:cs="Times New Roman"/>
                      <w:color w:val="auto"/>
                      <w:spacing w:val="-1"/>
                    </w:rPr>
                    <w:t>a</w:t>
                  </w:r>
                  <w:r>
                    <w:rPr>
                      <w:rFonts w:hint="default" w:ascii="Times New Roman" w:hAnsi="Times New Roman" w:eastAsia="宋体" w:cs="Times New Roman"/>
                      <w:color w:val="auto"/>
                      <w:spacing w:val="-11"/>
                      <w:sz w:val="21"/>
                      <w:lang w:val="en-US" w:eastAsia="zh-CN"/>
                    </w:rPr>
                    <w:t>。</w:t>
                  </w:r>
                </w:p>
              </w:tc>
              <w:tc>
                <w:tcPr>
                  <w:tcW w:w="777" w:type="pct"/>
                  <w:vAlign w:val="center"/>
                </w:tcPr>
                <w:p w14:paraId="26204020">
                  <w:pPr>
                    <w:pStyle w:val="41"/>
                    <w:keepNext w:val="0"/>
                    <w:keepLines w:val="0"/>
                    <w:suppressLineNumbers w:val="0"/>
                    <w:spacing w:before="20" w:beforeAutospacing="0" w:after="0" w:afterAutospacing="0" w:line="240" w:lineRule="auto"/>
                    <w:ind w:left="108" w:right="95"/>
                    <w:jc w:val="center"/>
                    <w:rPr>
                      <w:rFonts w:hint="default" w:ascii="Times New Roman" w:hAnsi="Times New Roman" w:eastAsia="宋体" w:cs="Times New Roman"/>
                      <w:color w:val="auto"/>
                      <w:sz w:val="21"/>
                    </w:rPr>
                  </w:pPr>
                  <w:r>
                    <w:rPr>
                      <w:rFonts w:hint="eastAsia" w:cs="Times New Roman"/>
                      <w:color w:val="auto"/>
                      <w:sz w:val="21"/>
                      <w:lang w:val="en-US" w:eastAsia="zh-CN"/>
                    </w:rPr>
                    <w:t>主体建设原项目已建成。</w:t>
                  </w:r>
                  <w:r>
                    <w:rPr>
                      <w:rFonts w:hint="default" w:ascii="Times New Roman" w:hAnsi="Times New Roman" w:eastAsia="宋体" w:cs="Times New Roman"/>
                      <w:color w:val="auto"/>
                      <w:sz w:val="21"/>
                      <w:lang w:val="en-US" w:eastAsia="zh-CN"/>
                    </w:rPr>
                    <w:t>在原有生产线上生产技术改进、设备更新、生产设备增加</w:t>
                  </w:r>
                  <w:r>
                    <w:rPr>
                      <w:rFonts w:hint="eastAsia" w:cs="Times New Roman"/>
                      <w:color w:val="auto"/>
                      <w:sz w:val="21"/>
                      <w:lang w:val="en-US" w:eastAsia="zh-CN"/>
                    </w:rPr>
                    <w:t>、生产时间增加</w:t>
                  </w:r>
                  <w:r>
                    <w:rPr>
                      <w:rFonts w:hint="default" w:ascii="Times New Roman" w:hAnsi="Times New Roman" w:eastAsia="宋体" w:cs="Times New Roman"/>
                      <w:color w:val="auto"/>
                      <w:sz w:val="21"/>
                      <w:lang w:val="en-US" w:eastAsia="zh-CN"/>
                    </w:rPr>
                    <w:t>。</w:t>
                  </w:r>
                </w:p>
              </w:tc>
            </w:tr>
            <w:tr w14:paraId="29F3A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28DCB1B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20402AF5">
                  <w:pPr>
                    <w:pStyle w:val="41"/>
                    <w:keepNext w:val="0"/>
                    <w:keepLines w:val="0"/>
                    <w:suppressLineNumbers w:val="0"/>
                    <w:spacing w:before="20" w:beforeAutospacing="0" w:after="0" w:afterAutospacing="0" w:line="240" w:lineRule="auto"/>
                    <w:ind w:left="109" w:right="93"/>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水性漆</w:t>
                  </w:r>
                  <w:r>
                    <w:rPr>
                      <w:rFonts w:hint="default" w:ascii="Times New Roman" w:hAnsi="Times New Roman" w:eastAsia="宋体" w:cs="Times New Roman"/>
                      <w:color w:val="auto"/>
                      <w:sz w:val="21"/>
                    </w:rPr>
                    <w:t>成品库</w:t>
                  </w:r>
                </w:p>
              </w:tc>
              <w:tc>
                <w:tcPr>
                  <w:tcW w:w="2836" w:type="pct"/>
                  <w:vAlign w:val="center"/>
                </w:tcPr>
                <w:p w14:paraId="7139B0CE">
                  <w:pPr>
                    <w:pStyle w:val="41"/>
                    <w:keepNext w:val="0"/>
                    <w:keepLines w:val="0"/>
                    <w:suppressLineNumbers w:val="0"/>
                    <w:spacing w:before="20"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为独立彩钢板厂房，建筑面积约为1980m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，一层，高约8.3m；专门堆存自产的批发、零售的乳胶漆和砂壁产品。</w:t>
                  </w:r>
                </w:p>
              </w:tc>
              <w:tc>
                <w:tcPr>
                  <w:tcW w:w="777" w:type="pct"/>
                  <w:vAlign w:val="center"/>
                </w:tcPr>
                <w:p w14:paraId="1BA6E398">
                  <w:pPr>
                    <w:pStyle w:val="41"/>
                    <w:keepNext w:val="0"/>
                    <w:keepLines w:val="0"/>
                    <w:suppressLineNumbers w:val="0"/>
                    <w:spacing w:before="20"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4C532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5D605A0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5D5417FF">
                  <w:pPr>
                    <w:pStyle w:val="41"/>
                    <w:keepNext w:val="0"/>
                    <w:keepLines w:val="0"/>
                    <w:suppressLineNumbers w:val="0"/>
                    <w:spacing w:before="20" w:beforeAutospacing="0" w:after="0" w:afterAutospacing="0" w:line="240" w:lineRule="auto"/>
                    <w:ind w:left="109" w:right="93"/>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丙类原料库</w:t>
                  </w:r>
                </w:p>
              </w:tc>
              <w:tc>
                <w:tcPr>
                  <w:tcW w:w="2836" w:type="pct"/>
                  <w:vAlign w:val="center"/>
                </w:tcPr>
                <w:p w14:paraId="6BE81F9C">
                  <w:pPr>
                    <w:pStyle w:val="41"/>
                    <w:keepNext w:val="0"/>
                    <w:keepLines w:val="0"/>
                    <w:suppressLineNumbers w:val="0"/>
                    <w:spacing w:before="20" w:beforeAutospacing="0" w:after="0" w:afterAutospacing="0" w:line="240" w:lineRule="auto"/>
                    <w:ind w:left="105" w:right="0"/>
                    <w:jc w:val="center"/>
                    <w:rPr>
                      <w:rFonts w:hint="default" w:ascii="Times New Roman" w:hAnsi="Times New Roman" w:eastAsia="宋体" w:cs="Times New Roman"/>
                      <w:color w:val="auto"/>
                      <w:sz w:val="21"/>
                    </w:rPr>
                  </w:pPr>
                  <w:r>
                    <w:rPr>
                      <w:rFonts w:hint="eastAsia" w:cs="Times New Roman"/>
                      <w:color w:val="auto"/>
                      <w:sz w:val="21"/>
                      <w:lang w:val="en-US" w:eastAsia="zh-CN"/>
                    </w:rPr>
                    <w:t>位于腻子粉车间北侧，</w:t>
                  </w:r>
                  <w:r>
                    <w:rPr>
                      <w:rFonts w:hint="default" w:ascii="Times New Roman" w:hAnsi="Times New Roman" w:eastAsia="宋体" w:cs="Times New Roman"/>
                      <w:color w:val="auto"/>
                      <w:sz w:val="21"/>
                    </w:rPr>
                    <w:t>为独立彩钢板厂房，建筑面积约为1980m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，一层，高约8.2m；做为乳胶漆、砂壁和腻子粉生产所需原料堆存仓库。</w:t>
                  </w:r>
                </w:p>
              </w:tc>
              <w:tc>
                <w:tcPr>
                  <w:tcW w:w="777" w:type="pct"/>
                  <w:vAlign w:val="center"/>
                </w:tcPr>
                <w:p w14:paraId="109E785C">
                  <w:pPr>
                    <w:keepNext w:val="0"/>
                    <w:keepLines w:val="0"/>
                    <w:suppressLineNumbers w:val="0"/>
                    <w:spacing w:before="20"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133AE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20" w:type="pct"/>
                  <w:vMerge w:val="continue"/>
                  <w:vAlign w:val="center"/>
                </w:tcPr>
                <w:p w14:paraId="542F0B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62B778C8">
                  <w:pPr>
                    <w:pStyle w:val="41"/>
                    <w:keepNext w:val="0"/>
                    <w:keepLines w:val="0"/>
                    <w:suppressLineNumbers w:val="0"/>
                    <w:spacing w:before="43"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甲类仓库</w:t>
                  </w:r>
                </w:p>
              </w:tc>
              <w:tc>
                <w:tcPr>
                  <w:tcW w:w="2836" w:type="pct"/>
                  <w:vAlign w:val="center"/>
                </w:tcPr>
                <w:p w14:paraId="322BD6FE">
                  <w:pPr>
                    <w:pStyle w:val="41"/>
                    <w:keepNext w:val="0"/>
                    <w:keepLines w:val="0"/>
                    <w:suppressLineNumbers w:val="0"/>
                    <w:spacing w:before="0" w:beforeAutospacing="0" w:after="0" w:afterAutospacing="0" w:line="240" w:lineRule="auto"/>
                    <w:ind w:left="105" w:right="0"/>
                    <w:jc w:val="center"/>
                    <w:rPr>
                      <w:rFonts w:hint="default" w:ascii="Times New Roman" w:hAnsi="Times New Roman" w:eastAsia="宋体" w:cs="Times New Roman"/>
                      <w:color w:val="auto"/>
                      <w:sz w:val="21"/>
                    </w:rPr>
                  </w:pPr>
                  <w:r>
                    <w:rPr>
                      <w:rFonts w:hint="eastAsia" w:cs="Times New Roman"/>
                      <w:color w:val="auto"/>
                      <w:sz w:val="21"/>
                      <w:lang w:val="en-US" w:eastAsia="zh-CN"/>
                    </w:rPr>
                    <w:t>位于厂区北侧，</w:t>
                  </w:r>
                  <w:r>
                    <w:rPr>
                      <w:rFonts w:hint="default" w:ascii="Times New Roman" w:hAnsi="Times New Roman" w:eastAsia="宋体" w:cs="Times New Roman"/>
                      <w:color w:val="auto"/>
                      <w:sz w:val="21"/>
                      <w:lang w:val="en-US" w:eastAsia="zh-CN"/>
                    </w:rPr>
                    <w:t>厂区内设置1栋</w:t>
                  </w:r>
                  <w:r>
                    <w:rPr>
                      <w:rFonts w:hint="default" w:ascii="Times New Roman" w:hAnsi="Times New Roman" w:eastAsia="宋体" w:cs="Times New Roman"/>
                      <w:color w:val="auto"/>
                      <w:sz w:val="21"/>
                    </w:rPr>
                    <w:t>甲类仓库，独立彩钢板厂房，建</w:t>
                  </w:r>
                  <w:r>
                    <w:rPr>
                      <w:rFonts w:hint="default" w:ascii="Times New Roman" w:hAnsi="Times New Roman" w:eastAsia="宋体" w:cs="Times New Roman"/>
                      <w:color w:val="auto"/>
                      <w:spacing w:val="-9"/>
                      <w:sz w:val="21"/>
                    </w:rPr>
                    <w:t>筑面积约为</w:t>
                  </w:r>
                  <w:r>
                    <w:rPr>
                      <w:rFonts w:hint="default" w:ascii="Times New Roman" w:hAnsi="Times New Roman" w:eastAsia="宋体" w:cs="Times New Roman"/>
                      <w:color w:val="auto"/>
                      <w:sz w:val="21"/>
                    </w:rPr>
                    <w:t>750m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pacing w:val="-9"/>
                      <w:sz w:val="21"/>
                    </w:rPr>
                    <w:t xml:space="preserve">，一层，高约 </w:t>
                  </w:r>
                  <w:r>
                    <w:rPr>
                      <w:rFonts w:hint="default" w:ascii="Times New Roman" w:hAnsi="Times New Roman" w:eastAsia="宋体" w:cs="Times New Roman"/>
                      <w:color w:val="auto"/>
                      <w:sz w:val="21"/>
                    </w:rPr>
                    <w:t>8.3m</w:t>
                  </w:r>
                  <w:r>
                    <w:rPr>
                      <w:rFonts w:hint="eastAsia" w:cs="Times New Roman"/>
                      <w:color w:val="auto"/>
                      <w:sz w:val="21"/>
                      <w:lang w:eastAsia="zh-CN"/>
                    </w:rPr>
                    <w:t>，</w:t>
                  </w:r>
                  <w:r>
                    <w:rPr>
                      <w:rFonts w:hint="default" w:ascii="Times New Roman" w:hAnsi="Times New Roman" w:eastAsia="宋体" w:cs="Times New Roman"/>
                      <w:color w:val="auto"/>
                      <w:spacing w:val="-4"/>
                      <w:sz w:val="21"/>
                    </w:rPr>
                    <w:t>作为成都</w:t>
                  </w:r>
                  <w:r>
                    <w:rPr>
                      <w:rFonts w:hint="default" w:ascii="Times New Roman" w:hAnsi="Times New Roman" w:eastAsia="宋体" w:cs="Times New Roman"/>
                      <w:color w:val="auto"/>
                      <w:spacing w:val="-10"/>
                      <w:sz w:val="21"/>
                    </w:rPr>
                    <w:t>公司生产的木器漆产品的贮存仓库</w:t>
                  </w:r>
                  <w:r>
                    <w:rPr>
                      <w:rFonts w:hint="eastAsia" w:cs="Times New Roman"/>
                      <w:color w:val="auto"/>
                      <w:sz w:val="21"/>
                      <w:lang w:eastAsia="zh-CN"/>
                    </w:rPr>
                    <w:t>。</w:t>
                  </w:r>
                  <w:r>
                    <w:rPr>
                      <w:rFonts w:hint="eastAsia" w:cs="Times New Roman"/>
                      <w:color w:val="auto"/>
                      <w:sz w:val="21"/>
                      <w:lang w:val="en-US" w:eastAsia="zh-CN"/>
                    </w:rPr>
                    <w:t>本次扩建将</w:t>
                  </w:r>
                  <w:r>
                    <w:rPr>
                      <w:rFonts w:hint="default" w:ascii="Times New Roman" w:hAnsi="Times New Roman" w:eastAsia="宋体" w:cs="Times New Roman"/>
                      <w:color w:val="auto"/>
                      <w:sz w:val="21"/>
                    </w:rPr>
                    <w:t>甲类仓库</w:t>
                  </w:r>
                  <w:r>
                    <w:rPr>
                      <w:rFonts w:hint="eastAsia" w:cs="Times New Roman"/>
                      <w:color w:val="auto"/>
                      <w:sz w:val="21"/>
                      <w:lang w:val="en-US" w:eastAsia="zh-CN"/>
                    </w:rPr>
                    <w:t>西侧隔出1间面积为15</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position w:val="7"/>
                      <w:sz w:val="13"/>
                    </w:rPr>
                    <w:t>2</w:t>
                  </w:r>
                  <w:r>
                    <w:rPr>
                      <w:rFonts w:hint="eastAsia" w:ascii="Times New Roman" w:hAnsi="Times New Roman" w:eastAsia="宋体" w:cs="Times New Roman"/>
                      <w:color w:val="auto"/>
                      <w:sz w:val="21"/>
                      <w:lang w:val="en-US" w:eastAsia="zh-CN"/>
                    </w:rPr>
                    <w:t>的危废暂存间</w:t>
                  </w:r>
                  <w:r>
                    <w:rPr>
                      <w:rFonts w:hint="default" w:ascii="Times New Roman" w:hAnsi="Times New Roman" w:eastAsia="宋体" w:cs="Times New Roman"/>
                      <w:color w:val="auto"/>
                      <w:spacing w:val="-10"/>
                      <w:sz w:val="21"/>
                    </w:rPr>
                    <w:t>。</w:t>
                  </w:r>
                </w:p>
              </w:tc>
              <w:tc>
                <w:tcPr>
                  <w:tcW w:w="777" w:type="pct"/>
                  <w:vAlign w:val="center"/>
                </w:tcPr>
                <w:p w14:paraId="3F51B9B9">
                  <w:pPr>
                    <w:keepNext w:val="0"/>
                    <w:keepLines w:val="0"/>
                    <w:suppressLineNumbers w:val="0"/>
                    <w:spacing w:before="19"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2C557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33A0D6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07A53731">
                  <w:pPr>
                    <w:pStyle w:val="41"/>
                    <w:keepNext w:val="0"/>
                    <w:keepLines w:val="0"/>
                    <w:suppressLineNumbers w:val="0"/>
                    <w:spacing w:before="19"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雨棚</w:t>
                  </w:r>
                </w:p>
              </w:tc>
              <w:tc>
                <w:tcPr>
                  <w:tcW w:w="2836" w:type="pct"/>
                  <w:vAlign w:val="center"/>
                </w:tcPr>
                <w:p w14:paraId="023CC03A">
                  <w:pPr>
                    <w:pStyle w:val="41"/>
                    <w:keepNext w:val="0"/>
                    <w:keepLines w:val="0"/>
                    <w:suppressLineNumbers w:val="0"/>
                    <w:spacing w:before="19" w:beforeAutospacing="0" w:after="0" w:afterAutospacing="0" w:line="240" w:lineRule="auto"/>
                    <w:ind w:left="105" w:right="96"/>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在生产车间、乳胶漆成品库、丙类原料库、甲类库等建筑的进出口均设置了雨棚，便于物料的运输，总占地面积约为4750m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c>
                <w:tcPr>
                  <w:tcW w:w="777" w:type="pct"/>
                  <w:vAlign w:val="center"/>
                </w:tcPr>
                <w:p w14:paraId="46D329D6">
                  <w:pPr>
                    <w:keepNext w:val="0"/>
                    <w:keepLines w:val="0"/>
                    <w:suppressLineNumbers w:val="0"/>
                    <w:spacing w:before="19"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764E4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7381B3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21542220">
                  <w:pPr>
                    <w:pStyle w:val="41"/>
                    <w:keepNext w:val="0"/>
                    <w:keepLines w:val="0"/>
                    <w:suppressLineNumbers w:val="0"/>
                    <w:spacing w:before="19" w:beforeAutospacing="0" w:after="0" w:afterAutospacing="0" w:line="240" w:lineRule="auto"/>
                    <w:ind w:left="109"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二期预留厂房</w:t>
                  </w:r>
                </w:p>
              </w:tc>
              <w:tc>
                <w:tcPr>
                  <w:tcW w:w="2836" w:type="pct"/>
                  <w:vAlign w:val="center"/>
                </w:tcPr>
                <w:p w14:paraId="5305ED32">
                  <w:pPr>
                    <w:pStyle w:val="41"/>
                    <w:keepNext w:val="0"/>
                    <w:keepLines w:val="0"/>
                    <w:suppressLineNumbers w:val="0"/>
                    <w:spacing w:before="19" w:beforeAutospacing="0" w:after="0" w:afterAutospacing="0" w:line="240" w:lineRule="auto"/>
                    <w:ind w:left="105" w:right="96"/>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位于厂区最北侧，占地面积1500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position w:val="7"/>
                      <w:sz w:val="13"/>
                    </w:rPr>
                    <w:t>2</w:t>
                  </w:r>
                  <w:r>
                    <w:rPr>
                      <w:rFonts w:hint="eastAsia" w:ascii="Times New Roman" w:hAnsi="Times New Roman" w:eastAsia="宋体" w:cs="Times New Roman"/>
                      <w:color w:val="auto"/>
                      <w:sz w:val="21"/>
                      <w:lang w:val="en-US" w:eastAsia="zh-CN"/>
                    </w:rPr>
                    <w:t>，主要作为预留厂房，现为空置状态。</w:t>
                  </w:r>
                </w:p>
              </w:tc>
              <w:tc>
                <w:tcPr>
                  <w:tcW w:w="777" w:type="pct"/>
                  <w:vAlign w:val="center"/>
                </w:tcPr>
                <w:p w14:paraId="4E1BE64D">
                  <w:pPr>
                    <w:keepNext w:val="0"/>
                    <w:keepLines w:val="0"/>
                    <w:suppressLineNumbers w:val="0"/>
                    <w:spacing w:before="19"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30E22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restart"/>
                  <w:vAlign w:val="center"/>
                </w:tcPr>
                <w:p w14:paraId="42DEB64A">
                  <w:pPr>
                    <w:pStyle w:val="41"/>
                    <w:keepNext w:val="0"/>
                    <w:keepLines w:val="0"/>
                    <w:suppressLineNumbers w:val="0"/>
                    <w:spacing w:before="18"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辅助</w:t>
                  </w:r>
                  <w:r>
                    <w:rPr>
                      <w:rFonts w:hint="default" w:ascii="Times New Roman" w:hAnsi="Times New Roman" w:eastAsia="宋体" w:cs="Times New Roman"/>
                      <w:color w:val="auto"/>
                      <w:sz w:val="21"/>
                    </w:rPr>
                    <w:t>工程</w:t>
                  </w:r>
                </w:p>
              </w:tc>
              <w:tc>
                <w:tcPr>
                  <w:tcW w:w="1165" w:type="pct"/>
                  <w:gridSpan w:val="2"/>
                  <w:vAlign w:val="center"/>
                </w:tcPr>
                <w:p w14:paraId="19547DEB">
                  <w:pPr>
                    <w:pStyle w:val="41"/>
                    <w:keepNext w:val="0"/>
                    <w:keepLines w:val="0"/>
                    <w:suppressLineNumbers w:val="0"/>
                    <w:spacing w:before="18"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工务楼</w:t>
                  </w:r>
                </w:p>
              </w:tc>
              <w:tc>
                <w:tcPr>
                  <w:tcW w:w="2836" w:type="pct"/>
                  <w:vAlign w:val="center"/>
                </w:tcPr>
                <w:p w14:paraId="4A2EABB0">
                  <w:pPr>
                    <w:pStyle w:val="41"/>
                    <w:keepNext w:val="0"/>
                    <w:keepLines w:val="0"/>
                    <w:suppressLineNumbers w:val="0"/>
                    <w:spacing w:before="18" w:beforeAutospacing="0" w:after="0" w:afterAutospacing="0" w:line="240" w:lineRule="auto"/>
                    <w:ind w:left="105" w:right="-15"/>
                    <w:jc w:val="center"/>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位于厂区南侧，</w:t>
                  </w:r>
                  <w:r>
                    <w:rPr>
                      <w:rFonts w:hint="default" w:ascii="Times New Roman" w:hAnsi="Times New Roman" w:eastAsia="宋体" w:cs="Times New Roman"/>
                      <w:color w:val="auto"/>
                      <w:sz w:val="21"/>
                    </w:rPr>
                    <w:t>为独立彩钢板厂房，建筑面积约为 630m2，一层，高约 6m；分为两个部分一部分做为职工的淋浴室和机修备品间、叉车充电间和泡沫发生装置，另一部分为动力中心，设置 4台空压机和1套变/配电装置，供生产所需空气动力和电力。</w:t>
                  </w:r>
                </w:p>
              </w:tc>
              <w:tc>
                <w:tcPr>
                  <w:tcW w:w="777" w:type="pct"/>
                  <w:vAlign w:val="center"/>
                </w:tcPr>
                <w:p w14:paraId="13F1965E">
                  <w:pPr>
                    <w:keepNext w:val="0"/>
                    <w:keepLines w:val="0"/>
                    <w:suppressLineNumbers w:val="0"/>
                    <w:spacing w:before="18"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16D46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Borders>
                    <w:top w:val="nil"/>
                  </w:tcBorders>
                  <w:vAlign w:val="center"/>
                </w:tcPr>
                <w:p w14:paraId="0A5F10A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6E255F1D">
                  <w:pPr>
                    <w:pStyle w:val="41"/>
                    <w:keepNext w:val="0"/>
                    <w:keepLines w:val="0"/>
                    <w:suppressLineNumbers w:val="0"/>
                    <w:spacing w:before="23" w:beforeAutospacing="0" w:after="0" w:afterAutospacing="0" w:line="240" w:lineRule="auto"/>
                    <w:ind w:left="109" w:right="19"/>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办公楼（含食堂）</w:t>
                  </w:r>
                </w:p>
              </w:tc>
              <w:tc>
                <w:tcPr>
                  <w:tcW w:w="2836" w:type="pct"/>
                  <w:vAlign w:val="center"/>
                </w:tcPr>
                <w:p w14:paraId="4554FD05">
                  <w:pPr>
                    <w:pStyle w:val="41"/>
                    <w:keepNext w:val="0"/>
                    <w:keepLines w:val="0"/>
                    <w:suppressLineNumbers w:val="0"/>
                    <w:spacing w:before="23" w:beforeAutospacing="0" w:after="0" w:afterAutospacing="0" w:line="240" w:lineRule="auto"/>
                    <w:ind w:left="105" w:right="3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为框架结构建筑，占地面积为 819m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，建筑面积约为 2457m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，3层建筑，一层设置有食堂和接待室</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二、三楼为办公室。</w:t>
                  </w:r>
                </w:p>
              </w:tc>
              <w:tc>
                <w:tcPr>
                  <w:tcW w:w="777" w:type="pct"/>
                  <w:vAlign w:val="center"/>
                </w:tcPr>
                <w:p w14:paraId="74BB7A41">
                  <w:pPr>
                    <w:keepNext w:val="0"/>
                    <w:keepLines w:val="0"/>
                    <w:suppressLineNumbers w:val="0"/>
                    <w:spacing w:before="23"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63D79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Borders>
                    <w:top w:val="nil"/>
                  </w:tcBorders>
                  <w:vAlign w:val="center"/>
                </w:tcPr>
                <w:p w14:paraId="03C345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7354A65A">
                  <w:pPr>
                    <w:pStyle w:val="41"/>
                    <w:keepNext w:val="0"/>
                    <w:keepLines w:val="0"/>
                    <w:suppressLineNumbers w:val="0"/>
                    <w:spacing w:before="22"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参观连廊</w:t>
                  </w:r>
                </w:p>
              </w:tc>
              <w:tc>
                <w:tcPr>
                  <w:tcW w:w="2836" w:type="pct"/>
                  <w:vAlign w:val="center"/>
                </w:tcPr>
                <w:p w14:paraId="5C2B024D">
                  <w:pPr>
                    <w:pStyle w:val="41"/>
                    <w:keepNext w:val="0"/>
                    <w:keepLines w:val="0"/>
                    <w:suppressLineNumbers w:val="0"/>
                    <w:spacing w:before="22" w:beforeAutospacing="0" w:after="0" w:afterAutospacing="0" w:line="240" w:lineRule="auto"/>
                    <w:ind w:left="105" w:right="-15"/>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为单独架设在车间的一个参观走廊，采用钢架建设方式，高约3m，从乳胶车间连通至腻子粉生产车间，便于参观产品整个工艺流程。其占地面积</w:t>
                  </w:r>
                  <w:r>
                    <w:rPr>
                      <w:rFonts w:hint="default" w:ascii="Times New Roman" w:hAnsi="Times New Roman" w:eastAsia="宋体" w:cs="Times New Roman"/>
                      <w:color w:val="auto"/>
                      <w:spacing w:val="18"/>
                      <w:sz w:val="21"/>
                    </w:rPr>
                    <w:t>为</w:t>
                  </w:r>
                  <w:r>
                    <w:rPr>
                      <w:rFonts w:hint="default" w:ascii="Times New Roman" w:hAnsi="Times New Roman" w:eastAsia="宋体" w:cs="Times New Roman"/>
                      <w:color w:val="auto"/>
                      <w:sz w:val="21"/>
                    </w:rPr>
                    <w:t>269m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c>
                <w:tcPr>
                  <w:tcW w:w="777" w:type="pct"/>
                  <w:vAlign w:val="center"/>
                </w:tcPr>
                <w:p w14:paraId="27503851">
                  <w:pPr>
                    <w:keepNext w:val="0"/>
                    <w:keepLines w:val="0"/>
                    <w:suppressLineNumbers w:val="0"/>
                    <w:spacing w:before="22"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463BB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Borders>
                    <w:top w:val="nil"/>
                  </w:tcBorders>
                  <w:vAlign w:val="center"/>
                </w:tcPr>
                <w:p w14:paraId="400F94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0DCB9B5E">
                  <w:pPr>
                    <w:pStyle w:val="41"/>
                    <w:keepNext w:val="0"/>
                    <w:keepLines w:val="0"/>
                    <w:suppressLineNumbers w:val="0"/>
                    <w:spacing w:before="22"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地磅房</w:t>
                  </w:r>
                </w:p>
              </w:tc>
              <w:tc>
                <w:tcPr>
                  <w:tcW w:w="2836" w:type="pct"/>
                  <w:vAlign w:val="center"/>
                </w:tcPr>
                <w:p w14:paraId="6B62CAD3">
                  <w:pPr>
                    <w:pStyle w:val="41"/>
                    <w:keepNext w:val="0"/>
                    <w:keepLines w:val="0"/>
                    <w:suppressLineNumbers w:val="0"/>
                    <w:spacing w:before="22"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位于物流入口，占地面积约为20m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c>
                <w:tcPr>
                  <w:tcW w:w="777" w:type="pct"/>
                  <w:vAlign w:val="center"/>
                </w:tcPr>
                <w:p w14:paraId="7873FBB6">
                  <w:pPr>
                    <w:keepNext w:val="0"/>
                    <w:keepLines w:val="0"/>
                    <w:suppressLineNumbers w:val="0"/>
                    <w:spacing w:before="22"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78F48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Borders>
                    <w:top w:val="nil"/>
                  </w:tcBorders>
                  <w:vAlign w:val="center"/>
                </w:tcPr>
                <w:p w14:paraId="069E72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3E1B7EF1">
                  <w:pPr>
                    <w:pStyle w:val="41"/>
                    <w:keepNext w:val="0"/>
                    <w:keepLines w:val="0"/>
                    <w:suppressLineNumbers w:val="0"/>
                    <w:spacing w:before="22"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警卫室</w:t>
                  </w:r>
                </w:p>
              </w:tc>
              <w:tc>
                <w:tcPr>
                  <w:tcW w:w="2836" w:type="pct"/>
                  <w:vAlign w:val="center"/>
                </w:tcPr>
                <w:p w14:paraId="0A2A33C4">
                  <w:pPr>
                    <w:pStyle w:val="41"/>
                    <w:keepNext w:val="0"/>
                    <w:keepLines w:val="0"/>
                    <w:suppressLineNumbers w:val="0"/>
                    <w:spacing w:before="22"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设置2个警卫室，分别位于物流和人流大门口，每个的建筑面积约为30.5m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c>
                <w:tcPr>
                  <w:tcW w:w="777" w:type="pct"/>
                  <w:vAlign w:val="center"/>
                </w:tcPr>
                <w:p w14:paraId="686C2056">
                  <w:pPr>
                    <w:keepNext w:val="0"/>
                    <w:keepLines w:val="0"/>
                    <w:suppressLineNumbers w:val="0"/>
                    <w:spacing w:before="22"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3981A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Borders>
                    <w:top w:val="nil"/>
                  </w:tcBorders>
                  <w:vAlign w:val="center"/>
                </w:tcPr>
                <w:p w14:paraId="37FD0E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2E50ABDE">
                  <w:pPr>
                    <w:pStyle w:val="41"/>
                    <w:keepNext w:val="0"/>
                    <w:keepLines w:val="0"/>
                    <w:suppressLineNumbers w:val="0"/>
                    <w:spacing w:before="21"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消防水池</w:t>
                  </w:r>
                </w:p>
              </w:tc>
              <w:tc>
                <w:tcPr>
                  <w:tcW w:w="2836" w:type="pct"/>
                  <w:vAlign w:val="center"/>
                </w:tcPr>
                <w:p w14:paraId="11AD3312">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9"/>
                      <w:sz w:val="21"/>
                      <w:lang w:eastAsia="zh-CN"/>
                    </w:rPr>
                    <w:t>厂区设置</w:t>
                  </w:r>
                  <w:r>
                    <w:rPr>
                      <w:rFonts w:hint="default" w:ascii="Times New Roman" w:hAnsi="Times New Roman" w:eastAsia="宋体" w:cs="Times New Roman"/>
                      <w:color w:val="auto"/>
                      <w:spacing w:val="-9"/>
                      <w:sz w:val="21"/>
                      <w:lang w:val="en-US" w:eastAsia="zh-CN"/>
                    </w:rPr>
                    <w:t>2个容积为600</w:t>
                  </w:r>
                  <w:r>
                    <w:rPr>
                      <w:rFonts w:hint="default" w:ascii="Times New Roman" w:hAnsi="Times New Roman" w:eastAsia="宋体" w:cs="Times New Roman"/>
                      <w:color w:val="auto"/>
                      <w:sz w:val="21"/>
                    </w:rPr>
                    <w:t>m</w:t>
                  </w:r>
                  <w:r>
                    <w:rPr>
                      <w:rFonts w:hint="eastAsia" w:ascii="Times New Roman" w:hAnsi="Times New Roman" w:eastAsia="宋体" w:cs="Times New Roman"/>
                      <w:color w:val="auto"/>
                      <w:position w:val="7"/>
                      <w:sz w:val="13"/>
                      <w:lang w:val="en-US" w:eastAsia="zh-CN"/>
                    </w:rPr>
                    <w:t>3</w:t>
                  </w:r>
                  <w:r>
                    <w:rPr>
                      <w:rFonts w:hint="default" w:ascii="Times New Roman" w:hAnsi="Times New Roman" w:eastAsia="宋体" w:cs="Times New Roman"/>
                      <w:color w:val="auto"/>
                      <w:spacing w:val="-9"/>
                      <w:sz w:val="21"/>
                      <w:lang w:eastAsia="zh-CN"/>
                    </w:rPr>
                    <w:t>的消防水池</w:t>
                  </w:r>
                  <w:r>
                    <w:rPr>
                      <w:rFonts w:hint="default" w:ascii="Times New Roman" w:hAnsi="Times New Roman" w:eastAsia="宋体" w:cs="Times New Roman"/>
                      <w:color w:val="auto"/>
                      <w:sz w:val="21"/>
                    </w:rPr>
                    <w:t>，为地下式水池，上面进行绿化。</w:t>
                  </w:r>
                </w:p>
              </w:tc>
              <w:tc>
                <w:tcPr>
                  <w:tcW w:w="777" w:type="pct"/>
                  <w:vAlign w:val="center"/>
                </w:tcPr>
                <w:p w14:paraId="4F78A1C6">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491E2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restart"/>
                  <w:vAlign w:val="center"/>
                </w:tcPr>
                <w:p w14:paraId="2E7583F7">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highlight w:val="none"/>
                      <w:lang w:val="en-US" w:eastAsia="zh-CN"/>
                    </w:rPr>
                    <w:t>公用工程</w:t>
                  </w:r>
                </w:p>
              </w:tc>
              <w:tc>
                <w:tcPr>
                  <w:tcW w:w="1165" w:type="pct"/>
                  <w:gridSpan w:val="2"/>
                  <w:vAlign w:val="center"/>
                </w:tcPr>
                <w:p w14:paraId="2BA5389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highlight w:val="none"/>
                      <w:lang w:val="en-US" w:eastAsia="zh-CN"/>
                    </w:rPr>
                    <w:t>给水</w:t>
                  </w:r>
                </w:p>
              </w:tc>
              <w:tc>
                <w:tcPr>
                  <w:tcW w:w="2836" w:type="pct"/>
                  <w:vAlign w:val="center"/>
                </w:tcPr>
                <w:p w14:paraId="7558A38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szCs w:val="21"/>
                      <w:highlight w:val="none"/>
                      <w:lang w:val="en-US" w:eastAsia="zh-CN"/>
                    </w:rPr>
                    <w:t>由富民工业园区白石岩—大白坡片区</w:t>
                  </w:r>
                  <w:r>
                    <w:rPr>
                      <w:rFonts w:hint="eastAsia" w:cs="Times New Roman"/>
                      <w:color w:val="auto"/>
                      <w:sz w:val="21"/>
                      <w:szCs w:val="21"/>
                      <w:highlight w:val="none"/>
                      <w:lang w:val="en-US" w:eastAsia="zh-CN"/>
                    </w:rPr>
                    <w:t>哨箐</w:t>
                  </w:r>
                  <w:r>
                    <w:rPr>
                      <w:rFonts w:hint="default" w:ascii="Times New Roman" w:hAnsi="Times New Roman" w:eastAsia="宋体" w:cs="Times New Roman"/>
                      <w:color w:val="auto"/>
                      <w:sz w:val="21"/>
                      <w:szCs w:val="21"/>
                      <w:highlight w:val="none"/>
                      <w:lang w:val="en-US" w:eastAsia="zh-CN"/>
                    </w:rPr>
                    <w:t>组团市政供水管网供给。</w:t>
                  </w:r>
                </w:p>
              </w:tc>
              <w:tc>
                <w:tcPr>
                  <w:tcW w:w="777" w:type="pct"/>
                  <w:vAlign w:val="center"/>
                </w:tcPr>
                <w:p w14:paraId="0088270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3C1D4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71169421">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1165" w:type="pct"/>
                  <w:gridSpan w:val="2"/>
                  <w:vAlign w:val="center"/>
                </w:tcPr>
                <w:p w14:paraId="65E4565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highlight w:val="none"/>
                      <w:lang w:val="en-US" w:eastAsia="zh-CN"/>
                    </w:rPr>
                    <w:t>排水</w:t>
                  </w:r>
                </w:p>
              </w:tc>
              <w:tc>
                <w:tcPr>
                  <w:tcW w:w="2836" w:type="pct"/>
                  <w:vAlign w:val="center"/>
                </w:tcPr>
                <w:p w14:paraId="5968243E">
                  <w:pPr>
                    <w:pStyle w:val="105"/>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highlight w:val="none"/>
                      <w:lang w:val="en-US" w:eastAsia="zh-CN"/>
                    </w:rPr>
                    <w:t>项目严格实行雨污分流制，</w:t>
                  </w:r>
                  <w:r>
                    <w:rPr>
                      <w:rFonts w:hint="eastAsia" w:cs="Times New Roman"/>
                      <w:color w:val="auto"/>
                      <w:sz w:val="21"/>
                      <w:szCs w:val="21"/>
                      <w:highlight w:val="none"/>
                      <w:lang w:val="en-US" w:eastAsia="zh-CN"/>
                    </w:rPr>
                    <w:t>前</w:t>
                  </w:r>
                  <w:r>
                    <w:rPr>
                      <w:rFonts w:hint="eastAsia" w:cs="Times New Roman"/>
                      <w:color w:val="auto"/>
                      <w:lang w:val="en-US" w:eastAsia="zh-CN"/>
                    </w:rPr>
                    <w:t>15min</w:t>
                  </w:r>
                  <w:r>
                    <w:rPr>
                      <w:rFonts w:hint="default" w:ascii="Times New Roman" w:hAnsi="Times New Roman" w:eastAsia="宋体" w:cs="Times New Roman"/>
                      <w:color w:val="auto"/>
                      <w:sz w:val="21"/>
                      <w:szCs w:val="21"/>
                      <w:highlight w:val="none"/>
                      <w:lang w:val="en-US" w:eastAsia="zh-CN"/>
                    </w:rPr>
                    <w:t>初期雨水收集</w:t>
                  </w:r>
                  <w:r>
                    <w:rPr>
                      <w:rFonts w:hint="eastAsia" w:cs="Times New Roman"/>
                      <w:color w:val="auto"/>
                      <w:sz w:val="21"/>
                      <w:szCs w:val="21"/>
                      <w:highlight w:val="none"/>
                      <w:lang w:val="en-US" w:eastAsia="zh-CN"/>
                    </w:rPr>
                    <w:t>沉淀</w:t>
                  </w:r>
                  <w:r>
                    <w:rPr>
                      <w:rFonts w:hint="default" w:ascii="Times New Roman" w:hAnsi="Times New Roman" w:eastAsia="宋体" w:cs="Times New Roman"/>
                      <w:color w:val="auto"/>
                      <w:sz w:val="21"/>
                      <w:szCs w:val="21"/>
                      <w:highlight w:val="none"/>
                      <w:lang w:val="en-US" w:eastAsia="zh-CN"/>
                    </w:rPr>
                    <w:t>后</w:t>
                  </w:r>
                  <w:r>
                    <w:rPr>
                      <w:rFonts w:hint="eastAsia" w:cs="Times New Roman"/>
                      <w:color w:val="auto"/>
                      <w:sz w:val="21"/>
                      <w:szCs w:val="21"/>
                      <w:highlight w:val="none"/>
                      <w:lang w:val="en-US" w:eastAsia="zh-CN"/>
                    </w:rPr>
                    <w:t>排入园区污水管网，</w:t>
                  </w:r>
                  <w:r>
                    <w:rPr>
                      <w:rFonts w:hint="eastAsia" w:cs="Times New Roman"/>
                      <w:color w:val="auto"/>
                      <w:lang w:val="en-US" w:eastAsia="zh-CN"/>
                    </w:rPr>
                    <w:t>15min后的雨水通过阀门控制经雨水排口排入</w:t>
                  </w:r>
                  <w:r>
                    <w:rPr>
                      <w:rFonts w:hint="eastAsia" w:cs="Times New Roman"/>
                      <w:color w:val="auto"/>
                      <w:lang w:eastAsia="zh-CN"/>
                    </w:rPr>
                    <w:t>园区雨水管网</w:t>
                  </w:r>
                  <w:r>
                    <w:rPr>
                      <w:rFonts w:hint="default" w:ascii="Times New Roman" w:hAnsi="Times New Roman" w:eastAsia="宋体" w:cs="Times New Roman"/>
                      <w:color w:val="auto"/>
                      <w:lang w:val="en-US" w:eastAsia="zh-CN"/>
                    </w:rPr>
                    <w:t>。</w:t>
                  </w:r>
                </w:p>
                <w:p w14:paraId="204DEDF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eastAsia" w:cs="Times New Roman"/>
                      <w:color w:val="auto"/>
                      <w:sz w:val="21"/>
                      <w:szCs w:val="21"/>
                      <w:highlight w:val="none"/>
                      <w:lang w:val="en-US" w:eastAsia="zh-CN"/>
                    </w:rPr>
                    <w:t>生活污水经隔油池、化粪池预处理后同生产废水一并进入自建的污水处理系统处理，处理达《污水排入城镇下水道水质标准》（GB/T131962-2015）表1中A级标准后进入园区污水管网，最终进入富民工业园区哨箐机械加工园污水处理厂。</w:t>
                  </w:r>
                </w:p>
              </w:tc>
              <w:tc>
                <w:tcPr>
                  <w:tcW w:w="777" w:type="pct"/>
                  <w:vAlign w:val="center"/>
                </w:tcPr>
                <w:p w14:paraId="6187BBC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2FDD6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restart"/>
                  <w:vAlign w:val="center"/>
                </w:tcPr>
                <w:p w14:paraId="77230F3F">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环保工程</w:t>
                  </w:r>
                </w:p>
              </w:tc>
              <w:tc>
                <w:tcPr>
                  <w:tcW w:w="312" w:type="pct"/>
                  <w:vMerge w:val="restart"/>
                  <w:vAlign w:val="center"/>
                </w:tcPr>
                <w:p w14:paraId="009A29FA">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废水</w:t>
                  </w:r>
                </w:p>
              </w:tc>
              <w:tc>
                <w:tcPr>
                  <w:tcW w:w="853" w:type="pct"/>
                  <w:vAlign w:val="center"/>
                </w:tcPr>
                <w:p w14:paraId="3437BBE3">
                  <w:pPr>
                    <w:pStyle w:val="41"/>
                    <w:keepNext w:val="0"/>
                    <w:keepLines w:val="0"/>
                    <w:suppressLineNumbers w:val="0"/>
                    <w:spacing w:before="21" w:beforeAutospacing="0" w:after="0" w:afterAutospacing="0" w:line="240" w:lineRule="auto"/>
                    <w:ind w:left="109" w:right="93"/>
                    <w:jc w:val="center"/>
                    <w:rPr>
                      <w:rFonts w:hint="eastAsia" w:ascii="Times New Roman" w:hAnsi="Times New Roman" w:eastAsia="宋体" w:cs="Times New Roman"/>
                      <w:color w:val="auto"/>
                      <w:sz w:val="21"/>
                      <w:lang w:eastAsia="zh-CN"/>
                    </w:rPr>
                  </w:pPr>
                  <w:r>
                    <w:rPr>
                      <w:rFonts w:hint="default" w:ascii="Times New Roman" w:hAnsi="Times New Roman" w:eastAsia="宋体" w:cs="Times New Roman"/>
                      <w:color w:val="auto"/>
                      <w:sz w:val="21"/>
                    </w:rPr>
                    <w:t>污水处理</w:t>
                  </w:r>
                  <w:r>
                    <w:rPr>
                      <w:rFonts w:hint="eastAsia" w:cs="Times New Roman"/>
                      <w:color w:val="auto"/>
                      <w:sz w:val="21"/>
                      <w:lang w:eastAsia="zh-CN"/>
                    </w:rPr>
                    <w:t>系统</w:t>
                  </w:r>
                </w:p>
              </w:tc>
              <w:tc>
                <w:tcPr>
                  <w:tcW w:w="2836" w:type="pct"/>
                  <w:vAlign w:val="center"/>
                </w:tcPr>
                <w:p w14:paraId="4307DFBF">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厂区内设置有</w:t>
                  </w:r>
                  <w:r>
                    <w:rPr>
                      <w:rFonts w:hint="default" w:ascii="Times New Roman" w:hAnsi="Times New Roman" w:eastAsia="宋体" w:cs="Times New Roman"/>
                      <w:color w:val="auto"/>
                      <w:sz w:val="21"/>
                    </w:rPr>
                    <w:t>一套污水处理系统，建筑用房占地约252m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，处理规模50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rPr>
                    <w:t>/</w:t>
                  </w:r>
                  <w:r>
                    <w:rPr>
                      <w:rFonts w:hint="eastAsia" w:cs="Times New Roman"/>
                      <w:color w:val="auto"/>
                      <w:sz w:val="21"/>
                      <w:lang w:val="en-US" w:eastAsia="zh-CN"/>
                    </w:rPr>
                    <w:t>d</w:t>
                  </w:r>
                  <w:r>
                    <w:rPr>
                      <w:rFonts w:hint="default" w:ascii="Times New Roman" w:hAnsi="Times New Roman" w:eastAsia="宋体" w:cs="Times New Roman"/>
                      <w:color w:val="auto"/>
                      <w:sz w:val="21"/>
                    </w:rPr>
                    <w:t>。</w:t>
                  </w:r>
                  <w:r>
                    <w:rPr>
                      <w:rFonts w:hint="default" w:ascii="Times New Roman" w:hAnsi="Times New Roman" w:eastAsia="宋体" w:cs="Times New Roman"/>
                      <w:color w:val="auto"/>
                      <w:sz w:val="21"/>
                      <w:lang w:val="en-US" w:eastAsia="zh-CN"/>
                    </w:rPr>
                    <w:t>处理工艺为“</w:t>
                  </w:r>
                  <w:r>
                    <w:rPr>
                      <w:rFonts w:hint="default" w:ascii="Times New Roman" w:hAnsi="Times New Roman" w:eastAsia="宋体" w:cs="Times New Roman"/>
                      <w:color w:val="auto"/>
                      <w:spacing w:val="-2"/>
                    </w:rPr>
                    <w:t>混凝沉淀</w:t>
                  </w:r>
                  <w:r>
                    <w:rPr>
                      <w:rFonts w:hint="default" w:ascii="Times New Roman" w:hAnsi="Times New Roman" w:eastAsia="宋体" w:cs="Times New Roman"/>
                      <w:color w:val="auto"/>
                    </w:rPr>
                    <w:t>+UASB</w:t>
                  </w:r>
                  <w:r>
                    <w:rPr>
                      <w:rFonts w:hint="default" w:ascii="Times New Roman" w:hAnsi="Times New Roman" w:eastAsia="宋体" w:cs="Times New Roman"/>
                      <w:color w:val="auto"/>
                      <w:spacing w:val="2"/>
                    </w:rPr>
                    <w:t>反应</w:t>
                  </w:r>
                  <w:r>
                    <w:rPr>
                      <w:rFonts w:hint="default" w:ascii="Times New Roman" w:hAnsi="Times New Roman" w:eastAsia="宋体" w:cs="Times New Roman"/>
                      <w:color w:val="auto"/>
                    </w:rPr>
                    <w:t>+MBR膜池</w:t>
                  </w:r>
                  <w:r>
                    <w:rPr>
                      <w:rFonts w:hint="default" w:ascii="Times New Roman" w:hAnsi="Times New Roman" w:eastAsia="宋体" w:cs="Times New Roman"/>
                      <w:color w:val="auto"/>
                      <w:sz w:val="21"/>
                      <w:lang w:val="en-US" w:eastAsia="zh-CN"/>
                    </w:rPr>
                    <w:t>”。</w:t>
                  </w:r>
                </w:p>
              </w:tc>
              <w:tc>
                <w:tcPr>
                  <w:tcW w:w="777" w:type="pct"/>
                  <w:vAlign w:val="center"/>
                </w:tcPr>
                <w:p w14:paraId="45C39923">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04155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20" w:type="pct"/>
                  <w:vMerge w:val="continue"/>
                  <w:vAlign w:val="center"/>
                </w:tcPr>
                <w:p w14:paraId="255F6CCE">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312" w:type="pct"/>
                  <w:vMerge w:val="continue"/>
                  <w:vAlign w:val="center"/>
                </w:tcPr>
                <w:p w14:paraId="429C5B9A">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rPr>
                  </w:pPr>
                </w:p>
              </w:tc>
              <w:tc>
                <w:tcPr>
                  <w:tcW w:w="853" w:type="pct"/>
                  <w:vAlign w:val="center"/>
                </w:tcPr>
                <w:p w14:paraId="69830045">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化粪池</w:t>
                  </w:r>
                </w:p>
              </w:tc>
              <w:tc>
                <w:tcPr>
                  <w:tcW w:w="2836" w:type="pct"/>
                  <w:vAlign w:val="center"/>
                </w:tcPr>
                <w:p w14:paraId="7C62987B">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厂区内设置了容积不小于</w:t>
                  </w:r>
                  <w:r>
                    <w:rPr>
                      <w:rFonts w:hint="eastAsia" w:cs="Times New Roman"/>
                      <w:color w:val="auto"/>
                      <w:sz w:val="21"/>
                      <w:lang w:val="en-US" w:eastAsia="zh-CN"/>
                    </w:rPr>
                    <w:t>20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的化粪池，用于处理办公生活污水。</w:t>
                  </w:r>
                </w:p>
              </w:tc>
              <w:tc>
                <w:tcPr>
                  <w:tcW w:w="777" w:type="pct"/>
                  <w:vAlign w:val="center"/>
                </w:tcPr>
                <w:p w14:paraId="5A1CF735">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61AAA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4BF0E6AE">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312" w:type="pct"/>
                  <w:vMerge w:val="continue"/>
                  <w:vAlign w:val="center"/>
                </w:tcPr>
                <w:p w14:paraId="2991FE99">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rPr>
                  </w:pPr>
                </w:p>
              </w:tc>
              <w:tc>
                <w:tcPr>
                  <w:tcW w:w="853" w:type="pct"/>
                  <w:vAlign w:val="center"/>
                </w:tcPr>
                <w:p w14:paraId="1E845CC9">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隔油池</w:t>
                  </w:r>
                </w:p>
              </w:tc>
              <w:tc>
                <w:tcPr>
                  <w:tcW w:w="2836" w:type="pct"/>
                  <w:vAlign w:val="center"/>
                </w:tcPr>
                <w:p w14:paraId="7BBC931D">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厂区内设置有1个容积不小于</w:t>
                  </w:r>
                  <w:r>
                    <w:rPr>
                      <w:rFonts w:hint="eastAsia" w:cs="Times New Roman"/>
                      <w:color w:val="auto"/>
                      <w:sz w:val="21"/>
                      <w:lang w:val="en-US" w:eastAsia="zh-CN"/>
                    </w:rPr>
                    <w:t>4</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的隔油池，处理食堂产生的含油废水。</w:t>
                  </w:r>
                </w:p>
              </w:tc>
              <w:tc>
                <w:tcPr>
                  <w:tcW w:w="777" w:type="pct"/>
                  <w:vAlign w:val="center"/>
                </w:tcPr>
                <w:p w14:paraId="1B9BF76B">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60F95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60B55302">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312" w:type="pct"/>
                  <w:vMerge w:val="continue"/>
                  <w:vAlign w:val="center"/>
                </w:tcPr>
                <w:p w14:paraId="7C6A0778">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rPr>
                  </w:pPr>
                </w:p>
              </w:tc>
              <w:tc>
                <w:tcPr>
                  <w:tcW w:w="853" w:type="pct"/>
                  <w:vAlign w:val="center"/>
                </w:tcPr>
                <w:p w14:paraId="27DFB657">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eastAsia="zh-CN"/>
                    </w:rPr>
                    <w:t>初期雨水收集池</w:t>
                  </w:r>
                </w:p>
              </w:tc>
              <w:tc>
                <w:tcPr>
                  <w:tcW w:w="2836" w:type="pct"/>
                  <w:vAlign w:val="center"/>
                </w:tcPr>
                <w:p w14:paraId="1A8BC534">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厂区设置容积为</w:t>
                  </w:r>
                  <w:r>
                    <w:rPr>
                      <w:rFonts w:hint="default" w:ascii="Times New Roman" w:hAnsi="Times New Roman" w:eastAsia="宋体" w:cs="Times New Roman"/>
                      <w:color w:val="auto"/>
                      <w:sz w:val="21"/>
                    </w:rPr>
                    <w:t>972m</w:t>
                  </w:r>
                  <w:r>
                    <w:rPr>
                      <w:rFonts w:hint="default" w:ascii="Times New Roman" w:hAnsi="Times New Roman" w:eastAsia="宋体" w:cs="Times New Roman"/>
                      <w:color w:val="auto"/>
                      <w:sz w:val="21"/>
                      <w:vertAlign w:val="superscript"/>
                    </w:rPr>
                    <w:t>3</w:t>
                  </w:r>
                  <w:r>
                    <w:rPr>
                      <w:rFonts w:hint="eastAsia" w:ascii="Times New Roman" w:hAnsi="Times New Roman" w:eastAsia="宋体" w:cs="Times New Roman"/>
                      <w:color w:val="auto"/>
                      <w:sz w:val="21"/>
                      <w:lang w:val="en-US" w:eastAsia="zh-CN"/>
                    </w:rPr>
                    <w:t>的初期雨水收集池</w:t>
                  </w:r>
                  <w:r>
                    <w:rPr>
                      <w:rFonts w:hint="eastAsia" w:cs="Times New Roman"/>
                      <w:color w:val="auto"/>
                      <w:sz w:val="21"/>
                      <w:lang w:val="en-US" w:eastAsia="zh-CN"/>
                    </w:rPr>
                    <w:t>。收集、沉淀生产区前15min的雨水。</w:t>
                  </w:r>
                </w:p>
              </w:tc>
              <w:tc>
                <w:tcPr>
                  <w:tcW w:w="777" w:type="pct"/>
                  <w:vAlign w:val="center"/>
                </w:tcPr>
                <w:p w14:paraId="1BFD151F">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752B7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6" w:hRule="atLeast"/>
              </w:trPr>
              <w:tc>
                <w:tcPr>
                  <w:tcW w:w="220" w:type="pct"/>
                  <w:vMerge w:val="continue"/>
                </w:tcPr>
                <w:p w14:paraId="26EE47B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0"/>
                    </w:rPr>
                  </w:pPr>
                </w:p>
              </w:tc>
              <w:tc>
                <w:tcPr>
                  <w:tcW w:w="312" w:type="pct"/>
                  <w:vMerge w:val="restart"/>
                  <w:vAlign w:val="center"/>
                </w:tcPr>
                <w:p w14:paraId="24025754">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bookmarkStart w:id="3" w:name="4.2.4主要生产设备"/>
                  <w:bookmarkEnd w:id="3"/>
                  <w:bookmarkStart w:id="4" w:name="_bookmark24"/>
                  <w:bookmarkEnd w:id="4"/>
                  <w:r>
                    <w:rPr>
                      <w:rFonts w:hint="default" w:ascii="Times New Roman" w:hAnsi="Times New Roman" w:eastAsia="宋体" w:cs="Times New Roman"/>
                      <w:color w:val="auto"/>
                      <w:sz w:val="21"/>
                    </w:rPr>
                    <w:t>废气</w:t>
                  </w:r>
                </w:p>
              </w:tc>
              <w:tc>
                <w:tcPr>
                  <w:tcW w:w="853" w:type="pct"/>
                  <w:vAlign w:val="center"/>
                </w:tcPr>
                <w:p w14:paraId="2933BB8F">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1套“</w:t>
                  </w:r>
                  <w:r>
                    <w:rPr>
                      <w:rFonts w:hint="eastAsia" w:cs="Times New Roman"/>
                      <w:color w:val="auto"/>
                      <w:sz w:val="21"/>
                      <w:lang w:val="en-US" w:eastAsia="zh-CN"/>
                    </w:rPr>
                    <w:t>5个</w:t>
                  </w:r>
                  <w:r>
                    <w:rPr>
                      <w:rFonts w:hint="default" w:ascii="Times New Roman" w:hAnsi="Times New Roman" w:eastAsia="宋体" w:cs="Times New Roman"/>
                      <w:color w:val="auto"/>
                      <w:sz w:val="21"/>
                      <w:lang w:val="en-US" w:eastAsia="zh-CN"/>
                    </w:rPr>
                    <w:t>集气罩+布袋除尘</w:t>
                  </w:r>
                  <w:r>
                    <w:rPr>
                      <w:rFonts w:hint="eastAsia" w:cs="Times New Roman"/>
                      <w:color w:val="auto"/>
                      <w:sz w:val="21"/>
                      <w:lang w:val="en-US" w:eastAsia="zh-CN"/>
                    </w:rPr>
                    <w:t>系统+UV光氧+活性炭吸附装置</w:t>
                  </w:r>
                  <w:r>
                    <w:rPr>
                      <w:rFonts w:hint="default" w:ascii="Times New Roman" w:hAnsi="Times New Roman" w:eastAsia="宋体" w:cs="Times New Roman"/>
                      <w:color w:val="auto"/>
                      <w:sz w:val="21"/>
                      <w:lang w:val="en-US" w:eastAsia="zh-CN"/>
                    </w:rPr>
                    <w:t>”+15m排气筒（DA00</w:t>
                  </w:r>
                  <w:r>
                    <w:rPr>
                      <w:rFonts w:hint="eastAsia" w:cs="Times New Roman"/>
                      <w:color w:val="auto"/>
                      <w:sz w:val="21"/>
                      <w:lang w:val="en-US" w:eastAsia="zh-CN"/>
                    </w:rPr>
                    <w:t>2</w:t>
                  </w:r>
                  <w:r>
                    <w:rPr>
                      <w:rFonts w:hint="default" w:ascii="Times New Roman" w:hAnsi="Times New Roman" w:eastAsia="宋体" w:cs="Times New Roman"/>
                      <w:color w:val="auto"/>
                      <w:sz w:val="21"/>
                      <w:lang w:val="en-US" w:eastAsia="zh-CN"/>
                    </w:rPr>
                    <w:t>）</w:t>
                  </w:r>
                </w:p>
              </w:tc>
              <w:tc>
                <w:tcPr>
                  <w:tcW w:w="2836" w:type="pct"/>
                  <w:vAlign w:val="center"/>
                </w:tcPr>
                <w:p w14:paraId="0B32D68B">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水性涂料生产车间2个投料口，3个包装设备分别设置集气罩收集进入</w:t>
                  </w:r>
                  <w:r>
                    <w:rPr>
                      <w:rFonts w:hint="default" w:ascii="Times New Roman" w:hAnsi="Times New Roman" w:eastAsia="宋体" w:cs="Times New Roman"/>
                      <w:color w:val="auto"/>
                      <w:sz w:val="21"/>
                    </w:rPr>
                    <w:t>布袋除尘</w:t>
                  </w:r>
                  <w:r>
                    <w:rPr>
                      <w:rFonts w:hint="eastAsia" w:cs="Times New Roman"/>
                      <w:color w:val="auto"/>
                      <w:sz w:val="21"/>
                      <w:lang w:val="en-US" w:eastAsia="zh-CN"/>
                    </w:rPr>
                    <w:t>系统+UV光氧+活性炭吸附装置</w:t>
                  </w:r>
                  <w:r>
                    <w:rPr>
                      <w:rFonts w:hint="default" w:ascii="Times New Roman" w:hAnsi="Times New Roman" w:eastAsia="宋体" w:cs="Times New Roman"/>
                      <w:color w:val="auto"/>
                      <w:sz w:val="21"/>
                    </w:rPr>
                    <w:t>处理后</w:t>
                  </w:r>
                  <w:r>
                    <w:rPr>
                      <w:rFonts w:hint="eastAsia" w:cs="Times New Roman"/>
                      <w:color w:val="auto"/>
                      <w:sz w:val="21"/>
                      <w:lang w:eastAsia="zh-CN"/>
                    </w:rPr>
                    <w:t>，</w:t>
                  </w:r>
                  <w:r>
                    <w:rPr>
                      <w:rFonts w:hint="default" w:ascii="Times New Roman" w:hAnsi="Times New Roman" w:eastAsia="宋体" w:cs="Times New Roman"/>
                      <w:color w:val="auto"/>
                      <w:sz w:val="21"/>
                    </w:rPr>
                    <w:t>15m排气筒外排。</w:t>
                  </w:r>
                  <w:r>
                    <w:rPr>
                      <w:rFonts w:hint="eastAsia" w:cs="Times New Roman"/>
                      <w:color w:val="auto"/>
                      <w:sz w:val="21"/>
                      <w:lang w:eastAsia="zh-CN"/>
                    </w:rPr>
                    <w:t>设置风量为</w:t>
                  </w:r>
                  <w:r>
                    <w:rPr>
                      <w:rFonts w:hint="eastAsia" w:cs="Times New Roman"/>
                      <w:color w:val="auto"/>
                      <w:sz w:val="21"/>
                      <w:lang w:val="en-US" w:eastAsia="zh-CN"/>
                    </w:rPr>
                    <w:t>6000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eastAsia" w:ascii="Times New Roman" w:hAnsi="Times New Roman" w:eastAsia="宋体" w:cs="Times New Roman"/>
                      <w:color w:val="auto"/>
                      <w:sz w:val="21"/>
                      <w:lang w:val="en-US" w:eastAsia="zh-CN"/>
                    </w:rPr>
                    <w:t>/h。集气罩收集效率80%，</w:t>
                  </w:r>
                  <w:r>
                    <w:rPr>
                      <w:rFonts w:hint="default" w:ascii="Times New Roman" w:hAnsi="Times New Roman" w:eastAsia="宋体" w:cs="Times New Roman"/>
                      <w:color w:val="auto"/>
                      <w:sz w:val="21"/>
                    </w:rPr>
                    <w:t>布袋除尘</w:t>
                  </w:r>
                  <w:r>
                    <w:rPr>
                      <w:rFonts w:hint="eastAsia" w:cs="Times New Roman"/>
                      <w:color w:val="auto"/>
                      <w:sz w:val="21"/>
                      <w:lang w:val="en-US" w:eastAsia="zh-CN"/>
                    </w:rPr>
                    <w:t>系对粉尘</w:t>
                  </w:r>
                  <w:r>
                    <w:rPr>
                      <w:rFonts w:hint="eastAsia" w:ascii="Times New Roman" w:hAnsi="Times New Roman" w:eastAsia="宋体" w:cs="Times New Roman"/>
                      <w:color w:val="auto"/>
                      <w:sz w:val="21"/>
                      <w:lang w:val="en-US" w:eastAsia="zh-CN"/>
                    </w:rPr>
                    <w:t>去除效率99%</w:t>
                  </w:r>
                  <w:r>
                    <w:rPr>
                      <w:rFonts w:hint="eastAsia" w:cs="Times New Roman"/>
                      <w:color w:val="auto"/>
                      <w:sz w:val="21"/>
                      <w:lang w:val="en-US" w:eastAsia="zh-CN"/>
                    </w:rPr>
                    <w:t>，UV光氧+活性炭吸附装置对非甲烷总烃的去除效率为70%</w:t>
                  </w:r>
                  <w:r>
                    <w:rPr>
                      <w:rFonts w:hint="eastAsia" w:ascii="Times New Roman" w:hAnsi="Times New Roman" w:eastAsia="宋体" w:cs="Times New Roman"/>
                      <w:color w:val="auto"/>
                      <w:sz w:val="21"/>
                      <w:lang w:val="en-US" w:eastAsia="zh-CN"/>
                    </w:rPr>
                    <w:t>。</w:t>
                  </w:r>
                </w:p>
              </w:tc>
              <w:tc>
                <w:tcPr>
                  <w:tcW w:w="777" w:type="pct"/>
                  <w:vAlign w:val="center"/>
                </w:tcPr>
                <w:p w14:paraId="049430B9">
                  <w:pPr>
                    <w:pStyle w:val="41"/>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新建</w:t>
                  </w:r>
                </w:p>
              </w:tc>
            </w:tr>
            <w:tr w14:paraId="52F01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Pr>
                <w:p w14:paraId="1B9945D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0"/>
                    </w:rPr>
                  </w:pPr>
                </w:p>
              </w:tc>
              <w:tc>
                <w:tcPr>
                  <w:tcW w:w="312" w:type="pct"/>
                  <w:vMerge w:val="continue"/>
                  <w:vAlign w:val="center"/>
                </w:tcPr>
                <w:p w14:paraId="367C4534">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p>
              </w:tc>
              <w:tc>
                <w:tcPr>
                  <w:tcW w:w="853" w:type="pct"/>
                  <w:vAlign w:val="center"/>
                </w:tcPr>
                <w:p w14:paraId="22C6660D">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1套“</w:t>
                  </w:r>
                  <w:r>
                    <w:rPr>
                      <w:rFonts w:hint="eastAsia" w:cs="Times New Roman"/>
                      <w:color w:val="auto"/>
                      <w:sz w:val="21"/>
                      <w:lang w:val="en-US" w:eastAsia="zh-CN"/>
                    </w:rPr>
                    <w:t>24个</w:t>
                  </w:r>
                  <w:r>
                    <w:rPr>
                      <w:rFonts w:hint="default" w:ascii="Times New Roman" w:hAnsi="Times New Roman" w:eastAsia="宋体" w:cs="Times New Roman"/>
                      <w:color w:val="auto"/>
                      <w:sz w:val="21"/>
                      <w:lang w:val="en-US" w:eastAsia="zh-CN"/>
                    </w:rPr>
                    <w:t>集气罩+集中式滤筒除尘”+15m排气筒（DA00</w:t>
                  </w:r>
                  <w:r>
                    <w:rPr>
                      <w:rFonts w:hint="eastAsia" w:cs="Times New Roman"/>
                      <w:color w:val="auto"/>
                      <w:sz w:val="21"/>
                      <w:lang w:val="en-US" w:eastAsia="zh-CN"/>
                    </w:rPr>
                    <w:t>1</w:t>
                  </w:r>
                  <w:r>
                    <w:rPr>
                      <w:rFonts w:hint="default" w:ascii="Times New Roman" w:hAnsi="Times New Roman" w:eastAsia="宋体" w:cs="Times New Roman"/>
                      <w:color w:val="auto"/>
                      <w:sz w:val="21"/>
                      <w:lang w:val="en-US" w:eastAsia="zh-CN"/>
                    </w:rPr>
                    <w:t>）</w:t>
                  </w:r>
                </w:p>
              </w:tc>
              <w:tc>
                <w:tcPr>
                  <w:tcW w:w="2836" w:type="pct"/>
                  <w:vAlign w:val="center"/>
                </w:tcPr>
                <w:p w14:paraId="4BCB86F0">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eastAsia="zh-CN"/>
                    </w:rPr>
                    <w:t>腻子粉</w:t>
                  </w:r>
                  <w:r>
                    <w:rPr>
                      <w:rFonts w:hint="default" w:ascii="Times New Roman" w:hAnsi="Times New Roman" w:eastAsia="宋体" w:cs="Times New Roman"/>
                      <w:color w:val="auto"/>
                      <w:sz w:val="21"/>
                    </w:rPr>
                    <w:t>生产线</w:t>
                  </w:r>
                  <w:r>
                    <w:rPr>
                      <w:rFonts w:hint="default" w:ascii="Times New Roman" w:hAnsi="Times New Roman" w:eastAsia="宋体" w:cs="Times New Roman"/>
                      <w:color w:val="auto"/>
                      <w:sz w:val="21"/>
                      <w:lang w:eastAsia="zh-CN"/>
                    </w:rPr>
                    <w:t>投料、配料</w:t>
                  </w:r>
                  <w:r>
                    <w:rPr>
                      <w:rFonts w:hint="eastAsia" w:cs="Times New Roman"/>
                      <w:color w:val="auto"/>
                      <w:sz w:val="21"/>
                      <w:lang w:eastAsia="zh-CN"/>
                    </w:rPr>
                    <w:t>、</w:t>
                  </w:r>
                  <w:r>
                    <w:rPr>
                      <w:rFonts w:hint="eastAsia" w:cs="Times New Roman"/>
                      <w:color w:val="auto"/>
                      <w:sz w:val="21"/>
                      <w:lang w:val="en-US" w:eastAsia="zh-CN"/>
                    </w:rPr>
                    <w:t>混料</w:t>
                  </w:r>
                  <w:r>
                    <w:rPr>
                      <w:rFonts w:hint="default" w:ascii="Times New Roman" w:hAnsi="Times New Roman" w:eastAsia="宋体" w:cs="Times New Roman"/>
                      <w:color w:val="auto"/>
                      <w:sz w:val="21"/>
                      <w:lang w:eastAsia="zh-CN"/>
                    </w:rPr>
                    <w:t>粉尘设置</w:t>
                  </w:r>
                  <w:r>
                    <w:rPr>
                      <w:rFonts w:hint="default" w:ascii="Times New Roman" w:hAnsi="Times New Roman" w:eastAsia="宋体" w:cs="Times New Roman"/>
                      <w:color w:val="auto"/>
                      <w:sz w:val="21"/>
                      <w:lang w:val="en-US" w:eastAsia="zh-CN"/>
                    </w:rPr>
                    <w:t>1</w:t>
                  </w:r>
                  <w:r>
                    <w:rPr>
                      <w:rFonts w:hint="default" w:ascii="Times New Roman" w:hAnsi="Times New Roman" w:eastAsia="宋体" w:cs="Times New Roman"/>
                      <w:color w:val="auto"/>
                      <w:sz w:val="21"/>
                    </w:rPr>
                    <w:t>套</w:t>
                  </w:r>
                  <w:r>
                    <w:rPr>
                      <w:rFonts w:hint="default" w:ascii="Times New Roman" w:hAnsi="Times New Roman" w:eastAsia="宋体" w:cs="Times New Roman"/>
                      <w:color w:val="auto"/>
                      <w:sz w:val="21"/>
                      <w:lang w:eastAsia="zh-CN"/>
                    </w:rPr>
                    <w:t>“</w:t>
                  </w:r>
                  <w:r>
                    <w:rPr>
                      <w:rFonts w:hint="eastAsia" w:cs="Times New Roman"/>
                      <w:color w:val="auto"/>
                      <w:sz w:val="21"/>
                      <w:lang w:val="en-US" w:eastAsia="zh-CN"/>
                    </w:rPr>
                    <w:t>24个</w:t>
                  </w:r>
                  <w:r>
                    <w:rPr>
                      <w:rFonts w:hint="default" w:ascii="Times New Roman" w:hAnsi="Times New Roman" w:eastAsia="宋体" w:cs="Times New Roman"/>
                      <w:color w:val="auto"/>
                      <w:sz w:val="21"/>
                      <w:lang w:eastAsia="zh-CN"/>
                    </w:rPr>
                    <w:t>集气罩</w:t>
                  </w:r>
                  <w:r>
                    <w:rPr>
                      <w:rFonts w:hint="default" w:ascii="Times New Roman" w:hAnsi="Times New Roman" w:eastAsia="宋体" w:cs="Times New Roman"/>
                      <w:color w:val="auto"/>
                      <w:sz w:val="21"/>
                      <w:lang w:val="en-US" w:eastAsia="zh-CN"/>
                    </w:rPr>
                    <w:t>+集中式滤筒除尘</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装置，处理后的废气经15m排气筒外排</w:t>
                  </w:r>
                  <w:r>
                    <w:rPr>
                      <w:rFonts w:hint="default" w:ascii="Times New Roman" w:hAnsi="Times New Roman" w:eastAsia="宋体" w:cs="Times New Roman"/>
                      <w:color w:val="auto"/>
                      <w:sz w:val="21"/>
                      <w:lang w:eastAsia="zh-CN"/>
                    </w:rPr>
                    <w:t>。</w:t>
                  </w:r>
                  <w:r>
                    <w:rPr>
                      <w:rFonts w:hint="eastAsia" w:cs="Times New Roman"/>
                      <w:color w:val="auto"/>
                      <w:sz w:val="21"/>
                      <w:lang w:eastAsia="zh-CN"/>
                    </w:rPr>
                    <w:t>设置风量为</w:t>
                  </w:r>
                  <w:r>
                    <w:rPr>
                      <w:rFonts w:hint="eastAsia" w:cs="Times New Roman"/>
                      <w:color w:val="auto"/>
                      <w:sz w:val="21"/>
                      <w:lang w:val="en-US" w:eastAsia="zh-CN"/>
                    </w:rPr>
                    <w:t>48000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eastAsia" w:ascii="Times New Roman" w:hAnsi="Times New Roman" w:eastAsia="宋体" w:cs="Times New Roman"/>
                      <w:color w:val="auto"/>
                      <w:sz w:val="21"/>
                      <w:lang w:val="en-US" w:eastAsia="zh-CN"/>
                    </w:rPr>
                    <w:t>/h。集气罩收集效率</w:t>
                  </w:r>
                  <w:r>
                    <w:rPr>
                      <w:rFonts w:hint="eastAsia" w:cs="Times New Roman"/>
                      <w:color w:val="auto"/>
                      <w:sz w:val="21"/>
                      <w:lang w:val="en-US" w:eastAsia="zh-CN"/>
                    </w:rPr>
                    <w:t>80</w:t>
                  </w:r>
                  <w:r>
                    <w:rPr>
                      <w:rFonts w:hint="eastAsia" w:ascii="Times New Roman" w:hAnsi="Times New Roman" w:eastAsia="宋体" w:cs="Times New Roman"/>
                      <w:color w:val="auto"/>
                      <w:sz w:val="21"/>
                      <w:lang w:val="en-US" w:eastAsia="zh-CN"/>
                    </w:rPr>
                    <w:t>%，去除效率99%。</w:t>
                  </w:r>
                </w:p>
              </w:tc>
              <w:tc>
                <w:tcPr>
                  <w:tcW w:w="777" w:type="pct"/>
                  <w:vAlign w:val="center"/>
                </w:tcPr>
                <w:p w14:paraId="66F85362">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26A86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220" w:type="pct"/>
                  <w:vMerge w:val="continue"/>
                </w:tcPr>
                <w:p w14:paraId="2E0B9F6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0"/>
                    </w:rPr>
                  </w:pPr>
                </w:p>
              </w:tc>
              <w:tc>
                <w:tcPr>
                  <w:tcW w:w="312" w:type="pct"/>
                  <w:vMerge w:val="continue"/>
                  <w:vAlign w:val="center"/>
                </w:tcPr>
                <w:p w14:paraId="69AC071C">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p>
              </w:tc>
              <w:tc>
                <w:tcPr>
                  <w:tcW w:w="853" w:type="pct"/>
                  <w:vAlign w:val="center"/>
                </w:tcPr>
                <w:p w14:paraId="7CCD8422">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粉料罐顶设置</w:t>
                  </w:r>
                  <w:r>
                    <w:rPr>
                      <w:rFonts w:hint="default" w:ascii="Times New Roman" w:hAnsi="Times New Roman" w:eastAsia="宋体" w:cs="Times New Roman"/>
                      <w:color w:val="auto"/>
                      <w:sz w:val="21"/>
                      <w:lang w:val="en-US" w:eastAsia="zh-CN"/>
                    </w:rPr>
                    <w:t>脉冲布袋除尘</w:t>
                  </w:r>
                </w:p>
              </w:tc>
              <w:tc>
                <w:tcPr>
                  <w:tcW w:w="2836" w:type="pct"/>
                  <w:vAlign w:val="center"/>
                </w:tcPr>
                <w:p w14:paraId="3C961435">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eastAsia="zh-CN"/>
                    </w:rPr>
                  </w:pPr>
                  <w:r>
                    <w:rPr>
                      <w:rFonts w:hint="eastAsia" w:cs="Times New Roman"/>
                      <w:color w:val="auto"/>
                      <w:sz w:val="21"/>
                      <w:lang w:val="en-US" w:eastAsia="zh-CN"/>
                    </w:rPr>
                    <w:t>项目</w:t>
                  </w:r>
                  <w:r>
                    <w:rPr>
                      <w:rFonts w:hint="default" w:ascii="Times New Roman" w:hAnsi="Times New Roman" w:eastAsia="宋体" w:cs="Times New Roman"/>
                      <w:color w:val="auto"/>
                      <w:sz w:val="21"/>
                      <w:lang w:eastAsia="zh-CN"/>
                    </w:rPr>
                    <w:t>生产车间</w:t>
                  </w:r>
                  <w:r>
                    <w:rPr>
                      <w:rFonts w:hint="eastAsia" w:cs="Times New Roman"/>
                      <w:color w:val="auto"/>
                      <w:sz w:val="21"/>
                      <w:lang w:val="en-US" w:eastAsia="zh-CN"/>
                    </w:rPr>
                    <w:t>9个粉料罐（腻子粉生产车间3个，水性涂料生产车间6个）顶部设置</w:t>
                  </w:r>
                  <w:r>
                    <w:rPr>
                      <w:rFonts w:hint="default" w:ascii="Times New Roman" w:hAnsi="Times New Roman" w:eastAsia="宋体" w:cs="Times New Roman"/>
                      <w:color w:val="auto"/>
                      <w:sz w:val="21"/>
                      <w:lang w:val="en-US" w:eastAsia="zh-CN"/>
                    </w:rPr>
                    <w:t>脉冲</w:t>
                  </w:r>
                  <w:r>
                    <w:rPr>
                      <w:rFonts w:hint="default" w:ascii="Times New Roman" w:hAnsi="Times New Roman" w:eastAsia="宋体" w:cs="Times New Roman"/>
                      <w:color w:val="auto"/>
                      <w:sz w:val="21"/>
                      <w:lang w:eastAsia="zh-CN"/>
                    </w:rPr>
                    <w:t>布袋除尘器进行除尘</w:t>
                  </w:r>
                  <w:r>
                    <w:rPr>
                      <w:rFonts w:hint="eastAsia" w:ascii="Times New Roman" w:hAnsi="Times New Roman" w:eastAsia="宋体" w:cs="Times New Roman"/>
                      <w:color w:val="auto"/>
                      <w:sz w:val="21"/>
                      <w:lang w:val="en-US" w:eastAsia="zh-CN"/>
                    </w:rPr>
                    <w:t>。</w:t>
                  </w:r>
                </w:p>
              </w:tc>
              <w:tc>
                <w:tcPr>
                  <w:tcW w:w="777" w:type="pct"/>
                  <w:vAlign w:val="center"/>
                </w:tcPr>
                <w:p w14:paraId="482EEA4F">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新建</w:t>
                  </w:r>
                </w:p>
              </w:tc>
            </w:tr>
            <w:tr w14:paraId="0CAE6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Pr>
                <w:p w14:paraId="22153AE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0"/>
                    </w:rPr>
                  </w:pPr>
                </w:p>
              </w:tc>
              <w:tc>
                <w:tcPr>
                  <w:tcW w:w="312" w:type="pct"/>
                  <w:vMerge w:val="continue"/>
                  <w:vAlign w:val="center"/>
                </w:tcPr>
                <w:p w14:paraId="034C071B">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p>
              </w:tc>
              <w:tc>
                <w:tcPr>
                  <w:tcW w:w="853" w:type="pct"/>
                  <w:vAlign w:val="center"/>
                </w:tcPr>
                <w:p w14:paraId="56AF8E9E">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腻子粉生产线2包装机分别设置1个集气罩收集+1</w:t>
                  </w:r>
                  <w:r>
                    <w:rPr>
                      <w:rFonts w:hint="default" w:ascii="Times New Roman" w:hAnsi="Times New Roman" w:eastAsia="宋体" w:cs="Times New Roman"/>
                      <w:color w:val="auto"/>
                      <w:sz w:val="21"/>
                      <w:lang w:val="en-US" w:eastAsia="zh-CN"/>
                    </w:rPr>
                    <w:t>台旋风除尘器</w:t>
                  </w:r>
                </w:p>
              </w:tc>
              <w:tc>
                <w:tcPr>
                  <w:tcW w:w="2836" w:type="pct"/>
                  <w:vAlign w:val="center"/>
                </w:tcPr>
                <w:p w14:paraId="608229C7">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eastAsia="zh-CN"/>
                    </w:rPr>
                    <w:t>腻子粉生产车间设置</w:t>
                  </w:r>
                  <w:r>
                    <w:rPr>
                      <w:rFonts w:hint="default" w:ascii="Times New Roman" w:hAnsi="Times New Roman" w:eastAsia="宋体" w:cs="Times New Roman"/>
                      <w:color w:val="auto"/>
                      <w:sz w:val="21"/>
                      <w:lang w:val="en-US" w:eastAsia="zh-CN"/>
                    </w:rPr>
                    <w:t>2台</w:t>
                  </w:r>
                  <w:r>
                    <w:rPr>
                      <w:rFonts w:hint="default" w:ascii="Times New Roman" w:hAnsi="Times New Roman" w:eastAsia="宋体" w:cs="Times New Roman"/>
                      <w:color w:val="auto"/>
                      <w:sz w:val="21"/>
                      <w:lang w:eastAsia="zh-CN"/>
                    </w:rPr>
                    <w:t>包装机</w:t>
                  </w:r>
                  <w:r>
                    <w:rPr>
                      <w:rFonts w:hint="eastAsia" w:cs="Times New Roman"/>
                      <w:color w:val="auto"/>
                      <w:sz w:val="21"/>
                      <w:lang w:val="en-US" w:eastAsia="zh-CN"/>
                    </w:rPr>
                    <w:t>分别设置1套“1个集气罩+</w:t>
                  </w:r>
                  <w:r>
                    <w:rPr>
                      <w:rFonts w:hint="default" w:ascii="Times New Roman" w:hAnsi="Times New Roman" w:eastAsia="宋体" w:cs="Times New Roman"/>
                      <w:color w:val="auto"/>
                      <w:sz w:val="21"/>
                      <w:lang w:val="en-US" w:eastAsia="zh-CN"/>
                    </w:rPr>
                    <w:t>旋风除尘系统</w:t>
                  </w:r>
                  <w:r>
                    <w:rPr>
                      <w:rFonts w:hint="eastAsia" w:cs="Times New Roman"/>
                      <w:color w:val="auto"/>
                      <w:sz w:val="21"/>
                      <w:lang w:val="en-US" w:eastAsia="zh-CN"/>
                    </w:rPr>
                    <w:t>”</w:t>
                  </w:r>
                  <w:r>
                    <w:rPr>
                      <w:rFonts w:hint="default" w:ascii="Times New Roman" w:hAnsi="Times New Roman" w:eastAsia="宋体" w:cs="Times New Roman"/>
                      <w:color w:val="auto"/>
                      <w:sz w:val="21"/>
                      <w:lang w:val="en-US" w:eastAsia="zh-CN"/>
                    </w:rPr>
                    <w:t>收集包装环节产生的粉尘</w:t>
                  </w:r>
                  <w:r>
                    <w:rPr>
                      <w:rFonts w:hint="eastAsia" w:cs="Times New Roman"/>
                      <w:color w:val="auto"/>
                      <w:sz w:val="21"/>
                      <w:lang w:val="en-US" w:eastAsia="zh-CN"/>
                    </w:rPr>
                    <w:t>，</w:t>
                  </w:r>
                  <w:r>
                    <w:rPr>
                      <w:rFonts w:hint="eastAsia" w:ascii="Times New Roman" w:hAnsi="Times New Roman" w:eastAsia="宋体" w:cs="Times New Roman"/>
                      <w:color w:val="auto"/>
                      <w:sz w:val="21"/>
                      <w:lang w:val="en-US" w:eastAsia="zh-CN"/>
                    </w:rPr>
                    <w:t>集气罩收集效率80%，去除效率</w:t>
                  </w:r>
                  <w:r>
                    <w:rPr>
                      <w:rFonts w:hint="eastAsia" w:cs="Times New Roman"/>
                      <w:color w:val="auto"/>
                      <w:sz w:val="21"/>
                      <w:lang w:val="en-US" w:eastAsia="zh-CN"/>
                    </w:rPr>
                    <w:t>60</w:t>
                  </w:r>
                  <w:r>
                    <w:rPr>
                      <w:rFonts w:hint="eastAsia" w:ascii="Times New Roman" w:hAnsi="Times New Roman" w:eastAsia="宋体" w:cs="Times New Roman"/>
                      <w:color w:val="auto"/>
                      <w:sz w:val="21"/>
                      <w:lang w:val="en-US" w:eastAsia="zh-CN"/>
                    </w:rPr>
                    <w:t>%。</w:t>
                  </w:r>
                </w:p>
              </w:tc>
              <w:tc>
                <w:tcPr>
                  <w:tcW w:w="777" w:type="pct"/>
                  <w:vAlign w:val="center"/>
                </w:tcPr>
                <w:p w14:paraId="232D8474">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新建</w:t>
                  </w:r>
                </w:p>
              </w:tc>
            </w:tr>
            <w:tr w14:paraId="312CD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Pr>
                <w:p w14:paraId="01A0F6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
                      <w:szCs w:val="2"/>
                    </w:rPr>
                  </w:pPr>
                </w:p>
              </w:tc>
              <w:tc>
                <w:tcPr>
                  <w:tcW w:w="312" w:type="pct"/>
                  <w:vMerge w:val="restart"/>
                  <w:vAlign w:val="center"/>
                </w:tcPr>
                <w:p w14:paraId="3A0212D1">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固废</w:t>
                  </w:r>
                </w:p>
              </w:tc>
              <w:tc>
                <w:tcPr>
                  <w:tcW w:w="853" w:type="pct"/>
                  <w:vAlign w:val="center"/>
                </w:tcPr>
                <w:p w14:paraId="5649655D">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leftChars="0" w:right="0" w:rightChars="0"/>
                    <w:jc w:val="center"/>
                    <w:textAlignment w:val="auto"/>
                    <w:rPr>
                      <w:rFonts w:hint="default" w:ascii="Times New Roman" w:hAnsi="Times New Roman" w:eastAsia="宋体" w:cs="Times New Roman"/>
                      <w:color w:val="auto"/>
                      <w:sz w:val="21"/>
                      <w:lang w:eastAsia="zh-CN"/>
                    </w:rPr>
                  </w:pPr>
                  <w:r>
                    <w:rPr>
                      <w:rFonts w:hint="eastAsia" w:cs="Times New Roman"/>
                      <w:color w:val="auto"/>
                      <w:sz w:val="21"/>
                      <w:lang w:eastAsia="zh-CN"/>
                    </w:rPr>
                    <w:t>多个生活垃圾桶</w:t>
                  </w:r>
                </w:p>
              </w:tc>
              <w:tc>
                <w:tcPr>
                  <w:tcW w:w="2836" w:type="pct"/>
                  <w:vAlign w:val="center"/>
                </w:tcPr>
                <w:p w14:paraId="7A793A10">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eastAsia" w:cs="Times New Roman"/>
                      <w:color w:val="auto"/>
                      <w:sz w:val="21"/>
                      <w:lang w:eastAsia="zh-CN"/>
                    </w:rPr>
                    <w:t>厂区内设置多个生活垃圾桶，用于收集产生的生活垃圾。</w:t>
                  </w:r>
                </w:p>
              </w:tc>
              <w:tc>
                <w:tcPr>
                  <w:tcW w:w="777" w:type="pct"/>
                  <w:vAlign w:val="center"/>
                </w:tcPr>
                <w:p w14:paraId="0C92D392">
                  <w:pPr>
                    <w:keepNext w:val="0"/>
                    <w:keepLines w:val="0"/>
                    <w:suppressLineNumbers w:val="0"/>
                    <w:spacing w:before="20"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2CEFC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Pr>
                <w:p w14:paraId="440C93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
                      <w:szCs w:val="2"/>
                    </w:rPr>
                  </w:pPr>
                </w:p>
              </w:tc>
              <w:tc>
                <w:tcPr>
                  <w:tcW w:w="312" w:type="pct"/>
                  <w:vMerge w:val="continue"/>
                  <w:vAlign w:val="center"/>
                </w:tcPr>
                <w:p w14:paraId="0DDF87EC">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rPr>
                  </w:pPr>
                </w:p>
              </w:tc>
              <w:tc>
                <w:tcPr>
                  <w:tcW w:w="853" w:type="pct"/>
                  <w:vAlign w:val="center"/>
                </w:tcPr>
                <w:p w14:paraId="372020ED">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一般固废间</w:t>
                  </w:r>
                </w:p>
              </w:tc>
              <w:tc>
                <w:tcPr>
                  <w:tcW w:w="2836" w:type="pct"/>
                  <w:vAlign w:val="center"/>
                </w:tcPr>
                <w:p w14:paraId="28176143">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厂区内已建成</w:t>
                  </w:r>
                  <w:r>
                    <w:rPr>
                      <w:rFonts w:hint="default" w:ascii="Times New Roman" w:hAnsi="Times New Roman" w:eastAsia="宋体" w:cs="Times New Roman"/>
                      <w:color w:val="auto"/>
                      <w:sz w:val="21"/>
                    </w:rPr>
                    <w:t>135m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lang w:eastAsia="zh-CN"/>
                    </w:rPr>
                    <w:t>的一般固废间</w:t>
                  </w:r>
                  <w:r>
                    <w:rPr>
                      <w:rFonts w:hint="default" w:ascii="Times New Roman" w:hAnsi="Times New Roman" w:eastAsia="宋体" w:cs="Times New Roman"/>
                      <w:color w:val="auto"/>
                      <w:sz w:val="21"/>
                    </w:rPr>
                    <w:t>，独立彩钢板厂房，主要贮存生产中</w:t>
                  </w:r>
                  <w:r>
                    <w:rPr>
                      <w:rFonts w:hint="default" w:ascii="Times New Roman" w:hAnsi="Times New Roman" w:eastAsia="宋体" w:cs="Times New Roman"/>
                      <w:color w:val="auto"/>
                      <w:sz w:val="21"/>
                      <w:lang w:eastAsia="zh-CN"/>
                    </w:rPr>
                    <w:t>废包装材料、包装桶</w:t>
                  </w:r>
                  <w:r>
                    <w:rPr>
                      <w:rFonts w:hint="default" w:ascii="Times New Roman" w:hAnsi="Times New Roman" w:eastAsia="宋体" w:cs="Times New Roman"/>
                      <w:color w:val="auto"/>
                      <w:sz w:val="21"/>
                    </w:rPr>
                    <w:t>等</w:t>
                  </w:r>
                  <w:r>
                    <w:rPr>
                      <w:rFonts w:hint="default" w:ascii="Times New Roman" w:hAnsi="Times New Roman" w:eastAsia="宋体" w:cs="Times New Roman"/>
                      <w:color w:val="auto"/>
                      <w:sz w:val="21"/>
                      <w:lang w:eastAsia="zh-CN"/>
                    </w:rPr>
                    <w:t>一般固体废物</w:t>
                  </w:r>
                  <w:r>
                    <w:rPr>
                      <w:rFonts w:hint="default" w:ascii="Times New Roman" w:hAnsi="Times New Roman" w:eastAsia="宋体" w:cs="Times New Roman"/>
                      <w:color w:val="auto"/>
                      <w:sz w:val="21"/>
                    </w:rPr>
                    <w:t>。</w:t>
                  </w:r>
                </w:p>
              </w:tc>
              <w:tc>
                <w:tcPr>
                  <w:tcW w:w="777" w:type="pct"/>
                  <w:vAlign w:val="center"/>
                </w:tcPr>
                <w:p w14:paraId="03C38724">
                  <w:pPr>
                    <w:keepNext w:val="0"/>
                    <w:keepLines w:val="0"/>
                    <w:suppressLineNumbers w:val="0"/>
                    <w:spacing w:before="20"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6924B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Pr>
                <w:p w14:paraId="7516F8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
                      <w:szCs w:val="2"/>
                    </w:rPr>
                  </w:pPr>
                </w:p>
              </w:tc>
              <w:tc>
                <w:tcPr>
                  <w:tcW w:w="312" w:type="pct"/>
                  <w:vMerge w:val="continue"/>
                  <w:vAlign w:val="center"/>
                </w:tcPr>
                <w:p w14:paraId="025E72C8">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rPr>
                  </w:pPr>
                </w:p>
              </w:tc>
              <w:tc>
                <w:tcPr>
                  <w:tcW w:w="853" w:type="pct"/>
                  <w:vAlign w:val="center"/>
                </w:tcPr>
                <w:p w14:paraId="0515C1B2">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危废暂存间</w:t>
                  </w:r>
                </w:p>
              </w:tc>
              <w:tc>
                <w:tcPr>
                  <w:tcW w:w="2836" w:type="pct"/>
                  <w:vAlign w:val="center"/>
                </w:tcPr>
                <w:p w14:paraId="204649F7">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本次扩建，拟在甲类仓库隔出1间面积为15</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lang w:val="en-US" w:eastAsia="zh-CN"/>
                    </w:rPr>
                    <w:t>的危险废物暂存间，用于暂存废机油、润滑油等危险废物，危废间严格按照《危险废物贮存污染控制标准》（GB18597-2001）及其修改单要求中相关要求规范设置。</w:t>
                  </w:r>
                </w:p>
              </w:tc>
              <w:tc>
                <w:tcPr>
                  <w:tcW w:w="777" w:type="pct"/>
                  <w:vAlign w:val="center"/>
                </w:tcPr>
                <w:p w14:paraId="2B5FBE31">
                  <w:pPr>
                    <w:pStyle w:val="41"/>
                    <w:keepNext w:val="0"/>
                    <w:keepLines w:val="0"/>
                    <w:suppressLineNumbers w:val="0"/>
                    <w:spacing w:before="20" w:beforeAutospacing="0" w:after="0" w:afterAutospacing="0" w:line="240" w:lineRule="auto"/>
                    <w:ind w:left="108" w:right="0"/>
                    <w:jc w:val="center"/>
                    <w:rPr>
                      <w:rFonts w:hint="default" w:ascii="Times New Roman" w:hAnsi="Times New Roman" w:eastAsia="宋体" w:cs="Times New Roman"/>
                      <w:color w:val="auto"/>
                      <w:sz w:val="21"/>
                      <w:lang w:eastAsia="zh-CN"/>
                    </w:rPr>
                  </w:pPr>
                  <w:r>
                    <w:rPr>
                      <w:rFonts w:hint="eastAsia" w:cs="Times New Roman"/>
                      <w:color w:val="auto"/>
                      <w:sz w:val="21"/>
                      <w:lang w:val="en-US" w:eastAsia="zh-CN"/>
                    </w:rPr>
                    <w:t>以新代老提出，新建</w:t>
                  </w:r>
                </w:p>
              </w:tc>
            </w:tr>
            <w:tr w14:paraId="6BD10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Pr>
                <w:p w14:paraId="2429B5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
                      <w:szCs w:val="2"/>
                    </w:rPr>
                  </w:pPr>
                </w:p>
              </w:tc>
              <w:tc>
                <w:tcPr>
                  <w:tcW w:w="312" w:type="pct"/>
                  <w:vAlign w:val="center"/>
                </w:tcPr>
                <w:p w14:paraId="1FFD8D46">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eastAsia"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eastAsia="zh-CN"/>
                    </w:rPr>
                    <w:t>噪声</w:t>
                  </w:r>
                </w:p>
              </w:tc>
              <w:tc>
                <w:tcPr>
                  <w:tcW w:w="3689" w:type="pct"/>
                  <w:gridSpan w:val="2"/>
                  <w:vAlign w:val="center"/>
                </w:tcPr>
                <w:p w14:paraId="2E5038FA">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aps w:val="0"/>
                      <w:color w:val="auto"/>
                      <w:spacing w:val="0"/>
                      <w:position w:val="0"/>
                      <w:sz w:val="21"/>
                      <w:szCs w:val="21"/>
                      <w:highlight w:val="none"/>
                      <w:lang w:eastAsia="zh-CN"/>
                    </w:rPr>
                    <w:t>选用低噪声设备</w:t>
                  </w:r>
                  <w:r>
                    <w:rPr>
                      <w:rFonts w:hint="eastAsia" w:cs="Times New Roman"/>
                      <w:caps w:val="0"/>
                      <w:color w:val="auto"/>
                      <w:spacing w:val="0"/>
                      <w:position w:val="0"/>
                      <w:sz w:val="21"/>
                      <w:szCs w:val="21"/>
                      <w:highlight w:val="none"/>
                      <w:lang w:eastAsia="zh-CN"/>
                    </w:rPr>
                    <w:t>、</w:t>
                  </w:r>
                  <w:r>
                    <w:rPr>
                      <w:rFonts w:hint="default" w:ascii="Times New Roman" w:hAnsi="Times New Roman" w:eastAsia="宋体" w:cs="Times New Roman"/>
                      <w:color w:val="auto"/>
                      <w:sz w:val="21"/>
                      <w:lang w:val="en-US" w:eastAsia="zh-CN"/>
                    </w:rPr>
                    <w:t>合理布局、厂房隔声</w:t>
                  </w:r>
                </w:p>
              </w:tc>
              <w:tc>
                <w:tcPr>
                  <w:tcW w:w="777" w:type="pct"/>
                  <w:vAlign w:val="center"/>
                </w:tcPr>
                <w:p w14:paraId="132E1FB4">
                  <w:pPr>
                    <w:pStyle w:val="41"/>
                    <w:keepNext w:val="0"/>
                    <w:keepLines w:val="0"/>
                    <w:suppressLineNumbers w:val="0"/>
                    <w:spacing w:before="20" w:beforeAutospacing="0" w:after="0" w:afterAutospacing="0" w:line="240" w:lineRule="auto"/>
                    <w:ind w:left="108" w:right="0"/>
                    <w:jc w:val="center"/>
                    <w:rPr>
                      <w:rFonts w:hint="default" w:ascii="Times New Roman" w:hAnsi="Times New Roman" w:eastAsia="宋体" w:cs="Times New Roman"/>
                      <w:color w:val="auto"/>
                      <w:sz w:val="21"/>
                      <w:lang w:eastAsia="zh-CN"/>
                    </w:rPr>
                  </w:pPr>
                  <w:r>
                    <w:rPr>
                      <w:rFonts w:hint="eastAsia" w:cs="Times New Roman"/>
                      <w:color w:val="auto"/>
                      <w:sz w:val="21"/>
                      <w:lang w:val="en-US" w:eastAsia="zh-CN"/>
                    </w:rPr>
                    <w:t>现有</w:t>
                  </w:r>
                </w:p>
              </w:tc>
            </w:tr>
          </w:tbl>
          <w:p w14:paraId="136FEE68">
            <w:pPr>
              <w:pStyle w:val="69"/>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ind w:left="0" w:right="0"/>
              <w:jc w:val="both"/>
              <w:textAlignment w:val="auto"/>
              <w:rPr>
                <w:rFonts w:hint="default"/>
                <w:color w:val="auto"/>
                <w:spacing w:val="-10"/>
                <w:lang w:val="en-US" w:eastAsia="zh-CN"/>
              </w:rPr>
            </w:pPr>
            <w:r>
              <w:rPr>
                <w:rFonts w:hint="eastAsia" w:cs="Times New Roman"/>
                <w:color w:val="auto"/>
                <w:kern w:val="2"/>
                <w:sz w:val="24"/>
                <w:szCs w:val="24"/>
                <w:lang w:val="en-US" w:eastAsia="zh-CN" w:bidi="ar-SA"/>
              </w:rPr>
              <w:t>厂区</w:t>
            </w:r>
            <w:r>
              <w:rPr>
                <w:rFonts w:hint="eastAsia" w:ascii="Times New Roman" w:hAnsi="Times New Roman" w:eastAsia="宋体" w:cs="Times New Roman"/>
                <w:color w:val="auto"/>
                <w:kern w:val="2"/>
                <w:sz w:val="24"/>
                <w:szCs w:val="24"/>
                <w:lang w:val="en-US" w:eastAsia="zh-CN" w:bidi="ar-SA"/>
              </w:rPr>
              <w:t>设置的甲类仓库主要</w:t>
            </w:r>
            <w:r>
              <w:rPr>
                <w:rFonts w:hint="eastAsia" w:cs="Times New Roman"/>
                <w:color w:val="auto"/>
                <w:kern w:val="2"/>
                <w:sz w:val="24"/>
                <w:szCs w:val="24"/>
                <w:lang w:val="en-US" w:eastAsia="zh-CN" w:bidi="ar-SA"/>
              </w:rPr>
              <w:t>用于</w:t>
            </w:r>
            <w:r>
              <w:rPr>
                <w:rFonts w:hint="eastAsia" w:ascii="Times New Roman" w:hAnsi="Times New Roman" w:eastAsia="宋体" w:cs="Times New Roman"/>
                <w:color w:val="auto"/>
                <w:kern w:val="2"/>
                <w:sz w:val="24"/>
                <w:szCs w:val="24"/>
                <w:lang w:val="en-US" w:eastAsia="zh-CN" w:bidi="ar-SA"/>
              </w:rPr>
              <w:t>成都公司生产的二代永得丽清透半光木器清漆、二代永得丽超白半光木器白漆、二代永得丽超白木器白底漆、PU5058 半光/亚光白漆固化剂、X200C 稀释剂-N等设计有机溶剂的产品</w:t>
            </w:r>
            <w:r>
              <w:rPr>
                <w:rFonts w:hint="eastAsia" w:cs="Times New Roman"/>
                <w:color w:val="auto"/>
                <w:kern w:val="2"/>
                <w:sz w:val="24"/>
                <w:szCs w:val="24"/>
                <w:lang w:val="en-US" w:eastAsia="zh-CN" w:bidi="ar-SA"/>
              </w:rPr>
              <w:t>暂存，暂存后直接外售，但本次扩建内容不涉及甲类仓库，甲类仓库内相关的环境风险物质</w:t>
            </w:r>
            <w:r>
              <w:rPr>
                <w:rFonts w:hint="eastAsia" w:ascii="Times New Roman" w:hAnsi="Times New Roman" w:eastAsia="宋体" w:cs="Times New Roman"/>
                <w:color w:val="auto"/>
                <w:kern w:val="2"/>
                <w:sz w:val="24"/>
                <w:szCs w:val="24"/>
                <w:lang w:val="en-US" w:eastAsia="zh-CN" w:bidi="ar-SA"/>
              </w:rPr>
              <w:t>最大</w:t>
            </w:r>
            <w:r>
              <w:rPr>
                <w:rFonts w:hint="eastAsia" w:cs="Times New Roman"/>
                <w:color w:val="auto"/>
                <w:kern w:val="2"/>
                <w:sz w:val="24"/>
                <w:szCs w:val="24"/>
                <w:lang w:val="en-US" w:eastAsia="zh-CN" w:bidi="ar-SA"/>
              </w:rPr>
              <w:t>暂</w:t>
            </w:r>
            <w:r>
              <w:rPr>
                <w:rFonts w:hint="eastAsia" w:ascii="Times New Roman" w:hAnsi="Times New Roman" w:eastAsia="宋体" w:cs="Times New Roman"/>
                <w:color w:val="auto"/>
                <w:kern w:val="2"/>
                <w:sz w:val="24"/>
                <w:szCs w:val="24"/>
                <w:lang w:val="en-US" w:eastAsia="zh-CN" w:bidi="ar-SA"/>
              </w:rPr>
              <w:t>存量</w:t>
            </w:r>
            <w:r>
              <w:rPr>
                <w:rFonts w:hint="eastAsia" w:cs="Times New Roman"/>
                <w:color w:val="auto"/>
                <w:kern w:val="2"/>
                <w:sz w:val="24"/>
                <w:szCs w:val="24"/>
                <w:lang w:val="en-US" w:eastAsia="zh-CN" w:bidi="ar-SA"/>
              </w:rPr>
              <w:t>不变。</w:t>
            </w:r>
          </w:p>
          <w:p w14:paraId="4D46B21C">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4、主要产品及产能</w:t>
            </w:r>
          </w:p>
          <w:p w14:paraId="4134F1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bookmarkStart w:id="5" w:name="_Toc14957202"/>
            <w:r>
              <w:rPr>
                <w:rFonts w:hint="default" w:ascii="Times New Roman" w:hAnsi="Times New Roman" w:eastAsia="宋体" w:cs="Times New Roman"/>
                <w:color w:val="auto"/>
                <w:sz w:val="24"/>
                <w:szCs w:val="24"/>
                <w:lang w:val="en-US" w:eastAsia="zh-CN"/>
              </w:rPr>
              <w:t>本项目建成后，全厂生产水性涂料100000吨/年、腻子粉120000吨/年。</w:t>
            </w:r>
            <w:bookmarkEnd w:id="5"/>
          </w:p>
          <w:p w14:paraId="0EF1A6EF">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zh-CN" w:eastAsia="zh-CN" w:bidi="ar-SA"/>
              </w:rPr>
              <w:t>表</w:t>
            </w:r>
            <w:r>
              <w:rPr>
                <w:rFonts w:hint="default" w:ascii="Times New Roman" w:hAnsi="Times New Roman" w:eastAsia="宋体" w:cs="Times New Roman"/>
                <w:b/>
                <w:bCs/>
                <w:color w:val="auto"/>
                <w:kern w:val="2"/>
                <w:sz w:val="21"/>
                <w:szCs w:val="21"/>
                <w:highlight w:val="none"/>
                <w:lang w:val="en-US" w:eastAsia="zh-CN" w:bidi="ar-SA"/>
              </w:rPr>
              <w:t>2-</w:t>
            </w:r>
            <w:r>
              <w:rPr>
                <w:rFonts w:hint="eastAsia"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 xml:space="preserve">  产品及产能一览表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1"/>
              <w:gridCol w:w="1288"/>
              <w:gridCol w:w="1915"/>
              <w:gridCol w:w="2629"/>
              <w:gridCol w:w="1692"/>
            </w:tblGrid>
            <w:tr w14:paraId="297FE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508" w:type="pct"/>
                </w:tcPr>
                <w:p w14:paraId="4B49D0CE">
                  <w:pPr>
                    <w:pStyle w:val="41"/>
                    <w:keepNext w:val="0"/>
                    <w:keepLines w:val="0"/>
                    <w:suppressLineNumbers w:val="0"/>
                    <w:spacing w:before="18" w:beforeAutospacing="0" w:after="0" w:afterAutospacing="0"/>
                    <w:ind w:left="178" w:right="169"/>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912" w:type="pct"/>
                  <w:gridSpan w:val="2"/>
                </w:tcPr>
                <w:p w14:paraId="3FE4F302">
                  <w:pPr>
                    <w:pStyle w:val="41"/>
                    <w:keepNext w:val="0"/>
                    <w:keepLines w:val="0"/>
                    <w:suppressLineNumbers w:val="0"/>
                    <w:spacing w:before="18" w:beforeAutospacing="0" w:after="0" w:afterAutospacing="0"/>
                    <w:ind w:left="1305" w:right="1296"/>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名称</w:t>
                  </w:r>
                </w:p>
              </w:tc>
              <w:tc>
                <w:tcPr>
                  <w:tcW w:w="1569" w:type="pct"/>
                </w:tcPr>
                <w:p w14:paraId="4DB74248">
                  <w:pPr>
                    <w:pStyle w:val="41"/>
                    <w:keepNext w:val="0"/>
                    <w:keepLines w:val="0"/>
                    <w:suppressLineNumbers w:val="0"/>
                    <w:spacing w:before="18" w:beforeAutospacing="0" w:after="0" w:afterAutospacing="0"/>
                    <w:ind w:left="715" w:right="705"/>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数量（吨）</w:t>
                  </w:r>
                </w:p>
              </w:tc>
              <w:tc>
                <w:tcPr>
                  <w:tcW w:w="1010" w:type="pct"/>
                </w:tcPr>
                <w:p w14:paraId="6D98649F">
                  <w:pPr>
                    <w:pStyle w:val="41"/>
                    <w:keepNext w:val="0"/>
                    <w:keepLines w:val="0"/>
                    <w:suppressLineNumbers w:val="0"/>
                    <w:spacing w:before="18" w:beforeAutospacing="0" w:after="0" w:afterAutospacing="0"/>
                    <w:ind w:left="46" w:right="3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备注</w:t>
                  </w:r>
                </w:p>
              </w:tc>
            </w:tr>
            <w:tr w14:paraId="4816C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8" w:type="pct"/>
                  <w:vMerge w:val="restart"/>
                  <w:vAlign w:val="center"/>
                </w:tcPr>
                <w:p w14:paraId="16B18F74">
                  <w:pPr>
                    <w:pStyle w:val="41"/>
                    <w:keepNext w:val="0"/>
                    <w:keepLines w:val="0"/>
                    <w:suppressLineNumbers w:val="0"/>
                    <w:spacing w:before="23" w:beforeAutospacing="0" w:after="0" w:afterAutospacing="0"/>
                    <w:ind w:left="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w w:val="100"/>
                      <w:sz w:val="21"/>
                    </w:rPr>
                    <w:t>1</w:t>
                  </w:r>
                </w:p>
              </w:tc>
              <w:tc>
                <w:tcPr>
                  <w:tcW w:w="769" w:type="pct"/>
                  <w:vMerge w:val="restart"/>
                  <w:vAlign w:val="center"/>
                </w:tcPr>
                <w:p w14:paraId="04DBD1DB">
                  <w:pPr>
                    <w:pStyle w:val="41"/>
                    <w:keepNext w:val="0"/>
                    <w:keepLines w:val="0"/>
                    <w:suppressLineNumbers w:val="0"/>
                    <w:spacing w:before="23" w:beforeAutospacing="0" w:after="0" w:afterAutospacing="0"/>
                    <w:ind w:left="196"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水性涂料</w:t>
                  </w:r>
                </w:p>
              </w:tc>
              <w:tc>
                <w:tcPr>
                  <w:tcW w:w="1143" w:type="pct"/>
                </w:tcPr>
                <w:p w14:paraId="5FECBC8D">
                  <w:pPr>
                    <w:pStyle w:val="41"/>
                    <w:keepNext w:val="0"/>
                    <w:keepLines w:val="0"/>
                    <w:suppressLineNumbers w:val="0"/>
                    <w:spacing w:before="23" w:beforeAutospacing="0" w:after="0" w:afterAutospacing="0" w:line="269" w:lineRule="exact"/>
                    <w:ind w:left="371" w:right="36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水性乳胶漆</w:t>
                  </w:r>
                </w:p>
              </w:tc>
              <w:tc>
                <w:tcPr>
                  <w:tcW w:w="1569" w:type="pct"/>
                </w:tcPr>
                <w:p w14:paraId="21838E59">
                  <w:pPr>
                    <w:pStyle w:val="41"/>
                    <w:keepNext w:val="0"/>
                    <w:keepLines w:val="0"/>
                    <w:suppressLineNumbers w:val="0"/>
                    <w:tabs>
                      <w:tab w:val="left" w:pos="510"/>
                      <w:tab w:val="center" w:pos="1322"/>
                    </w:tabs>
                    <w:spacing w:before="23" w:beforeAutospacing="0" w:after="0" w:afterAutospacing="0" w:line="269" w:lineRule="exact"/>
                    <w:ind w:left="715" w:right="70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ab/>
                  </w:r>
                  <w:r>
                    <w:rPr>
                      <w:rFonts w:hint="default" w:ascii="Times New Roman" w:hAnsi="Times New Roman" w:eastAsia="宋体" w:cs="Times New Roman"/>
                      <w:color w:val="auto"/>
                      <w:sz w:val="21"/>
                      <w:lang w:val="en-US" w:eastAsia="zh-CN"/>
                    </w:rPr>
                    <w:t>7500</w:t>
                  </w:r>
                  <w:r>
                    <w:rPr>
                      <w:rFonts w:hint="eastAsia" w:cs="Times New Roman"/>
                      <w:color w:val="auto"/>
                      <w:sz w:val="21"/>
                      <w:lang w:val="en-US" w:eastAsia="zh-CN"/>
                    </w:rPr>
                    <w:t>0</w:t>
                  </w:r>
                </w:p>
              </w:tc>
              <w:tc>
                <w:tcPr>
                  <w:tcW w:w="1010" w:type="pct"/>
                </w:tcPr>
                <w:p w14:paraId="1C580366">
                  <w:pPr>
                    <w:pStyle w:val="41"/>
                    <w:keepNext w:val="0"/>
                    <w:keepLines w:val="0"/>
                    <w:suppressLineNumbers w:val="0"/>
                    <w:spacing w:before="23" w:beforeAutospacing="0" w:after="0" w:afterAutospacing="0" w:line="269" w:lineRule="exact"/>
                    <w:ind w:left="42" w:right="3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白色系</w:t>
                  </w:r>
                </w:p>
              </w:tc>
            </w:tr>
            <w:tr w14:paraId="3762D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08" w:type="pct"/>
                  <w:vMerge w:val="continue"/>
                  <w:tcBorders>
                    <w:top w:val="nil"/>
                  </w:tcBorders>
                </w:tcPr>
                <w:p w14:paraId="52F26AC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
                      <w:szCs w:val="2"/>
                    </w:rPr>
                  </w:pPr>
                </w:p>
              </w:tc>
              <w:tc>
                <w:tcPr>
                  <w:tcW w:w="769" w:type="pct"/>
                  <w:vMerge w:val="continue"/>
                  <w:tcBorders>
                    <w:top w:val="nil"/>
                  </w:tcBorders>
                </w:tcPr>
                <w:p w14:paraId="0C749B1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
                      <w:szCs w:val="2"/>
                    </w:rPr>
                  </w:pPr>
                </w:p>
              </w:tc>
              <w:tc>
                <w:tcPr>
                  <w:tcW w:w="1143" w:type="pct"/>
                </w:tcPr>
                <w:p w14:paraId="5372A71D">
                  <w:pPr>
                    <w:pStyle w:val="41"/>
                    <w:keepNext w:val="0"/>
                    <w:keepLines w:val="0"/>
                    <w:suppressLineNumbers w:val="0"/>
                    <w:spacing w:before="23" w:beforeAutospacing="0" w:after="0" w:afterAutospacing="0"/>
                    <w:ind w:left="371" w:right="36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砂壁</w:t>
                  </w:r>
                </w:p>
              </w:tc>
              <w:tc>
                <w:tcPr>
                  <w:tcW w:w="1569" w:type="pct"/>
                </w:tcPr>
                <w:p w14:paraId="551D5B1B">
                  <w:pPr>
                    <w:pStyle w:val="41"/>
                    <w:keepNext w:val="0"/>
                    <w:keepLines w:val="0"/>
                    <w:suppressLineNumbers w:val="0"/>
                    <w:spacing w:before="23" w:beforeAutospacing="0" w:after="0" w:afterAutospacing="0"/>
                    <w:ind w:left="715" w:right="70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25000</w:t>
                  </w:r>
                </w:p>
              </w:tc>
              <w:tc>
                <w:tcPr>
                  <w:tcW w:w="1010" w:type="pct"/>
                </w:tcPr>
                <w:p w14:paraId="3CE965C7">
                  <w:pPr>
                    <w:pStyle w:val="41"/>
                    <w:keepNext w:val="0"/>
                    <w:keepLines w:val="0"/>
                    <w:suppressLineNumbers w:val="0"/>
                    <w:spacing w:before="23" w:beforeAutospacing="0" w:after="0" w:afterAutospacing="0"/>
                    <w:ind w:left="42" w:right="3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黄、红、黑色系</w:t>
                  </w:r>
                </w:p>
              </w:tc>
            </w:tr>
            <w:tr w14:paraId="66BDD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8" w:type="pct"/>
                </w:tcPr>
                <w:p w14:paraId="36E3A29B">
                  <w:pPr>
                    <w:pStyle w:val="41"/>
                    <w:keepNext w:val="0"/>
                    <w:keepLines w:val="0"/>
                    <w:suppressLineNumbers w:val="0"/>
                    <w:spacing w:before="22" w:beforeAutospacing="0" w:after="0" w:afterAutospacing="0"/>
                    <w:ind w:left="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w w:val="100"/>
                      <w:sz w:val="21"/>
                    </w:rPr>
                    <w:t>2</w:t>
                  </w:r>
                </w:p>
              </w:tc>
              <w:tc>
                <w:tcPr>
                  <w:tcW w:w="1912" w:type="pct"/>
                  <w:gridSpan w:val="2"/>
                </w:tcPr>
                <w:p w14:paraId="3A6692B8">
                  <w:pPr>
                    <w:pStyle w:val="41"/>
                    <w:keepNext w:val="0"/>
                    <w:keepLines w:val="0"/>
                    <w:suppressLineNumbers w:val="0"/>
                    <w:spacing w:before="22" w:beforeAutospacing="0" w:after="0" w:afterAutospacing="0"/>
                    <w:ind w:left="1007" w:right="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腻子粉涂料</w:t>
                  </w:r>
                </w:p>
              </w:tc>
              <w:tc>
                <w:tcPr>
                  <w:tcW w:w="1569" w:type="pct"/>
                </w:tcPr>
                <w:p w14:paraId="3BEBE45A">
                  <w:pPr>
                    <w:pStyle w:val="41"/>
                    <w:keepNext w:val="0"/>
                    <w:keepLines w:val="0"/>
                    <w:suppressLineNumbers w:val="0"/>
                    <w:spacing w:before="22" w:beforeAutospacing="0" w:after="0" w:afterAutospacing="0"/>
                    <w:ind w:left="715" w:right="70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12000</w:t>
                  </w:r>
                  <w:r>
                    <w:rPr>
                      <w:rFonts w:hint="eastAsia" w:cs="Times New Roman"/>
                      <w:color w:val="auto"/>
                      <w:sz w:val="21"/>
                      <w:lang w:val="en-US" w:eastAsia="zh-CN"/>
                    </w:rPr>
                    <w:t>0</w:t>
                  </w:r>
                </w:p>
              </w:tc>
              <w:tc>
                <w:tcPr>
                  <w:tcW w:w="1010" w:type="pct"/>
                </w:tcPr>
                <w:p w14:paraId="2ACB7EB9">
                  <w:pPr>
                    <w:pStyle w:val="41"/>
                    <w:keepNext w:val="0"/>
                    <w:keepLines w:val="0"/>
                    <w:suppressLineNumbers w:val="0"/>
                    <w:spacing w:before="22" w:beforeAutospacing="0" w:after="0" w:afterAutospacing="0"/>
                    <w:ind w:left="42" w:right="3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白色系</w:t>
                  </w:r>
                </w:p>
              </w:tc>
            </w:tr>
            <w:tr w14:paraId="4857D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8" w:type="pct"/>
                </w:tcPr>
                <w:p w14:paraId="3D0AC2E4">
                  <w:pPr>
                    <w:pStyle w:val="41"/>
                    <w:keepNext w:val="0"/>
                    <w:keepLines w:val="0"/>
                    <w:suppressLineNumbers w:val="0"/>
                    <w:spacing w:before="22" w:beforeAutospacing="0" w:after="0" w:afterAutospacing="0"/>
                    <w:ind w:left="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w w:val="100"/>
                      <w:sz w:val="21"/>
                    </w:rPr>
                    <w:t>3</w:t>
                  </w:r>
                </w:p>
              </w:tc>
              <w:tc>
                <w:tcPr>
                  <w:tcW w:w="1912" w:type="pct"/>
                  <w:gridSpan w:val="2"/>
                </w:tcPr>
                <w:p w14:paraId="47EDFF51">
                  <w:pPr>
                    <w:pStyle w:val="41"/>
                    <w:keepNext w:val="0"/>
                    <w:keepLines w:val="0"/>
                    <w:suppressLineNumbers w:val="0"/>
                    <w:spacing w:before="22" w:beforeAutospacing="0" w:after="0" w:afterAutospacing="0"/>
                    <w:ind w:left="1305" w:right="1296"/>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总计</w:t>
                  </w:r>
                </w:p>
              </w:tc>
              <w:tc>
                <w:tcPr>
                  <w:tcW w:w="1569" w:type="pct"/>
                </w:tcPr>
                <w:p w14:paraId="3B469599">
                  <w:pPr>
                    <w:pStyle w:val="41"/>
                    <w:keepNext w:val="0"/>
                    <w:keepLines w:val="0"/>
                    <w:suppressLineNumbers w:val="0"/>
                    <w:spacing w:before="22" w:beforeAutospacing="0" w:after="0" w:afterAutospacing="0"/>
                    <w:ind w:left="715" w:right="70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220000</w:t>
                  </w:r>
                </w:p>
              </w:tc>
              <w:tc>
                <w:tcPr>
                  <w:tcW w:w="1010" w:type="pct"/>
                </w:tcPr>
                <w:p w14:paraId="5F1A6D1C">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lang w:val="en-US" w:eastAsia="zh-CN"/>
                    </w:rPr>
                  </w:pPr>
                  <w:r>
                    <w:rPr>
                      <w:rFonts w:hint="default" w:ascii="Times New Roman" w:hAnsi="Times New Roman" w:eastAsia="宋体" w:cs="Times New Roman"/>
                      <w:color w:val="auto"/>
                      <w:sz w:val="22"/>
                      <w:lang w:val="en-US" w:eastAsia="zh-CN"/>
                    </w:rPr>
                    <w:t>/</w:t>
                  </w:r>
                </w:p>
              </w:tc>
            </w:tr>
          </w:tbl>
          <w:p w14:paraId="766A8ACB">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6、主要生产设施及设施参数</w:t>
            </w:r>
          </w:p>
          <w:p w14:paraId="77D4A1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本项目建成后，</w:t>
            </w:r>
            <w:r>
              <w:rPr>
                <w:rFonts w:hint="eastAsia" w:cs="Times New Roman"/>
                <w:color w:val="auto"/>
                <w:sz w:val="24"/>
                <w:szCs w:val="24"/>
                <w:lang w:val="en-US" w:eastAsia="zh-CN"/>
              </w:rPr>
              <w:t>厂区</w:t>
            </w:r>
            <w:r>
              <w:rPr>
                <w:rFonts w:hint="default" w:ascii="Times New Roman" w:hAnsi="Times New Roman" w:eastAsia="宋体" w:cs="Times New Roman"/>
                <w:color w:val="auto"/>
                <w:sz w:val="24"/>
                <w:szCs w:val="24"/>
                <w:lang w:val="en-US" w:eastAsia="zh-CN"/>
              </w:rPr>
              <w:t>主要</w:t>
            </w:r>
            <w:r>
              <w:rPr>
                <w:rFonts w:hint="eastAsia" w:cs="Times New Roman"/>
                <w:color w:val="auto"/>
                <w:sz w:val="24"/>
                <w:szCs w:val="24"/>
                <w:lang w:val="en-US" w:eastAsia="zh-CN"/>
              </w:rPr>
              <w:t>生产</w:t>
            </w:r>
            <w:r>
              <w:rPr>
                <w:rFonts w:hint="default" w:ascii="Times New Roman" w:hAnsi="Times New Roman" w:eastAsia="宋体" w:cs="Times New Roman"/>
                <w:color w:val="auto"/>
                <w:sz w:val="24"/>
                <w:szCs w:val="24"/>
                <w:lang w:val="en-US" w:eastAsia="zh-CN"/>
              </w:rPr>
              <w:t>设备见表2-4。</w:t>
            </w:r>
          </w:p>
          <w:p w14:paraId="33C17B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表2-4  </w:t>
            </w:r>
            <w:r>
              <w:rPr>
                <w:rFonts w:hint="eastAsia" w:cs="Times New Roman"/>
                <w:b/>
                <w:bCs/>
                <w:color w:val="auto"/>
                <w:sz w:val="21"/>
                <w:szCs w:val="21"/>
                <w:lang w:val="en-US" w:eastAsia="zh-CN"/>
              </w:rPr>
              <w:t xml:space="preserve"> 厂区</w:t>
            </w:r>
            <w:r>
              <w:rPr>
                <w:rFonts w:hint="default" w:ascii="Times New Roman" w:hAnsi="Times New Roman" w:eastAsia="宋体" w:cs="Times New Roman"/>
                <w:b/>
                <w:bCs/>
                <w:color w:val="auto"/>
                <w:sz w:val="21"/>
                <w:szCs w:val="21"/>
                <w:lang w:val="en-US" w:eastAsia="zh-CN"/>
              </w:rPr>
              <w:t>主要</w:t>
            </w:r>
            <w:r>
              <w:rPr>
                <w:rFonts w:hint="eastAsia" w:cs="Times New Roman"/>
                <w:b/>
                <w:bCs/>
                <w:color w:val="auto"/>
                <w:sz w:val="21"/>
                <w:szCs w:val="21"/>
                <w:lang w:val="en-US" w:eastAsia="zh-CN"/>
              </w:rPr>
              <w:t>生产</w:t>
            </w:r>
            <w:r>
              <w:rPr>
                <w:rFonts w:hint="default" w:ascii="Times New Roman" w:hAnsi="Times New Roman" w:eastAsia="宋体" w:cs="Times New Roman"/>
                <w:b/>
                <w:bCs/>
                <w:color w:val="auto"/>
                <w:sz w:val="21"/>
                <w:szCs w:val="21"/>
                <w:lang w:val="en-US" w:eastAsia="zh-CN"/>
              </w:rPr>
              <w:t>设备</w:t>
            </w:r>
            <w:r>
              <w:rPr>
                <w:rFonts w:hint="eastAsia" w:cs="Times New Roman"/>
                <w:b/>
                <w:bCs/>
                <w:color w:val="auto"/>
                <w:sz w:val="21"/>
                <w:szCs w:val="21"/>
                <w:lang w:val="en-US" w:eastAsia="zh-CN"/>
              </w:rPr>
              <w:t>一览表</w:t>
            </w:r>
          </w:p>
          <w:tbl>
            <w:tblPr>
              <w:tblStyle w:val="2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29"/>
              <w:gridCol w:w="752"/>
              <w:gridCol w:w="1831"/>
              <w:gridCol w:w="1791"/>
              <w:gridCol w:w="1002"/>
              <w:gridCol w:w="707"/>
              <w:gridCol w:w="731"/>
              <w:gridCol w:w="732"/>
            </w:tblGrid>
            <w:tr w14:paraId="282CF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Align w:val="center"/>
                </w:tcPr>
                <w:p w14:paraId="0F87E6D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生产线</w:t>
                  </w:r>
                </w:p>
              </w:tc>
              <w:tc>
                <w:tcPr>
                  <w:tcW w:w="449" w:type="pct"/>
                  <w:vAlign w:val="center"/>
                </w:tcPr>
                <w:p w14:paraId="15EE98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093" w:type="pct"/>
                  <w:vAlign w:val="center"/>
                </w:tcPr>
                <w:p w14:paraId="7F9A4A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1069" w:type="pct"/>
                  <w:vAlign w:val="center"/>
                </w:tcPr>
                <w:p w14:paraId="4B7246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参数</w:t>
                  </w:r>
                </w:p>
              </w:tc>
              <w:tc>
                <w:tcPr>
                  <w:tcW w:w="598" w:type="pct"/>
                  <w:vAlign w:val="center"/>
                </w:tcPr>
                <w:p w14:paraId="04E644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w:t>
                  </w:r>
                </w:p>
              </w:tc>
              <w:tc>
                <w:tcPr>
                  <w:tcW w:w="422" w:type="pct"/>
                  <w:vAlign w:val="center"/>
                </w:tcPr>
                <w:p w14:paraId="0C7733A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436" w:type="pct"/>
                  <w:vAlign w:val="center"/>
                </w:tcPr>
                <w:p w14:paraId="11D06F0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436" w:type="pct"/>
                  <w:vAlign w:val="center"/>
                </w:tcPr>
                <w:p w14:paraId="61CD47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备注</w:t>
                  </w:r>
                </w:p>
              </w:tc>
            </w:tr>
            <w:tr w14:paraId="23880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restart"/>
                  <w:vAlign w:val="center"/>
                </w:tcPr>
                <w:p w14:paraId="7BF0E4A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水性乳胶漆生产线</w:t>
                  </w:r>
                </w:p>
              </w:tc>
              <w:tc>
                <w:tcPr>
                  <w:tcW w:w="449" w:type="pct"/>
                  <w:vAlign w:val="center"/>
                </w:tcPr>
                <w:p w14:paraId="158E26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1093" w:type="pct"/>
                  <w:vAlign w:val="center"/>
                </w:tcPr>
                <w:p w14:paraId="0B2A4F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69" w:type="pct"/>
                  <w:vAlign w:val="center"/>
                </w:tcPr>
                <w:p w14:paraId="6C27D3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8000L 缸</w:t>
                  </w:r>
                </w:p>
              </w:tc>
              <w:tc>
                <w:tcPr>
                  <w:tcW w:w="598" w:type="pct"/>
                  <w:vAlign w:val="center"/>
                </w:tcPr>
                <w:p w14:paraId="780974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250kw</w:t>
                  </w:r>
                </w:p>
              </w:tc>
              <w:tc>
                <w:tcPr>
                  <w:tcW w:w="422" w:type="pct"/>
                  <w:vAlign w:val="center"/>
                </w:tcPr>
                <w:p w14:paraId="5A889DA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0480588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restart"/>
                  <w:vAlign w:val="center"/>
                </w:tcPr>
                <w:p w14:paraId="62265E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lang w:eastAsia="zh-CN"/>
                    </w:rPr>
                    <w:t>原项目已建成</w:t>
                  </w:r>
                </w:p>
              </w:tc>
            </w:tr>
            <w:tr w14:paraId="0810C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76D2F7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35D98E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1093" w:type="pct"/>
                  <w:vAlign w:val="center"/>
                </w:tcPr>
                <w:p w14:paraId="4E4404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69" w:type="pct"/>
                  <w:vAlign w:val="center"/>
                </w:tcPr>
                <w:p w14:paraId="670E6D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10000L 缸</w:t>
                  </w:r>
                </w:p>
              </w:tc>
              <w:tc>
                <w:tcPr>
                  <w:tcW w:w="598" w:type="pct"/>
                  <w:vAlign w:val="center"/>
                </w:tcPr>
                <w:p w14:paraId="1186B5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45kw</w:t>
                  </w:r>
                </w:p>
              </w:tc>
              <w:tc>
                <w:tcPr>
                  <w:tcW w:w="422" w:type="pct"/>
                  <w:vAlign w:val="center"/>
                </w:tcPr>
                <w:p w14:paraId="76AA62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66B9C9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1FBF7F1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5578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05A33E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606A6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w w:val="100"/>
                      <w:sz w:val="21"/>
                      <w:szCs w:val="21"/>
                      <w:lang w:val="en-US" w:eastAsia="zh-CN"/>
                    </w:rPr>
                    <w:t>3</w:t>
                  </w:r>
                </w:p>
              </w:tc>
              <w:tc>
                <w:tcPr>
                  <w:tcW w:w="1093" w:type="pct"/>
                  <w:vAlign w:val="center"/>
                </w:tcPr>
                <w:p w14:paraId="782AE6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码垛机</w:t>
                  </w:r>
                </w:p>
              </w:tc>
              <w:tc>
                <w:tcPr>
                  <w:tcW w:w="1069" w:type="pct"/>
                  <w:vAlign w:val="center"/>
                </w:tcPr>
                <w:p w14:paraId="76BED7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8" w:type="pct"/>
                  <w:vAlign w:val="center"/>
                </w:tcPr>
                <w:p w14:paraId="329B247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10kw</w:t>
                  </w:r>
                </w:p>
              </w:tc>
              <w:tc>
                <w:tcPr>
                  <w:tcW w:w="422" w:type="pct"/>
                  <w:vAlign w:val="center"/>
                </w:tcPr>
                <w:p w14:paraId="046BC7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7A76B5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F5629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47802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6390F6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6402424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1093" w:type="pct"/>
                  <w:vAlign w:val="center"/>
                </w:tcPr>
                <w:p w14:paraId="0FDABA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原水罐</w:t>
                  </w:r>
                </w:p>
              </w:tc>
              <w:tc>
                <w:tcPr>
                  <w:tcW w:w="1069" w:type="pct"/>
                  <w:vAlign w:val="center"/>
                </w:tcPr>
                <w:p w14:paraId="37DDB0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 立方</w:t>
                  </w:r>
                </w:p>
              </w:tc>
              <w:tc>
                <w:tcPr>
                  <w:tcW w:w="598" w:type="pct"/>
                  <w:vAlign w:val="center"/>
                </w:tcPr>
                <w:p w14:paraId="398FC3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1B40B1A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C39E11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01C178A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8978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7EB849F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0C2551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1093" w:type="pct"/>
                  <w:vAlign w:val="center"/>
                </w:tcPr>
                <w:p w14:paraId="4BF8426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乳液罐（+泵）</w:t>
                  </w:r>
                </w:p>
              </w:tc>
              <w:tc>
                <w:tcPr>
                  <w:tcW w:w="1069" w:type="pct"/>
                  <w:vAlign w:val="center"/>
                </w:tcPr>
                <w:p w14:paraId="170D2A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 寸气动隔膜泵 30 立方</w:t>
                  </w:r>
                </w:p>
              </w:tc>
              <w:tc>
                <w:tcPr>
                  <w:tcW w:w="598" w:type="pct"/>
                  <w:vAlign w:val="center"/>
                </w:tcPr>
                <w:p w14:paraId="389779D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6AAFD6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60734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8</w:t>
                  </w:r>
                </w:p>
              </w:tc>
              <w:tc>
                <w:tcPr>
                  <w:tcW w:w="436" w:type="pct"/>
                  <w:vMerge w:val="continue"/>
                  <w:vAlign w:val="center"/>
                </w:tcPr>
                <w:p w14:paraId="4197459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42B23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63855D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BC9EAD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1093" w:type="pct"/>
                  <w:vAlign w:val="center"/>
                </w:tcPr>
                <w:p w14:paraId="2D5904B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CZ12 罐（+泵）</w:t>
                  </w:r>
                </w:p>
              </w:tc>
              <w:tc>
                <w:tcPr>
                  <w:tcW w:w="1069" w:type="pct"/>
                  <w:vAlign w:val="center"/>
                </w:tcPr>
                <w:p w14:paraId="28034C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齿轮泵 30 立方</w:t>
                  </w:r>
                </w:p>
              </w:tc>
              <w:tc>
                <w:tcPr>
                  <w:tcW w:w="598" w:type="pct"/>
                  <w:vAlign w:val="center"/>
                </w:tcPr>
                <w:p w14:paraId="488B753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4kw</w:t>
                  </w:r>
                </w:p>
              </w:tc>
              <w:tc>
                <w:tcPr>
                  <w:tcW w:w="422" w:type="pct"/>
                  <w:vAlign w:val="center"/>
                </w:tcPr>
                <w:p w14:paraId="411F69C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25037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A7C4F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06157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2F0CCE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031482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1093" w:type="pct"/>
                  <w:vAlign w:val="center"/>
                </w:tcPr>
                <w:p w14:paraId="5FB3CB6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乙二醇罐（+泵）</w:t>
                  </w:r>
                </w:p>
              </w:tc>
              <w:tc>
                <w:tcPr>
                  <w:tcW w:w="1069" w:type="pct"/>
                  <w:vAlign w:val="center"/>
                </w:tcPr>
                <w:p w14:paraId="43B8E28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齿轮泵 30 立方</w:t>
                  </w:r>
                </w:p>
              </w:tc>
              <w:tc>
                <w:tcPr>
                  <w:tcW w:w="598" w:type="pct"/>
                  <w:vAlign w:val="center"/>
                </w:tcPr>
                <w:p w14:paraId="0D45A22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4kw</w:t>
                  </w:r>
                </w:p>
              </w:tc>
              <w:tc>
                <w:tcPr>
                  <w:tcW w:w="422" w:type="pct"/>
                  <w:vAlign w:val="center"/>
                </w:tcPr>
                <w:p w14:paraId="3E111BC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5B6D93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4352934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09660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23B00E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BCF6CB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8</w:t>
                  </w:r>
                </w:p>
              </w:tc>
              <w:tc>
                <w:tcPr>
                  <w:tcW w:w="1093" w:type="pct"/>
                  <w:vAlign w:val="center"/>
                </w:tcPr>
                <w:p w14:paraId="00FF98A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高压水泵</w:t>
                  </w:r>
                </w:p>
              </w:tc>
              <w:tc>
                <w:tcPr>
                  <w:tcW w:w="1069" w:type="pct"/>
                  <w:vAlign w:val="center"/>
                </w:tcPr>
                <w:p w14:paraId="50D85D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8" w:type="pct"/>
                  <w:vAlign w:val="center"/>
                </w:tcPr>
                <w:p w14:paraId="760210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25kw</w:t>
                  </w:r>
                </w:p>
              </w:tc>
              <w:tc>
                <w:tcPr>
                  <w:tcW w:w="422" w:type="pct"/>
                  <w:vAlign w:val="center"/>
                </w:tcPr>
                <w:p w14:paraId="7BE470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2717F6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25ECBA2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8CB9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3DD991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4D38CCA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9</w:t>
                  </w:r>
                </w:p>
              </w:tc>
              <w:tc>
                <w:tcPr>
                  <w:tcW w:w="1093" w:type="pct"/>
                  <w:vAlign w:val="center"/>
                </w:tcPr>
                <w:p w14:paraId="07E60E7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投料口收尘处理装置</w:t>
                  </w:r>
                </w:p>
              </w:tc>
              <w:tc>
                <w:tcPr>
                  <w:tcW w:w="1069" w:type="pct"/>
                  <w:vAlign w:val="center"/>
                </w:tcPr>
                <w:p w14:paraId="5353ED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8" w:type="pct"/>
                  <w:vAlign w:val="center"/>
                </w:tcPr>
                <w:p w14:paraId="641DD2E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7949F4E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F781E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32D7AA6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06467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755ADE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2A5EA6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93" w:type="pct"/>
                  <w:vAlign w:val="center"/>
                </w:tcPr>
                <w:p w14:paraId="147482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乳液原料罐</w:t>
                  </w:r>
                </w:p>
              </w:tc>
              <w:tc>
                <w:tcPr>
                  <w:tcW w:w="1069" w:type="pct"/>
                  <w:vAlign w:val="center"/>
                </w:tcPr>
                <w:p w14:paraId="757D65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30m</w:t>
                  </w:r>
                  <w:r>
                    <w:rPr>
                      <w:rFonts w:hint="default" w:ascii="Times New Roman" w:hAnsi="Times New Roman" w:eastAsia="宋体" w:cs="Times New Roman"/>
                      <w:color w:val="auto"/>
                      <w:sz w:val="21"/>
                      <w:szCs w:val="21"/>
                      <w:vertAlign w:val="superscript"/>
                      <w:lang w:val="en-US" w:eastAsia="zh-CN"/>
                    </w:rPr>
                    <w:t>3</w:t>
                  </w:r>
                </w:p>
              </w:tc>
              <w:tc>
                <w:tcPr>
                  <w:tcW w:w="598" w:type="pct"/>
                  <w:vAlign w:val="center"/>
                </w:tcPr>
                <w:p w14:paraId="0115F96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148589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6C8D6F9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436" w:type="pct"/>
                  <w:vMerge w:val="continue"/>
                  <w:vAlign w:val="center"/>
                </w:tcPr>
                <w:p w14:paraId="52F453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12483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7BEFDC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D6426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093" w:type="pct"/>
                  <w:vAlign w:val="center"/>
                </w:tcPr>
                <w:p w14:paraId="5492C8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工艺水罐</w:t>
                  </w:r>
                </w:p>
              </w:tc>
              <w:tc>
                <w:tcPr>
                  <w:tcW w:w="1069" w:type="pct"/>
                  <w:vAlign w:val="center"/>
                </w:tcPr>
                <w:p w14:paraId="65A82D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50m</w:t>
                  </w:r>
                  <w:r>
                    <w:rPr>
                      <w:rFonts w:hint="default" w:ascii="Times New Roman" w:hAnsi="Times New Roman" w:eastAsia="宋体" w:cs="Times New Roman"/>
                      <w:color w:val="auto"/>
                      <w:sz w:val="21"/>
                      <w:szCs w:val="21"/>
                      <w:vertAlign w:val="superscript"/>
                      <w:lang w:val="en-US" w:eastAsia="zh-CN"/>
                    </w:rPr>
                    <w:t>3</w:t>
                  </w:r>
                </w:p>
              </w:tc>
              <w:tc>
                <w:tcPr>
                  <w:tcW w:w="598" w:type="pct"/>
                  <w:vAlign w:val="center"/>
                </w:tcPr>
                <w:p w14:paraId="4A2AE5A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39506DA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5EB3123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7A3DB0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6983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28BA0A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84F995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93" w:type="pct"/>
                  <w:vAlign w:val="center"/>
                </w:tcPr>
                <w:p w14:paraId="6BA2803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助剂原料罐</w:t>
                  </w:r>
                </w:p>
              </w:tc>
              <w:tc>
                <w:tcPr>
                  <w:tcW w:w="1069" w:type="pct"/>
                  <w:vAlign w:val="center"/>
                </w:tcPr>
                <w:p w14:paraId="657564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2000L</w:t>
                  </w:r>
                </w:p>
              </w:tc>
              <w:tc>
                <w:tcPr>
                  <w:tcW w:w="598" w:type="pct"/>
                  <w:vAlign w:val="center"/>
                </w:tcPr>
                <w:p w14:paraId="5E723F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247FD94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3EED67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436" w:type="pct"/>
                  <w:vMerge w:val="continue"/>
                  <w:vAlign w:val="center"/>
                </w:tcPr>
                <w:p w14:paraId="225C5D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AC09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5AE0CC3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332AB3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093" w:type="pct"/>
                  <w:vAlign w:val="center"/>
                </w:tcPr>
                <w:p w14:paraId="4CD7D0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助剂原料罐</w:t>
                  </w:r>
                </w:p>
              </w:tc>
              <w:tc>
                <w:tcPr>
                  <w:tcW w:w="1069" w:type="pct"/>
                  <w:vAlign w:val="center"/>
                </w:tcPr>
                <w:p w14:paraId="5C14FE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1000L</w:t>
                  </w:r>
                </w:p>
              </w:tc>
              <w:tc>
                <w:tcPr>
                  <w:tcW w:w="598" w:type="pct"/>
                  <w:vAlign w:val="center"/>
                </w:tcPr>
                <w:p w14:paraId="10C8EA7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422" w:type="pct"/>
                  <w:vAlign w:val="center"/>
                </w:tcPr>
                <w:p w14:paraId="301E6F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73713F6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6140058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D918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77BB07B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41A894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093" w:type="pct"/>
                  <w:vAlign w:val="center"/>
                </w:tcPr>
                <w:p w14:paraId="491062D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助剂原料罐</w:t>
                  </w:r>
                </w:p>
              </w:tc>
              <w:tc>
                <w:tcPr>
                  <w:tcW w:w="1069" w:type="pct"/>
                  <w:vAlign w:val="center"/>
                </w:tcPr>
                <w:p w14:paraId="3CC87F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1000L</w:t>
                  </w:r>
                </w:p>
              </w:tc>
              <w:tc>
                <w:tcPr>
                  <w:tcW w:w="598" w:type="pct"/>
                  <w:vAlign w:val="center"/>
                </w:tcPr>
                <w:p w14:paraId="024CD13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c>
                <w:tcPr>
                  <w:tcW w:w="422" w:type="pct"/>
                  <w:vAlign w:val="center"/>
                </w:tcPr>
                <w:p w14:paraId="46C1DF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777B972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436" w:type="pct"/>
                  <w:vMerge w:val="continue"/>
                  <w:vAlign w:val="center"/>
                </w:tcPr>
                <w:p w14:paraId="19B1DF5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1A2D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3E2258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4CC5290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093" w:type="pct"/>
                  <w:vAlign w:val="center"/>
                </w:tcPr>
                <w:p w14:paraId="3261EA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乳胶漆预混罐</w:t>
                  </w:r>
                </w:p>
              </w:tc>
              <w:tc>
                <w:tcPr>
                  <w:tcW w:w="1069" w:type="pct"/>
                  <w:vAlign w:val="center"/>
                </w:tcPr>
                <w:p w14:paraId="15D141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8000L</w:t>
                  </w:r>
                </w:p>
              </w:tc>
              <w:tc>
                <w:tcPr>
                  <w:tcW w:w="598" w:type="pct"/>
                  <w:vAlign w:val="center"/>
                </w:tcPr>
                <w:p w14:paraId="57FE13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200KW</w:t>
                  </w:r>
                </w:p>
              </w:tc>
              <w:tc>
                <w:tcPr>
                  <w:tcW w:w="422" w:type="pct"/>
                  <w:vAlign w:val="center"/>
                </w:tcPr>
                <w:p w14:paraId="580A7D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141F04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73884D7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3C509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054BDE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6082C2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093" w:type="pct"/>
                  <w:vAlign w:val="center"/>
                </w:tcPr>
                <w:p w14:paraId="26AC32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乳胶漆调稀罐</w:t>
                  </w:r>
                </w:p>
              </w:tc>
              <w:tc>
                <w:tcPr>
                  <w:tcW w:w="1069" w:type="pct"/>
                  <w:vAlign w:val="center"/>
                </w:tcPr>
                <w:p w14:paraId="03753B4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10000L</w:t>
                  </w:r>
                </w:p>
              </w:tc>
              <w:tc>
                <w:tcPr>
                  <w:tcW w:w="598" w:type="pct"/>
                  <w:vAlign w:val="center"/>
                </w:tcPr>
                <w:p w14:paraId="55998FB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c>
                <w:tcPr>
                  <w:tcW w:w="422" w:type="pct"/>
                  <w:vAlign w:val="center"/>
                </w:tcPr>
                <w:p w14:paraId="50A2017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6A953FA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06651CF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4BB1F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09A8378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9B0F8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093" w:type="pct"/>
                  <w:vAlign w:val="center"/>
                </w:tcPr>
                <w:p w14:paraId="0AFD7F1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包装机</w:t>
                  </w:r>
                </w:p>
              </w:tc>
              <w:tc>
                <w:tcPr>
                  <w:tcW w:w="1069" w:type="pct"/>
                  <w:vAlign w:val="center"/>
                </w:tcPr>
                <w:p w14:paraId="777EEA7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2360EA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3075ED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733DB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253B60C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1E73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358B269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63A9020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093" w:type="pct"/>
                  <w:vAlign w:val="center"/>
                </w:tcPr>
                <w:p w14:paraId="17BF233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空气压缩机</w:t>
                  </w:r>
                </w:p>
              </w:tc>
              <w:tc>
                <w:tcPr>
                  <w:tcW w:w="1069" w:type="pct"/>
                  <w:vAlign w:val="center"/>
                </w:tcPr>
                <w:p w14:paraId="158AD9E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GAe22P A 8.5</w:t>
                  </w:r>
                </w:p>
              </w:tc>
              <w:tc>
                <w:tcPr>
                  <w:tcW w:w="598" w:type="pct"/>
                  <w:vAlign w:val="center"/>
                </w:tcPr>
                <w:p w14:paraId="66C879A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c>
                <w:tcPr>
                  <w:tcW w:w="422" w:type="pct"/>
                  <w:vAlign w:val="center"/>
                </w:tcPr>
                <w:p w14:paraId="088FA7D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210DE6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436" w:type="pct"/>
                  <w:vMerge w:val="continue"/>
                  <w:vAlign w:val="center"/>
                </w:tcPr>
                <w:p w14:paraId="27FA36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1F7F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38C05A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19F5B0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093" w:type="pct"/>
                  <w:vAlign w:val="center"/>
                </w:tcPr>
                <w:p w14:paraId="65D05C6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空气压缩机</w:t>
                  </w:r>
                </w:p>
              </w:tc>
              <w:tc>
                <w:tcPr>
                  <w:tcW w:w="1069" w:type="pct"/>
                  <w:vAlign w:val="center"/>
                </w:tcPr>
                <w:p w14:paraId="63CBC3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5E0F742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45kW</w:t>
                  </w:r>
                </w:p>
              </w:tc>
              <w:tc>
                <w:tcPr>
                  <w:tcW w:w="422" w:type="pct"/>
                  <w:vAlign w:val="center"/>
                </w:tcPr>
                <w:p w14:paraId="1584813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F8BEA7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349DCC4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3D505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56BD575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49040B0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93" w:type="pct"/>
                  <w:vAlign w:val="center"/>
                </w:tcPr>
                <w:p w14:paraId="667FB4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冷冻式干燥机</w:t>
                  </w:r>
                </w:p>
              </w:tc>
              <w:tc>
                <w:tcPr>
                  <w:tcW w:w="1069" w:type="pct"/>
                  <w:vAlign w:val="center"/>
                </w:tcPr>
                <w:p w14:paraId="1F86C4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FXe8 8102494633</w:t>
                  </w:r>
                </w:p>
              </w:tc>
              <w:tc>
                <w:tcPr>
                  <w:tcW w:w="598" w:type="pct"/>
                  <w:vAlign w:val="center"/>
                </w:tcPr>
                <w:p w14:paraId="204139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0.77KW</w:t>
                  </w:r>
                </w:p>
              </w:tc>
              <w:tc>
                <w:tcPr>
                  <w:tcW w:w="422" w:type="pct"/>
                  <w:vAlign w:val="center"/>
                </w:tcPr>
                <w:p w14:paraId="143A24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C77E4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B9FC5D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0EA0C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34285E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2F5025D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093" w:type="pct"/>
                  <w:vAlign w:val="center"/>
                </w:tcPr>
                <w:p w14:paraId="5D1E55F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乳胶漆控制室</w:t>
                  </w:r>
                </w:p>
              </w:tc>
              <w:tc>
                <w:tcPr>
                  <w:tcW w:w="1069" w:type="pct"/>
                  <w:vAlign w:val="center"/>
                </w:tcPr>
                <w:p w14:paraId="27D97F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547D0EB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11B5BC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0705EA9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2650D7D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16733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72A375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1DF009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093" w:type="pct"/>
                  <w:vAlign w:val="center"/>
                </w:tcPr>
                <w:p w14:paraId="0229A1C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工艺水泵</w:t>
                  </w:r>
                </w:p>
              </w:tc>
              <w:tc>
                <w:tcPr>
                  <w:tcW w:w="1069" w:type="pct"/>
                  <w:vAlign w:val="center"/>
                </w:tcPr>
                <w:p w14:paraId="5CFA68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7BBBFA3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449D9C5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3CCCB57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0D7402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324A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7925CC9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98FB7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093" w:type="pct"/>
                  <w:vAlign w:val="center"/>
                </w:tcPr>
                <w:p w14:paraId="776280D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高压水泵</w:t>
                  </w:r>
                </w:p>
              </w:tc>
              <w:tc>
                <w:tcPr>
                  <w:tcW w:w="1069" w:type="pct"/>
                  <w:vAlign w:val="center"/>
                </w:tcPr>
                <w:p w14:paraId="0452323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017DE15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4E21778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573115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2E5848F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B300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1E7C5D1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700CFC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093" w:type="pct"/>
                  <w:vAlign w:val="center"/>
                </w:tcPr>
                <w:p w14:paraId="1736BD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隔膜泵</w:t>
                  </w:r>
                </w:p>
              </w:tc>
              <w:tc>
                <w:tcPr>
                  <w:tcW w:w="1069" w:type="pct"/>
                  <w:vAlign w:val="center"/>
                </w:tcPr>
                <w:p w14:paraId="7B696C0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266FE6F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1ADABF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4D43C5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436" w:type="pct"/>
                  <w:vMerge w:val="continue"/>
                  <w:vAlign w:val="center"/>
                </w:tcPr>
                <w:p w14:paraId="6A577CB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3581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5" w:type="pct"/>
                  <w:vMerge w:val="continue"/>
                  <w:vAlign w:val="center"/>
                </w:tcPr>
                <w:p w14:paraId="4CA3DB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8489B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25</w:t>
                  </w:r>
                </w:p>
              </w:tc>
              <w:tc>
                <w:tcPr>
                  <w:tcW w:w="1093" w:type="pct"/>
                  <w:vAlign w:val="center"/>
                </w:tcPr>
                <w:p w14:paraId="2A2FCA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乳液罐</w:t>
                  </w:r>
                  <w:r>
                    <w:rPr>
                      <w:rFonts w:hint="eastAsia" w:cs="Times New Roman"/>
                      <w:color w:val="auto"/>
                      <w:sz w:val="21"/>
                      <w:szCs w:val="21"/>
                      <w:lang w:eastAsia="zh-CN"/>
                    </w:rPr>
                    <w:t>（存储</w:t>
                  </w:r>
                  <w:r>
                    <w:rPr>
                      <w:rFonts w:hint="default" w:ascii="Times New Roman" w:hAnsi="Times New Roman" w:eastAsia="宋体" w:cs="Times New Roman"/>
                      <w:color w:val="auto"/>
                      <w:sz w:val="21"/>
                    </w:rPr>
                    <w:t>成膜助剂</w:t>
                  </w:r>
                  <w:r>
                    <w:rPr>
                      <w:rFonts w:hint="eastAsia" w:cs="Times New Roman"/>
                      <w:color w:val="auto"/>
                      <w:sz w:val="21"/>
                      <w:szCs w:val="21"/>
                      <w:lang w:eastAsia="zh-CN"/>
                    </w:rPr>
                    <w:t>）</w:t>
                  </w:r>
                </w:p>
              </w:tc>
              <w:tc>
                <w:tcPr>
                  <w:tcW w:w="1069" w:type="pct"/>
                  <w:vAlign w:val="center"/>
                </w:tcPr>
                <w:p w14:paraId="5F1CF80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3200*30mm</w:t>
                  </w:r>
                </w:p>
              </w:tc>
              <w:tc>
                <w:tcPr>
                  <w:tcW w:w="598" w:type="pct"/>
                  <w:vAlign w:val="center"/>
                </w:tcPr>
                <w:p w14:paraId="6179964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422" w:type="pct"/>
                  <w:vAlign w:val="center"/>
                </w:tcPr>
                <w:p w14:paraId="2BA429A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个</w:t>
                  </w:r>
                </w:p>
              </w:tc>
              <w:tc>
                <w:tcPr>
                  <w:tcW w:w="436" w:type="pct"/>
                  <w:vAlign w:val="center"/>
                </w:tcPr>
                <w:p w14:paraId="690059D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36" w:type="pct"/>
                  <w:vMerge w:val="restart"/>
                  <w:vAlign w:val="center"/>
                </w:tcPr>
                <w:p w14:paraId="31FEAB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本次扩建新增</w:t>
                  </w:r>
                </w:p>
              </w:tc>
            </w:tr>
            <w:tr w14:paraId="155BC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623384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074A89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1093" w:type="pct"/>
                  <w:vAlign w:val="center"/>
                </w:tcPr>
                <w:p w14:paraId="0C0E0C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助剂罐</w:t>
                  </w:r>
                  <w:r>
                    <w:rPr>
                      <w:rFonts w:hint="eastAsia" w:cs="Times New Roman"/>
                      <w:color w:val="auto"/>
                      <w:sz w:val="21"/>
                      <w:szCs w:val="21"/>
                      <w:lang w:eastAsia="zh-CN"/>
                    </w:rPr>
                    <w:t>（存储增稠剂）</w:t>
                  </w:r>
                </w:p>
              </w:tc>
              <w:tc>
                <w:tcPr>
                  <w:tcW w:w="1069" w:type="pct"/>
                  <w:vAlign w:val="center"/>
                </w:tcPr>
                <w:p w14:paraId="3ABD64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3200*30mm</w:t>
                  </w:r>
                </w:p>
              </w:tc>
              <w:tc>
                <w:tcPr>
                  <w:tcW w:w="598" w:type="pct"/>
                  <w:vAlign w:val="center"/>
                </w:tcPr>
                <w:p w14:paraId="229D778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2" w:type="pct"/>
                  <w:vAlign w:val="center"/>
                </w:tcPr>
                <w:p w14:paraId="312429B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个</w:t>
                  </w:r>
                </w:p>
              </w:tc>
              <w:tc>
                <w:tcPr>
                  <w:tcW w:w="436" w:type="pct"/>
                  <w:vAlign w:val="center"/>
                </w:tcPr>
                <w:p w14:paraId="3CD29EB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36" w:type="pct"/>
                  <w:vMerge w:val="continue"/>
                  <w:vAlign w:val="center"/>
                </w:tcPr>
                <w:p w14:paraId="222293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p>
              </w:tc>
            </w:tr>
            <w:tr w14:paraId="4495A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495" w:type="pct"/>
                  <w:vMerge w:val="restart"/>
                  <w:vAlign w:val="center"/>
                </w:tcPr>
                <w:p w14:paraId="57C3A29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砂壁生产线</w:t>
                  </w:r>
                </w:p>
              </w:tc>
              <w:tc>
                <w:tcPr>
                  <w:tcW w:w="449" w:type="pct"/>
                  <w:vAlign w:val="center"/>
                </w:tcPr>
                <w:p w14:paraId="7552ACE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1093" w:type="pct"/>
                  <w:vAlign w:val="center"/>
                </w:tcPr>
                <w:p w14:paraId="3A16F08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69" w:type="pct"/>
                  <w:vAlign w:val="center"/>
                </w:tcPr>
                <w:p w14:paraId="2D59C3A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2000L 缸</w:t>
                  </w:r>
                </w:p>
              </w:tc>
              <w:tc>
                <w:tcPr>
                  <w:tcW w:w="598" w:type="pct"/>
                  <w:vAlign w:val="center"/>
                </w:tcPr>
                <w:p w14:paraId="24A442F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75kw</w:t>
                  </w:r>
                </w:p>
              </w:tc>
              <w:tc>
                <w:tcPr>
                  <w:tcW w:w="422" w:type="pct"/>
                  <w:vAlign w:val="center"/>
                </w:tcPr>
                <w:p w14:paraId="3E50D5B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EB872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restart"/>
                  <w:vAlign w:val="center"/>
                </w:tcPr>
                <w:p w14:paraId="51FE5A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原项目已建成</w:t>
                  </w:r>
                </w:p>
              </w:tc>
            </w:tr>
            <w:tr w14:paraId="46EA2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01367FF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4A1737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1093" w:type="pct"/>
                  <w:vAlign w:val="center"/>
                </w:tcPr>
                <w:p w14:paraId="1D621B2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69" w:type="pct"/>
                  <w:vAlign w:val="center"/>
                </w:tcPr>
                <w:p w14:paraId="5E9774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3000L 缸</w:t>
                  </w:r>
                </w:p>
              </w:tc>
              <w:tc>
                <w:tcPr>
                  <w:tcW w:w="598" w:type="pct"/>
                  <w:vAlign w:val="center"/>
                </w:tcPr>
                <w:p w14:paraId="18304E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83kw</w:t>
                  </w:r>
                </w:p>
              </w:tc>
              <w:tc>
                <w:tcPr>
                  <w:tcW w:w="422" w:type="pct"/>
                  <w:vAlign w:val="center"/>
                </w:tcPr>
                <w:p w14:paraId="4816B13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4E1ABD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5FC8C9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44D8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23CCF0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DFB0EC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1093" w:type="pct"/>
                  <w:vAlign w:val="center"/>
                </w:tcPr>
                <w:p w14:paraId="3017A2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69" w:type="pct"/>
                  <w:vAlign w:val="center"/>
                </w:tcPr>
                <w:p w14:paraId="2BF20D0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5000L 缸</w:t>
                  </w:r>
                </w:p>
              </w:tc>
              <w:tc>
                <w:tcPr>
                  <w:tcW w:w="598" w:type="pct"/>
                  <w:vAlign w:val="center"/>
                </w:tcPr>
                <w:p w14:paraId="7A45F98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66kw</w:t>
                  </w:r>
                </w:p>
              </w:tc>
              <w:tc>
                <w:tcPr>
                  <w:tcW w:w="422" w:type="pct"/>
                  <w:vAlign w:val="center"/>
                </w:tcPr>
                <w:p w14:paraId="3F0FA96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6C3762F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15895A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7D23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178D6B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9CE7E5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1093" w:type="pct"/>
                  <w:vAlign w:val="center"/>
                </w:tcPr>
                <w:p w14:paraId="5B3200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69" w:type="pct"/>
                  <w:vAlign w:val="center"/>
                </w:tcPr>
                <w:p w14:paraId="0CC596C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10000L 缸</w:t>
                  </w:r>
                </w:p>
              </w:tc>
              <w:tc>
                <w:tcPr>
                  <w:tcW w:w="598" w:type="pct"/>
                  <w:vAlign w:val="center"/>
                </w:tcPr>
                <w:p w14:paraId="33CADE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140kw</w:t>
                  </w:r>
                </w:p>
              </w:tc>
              <w:tc>
                <w:tcPr>
                  <w:tcW w:w="422" w:type="pct"/>
                  <w:vAlign w:val="center"/>
                </w:tcPr>
                <w:p w14:paraId="703A0B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3B56DE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67C6F0E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989C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4A3696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541EF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1093" w:type="pct"/>
                  <w:vAlign w:val="center"/>
                </w:tcPr>
                <w:p w14:paraId="3B51395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高压清洗装置</w:t>
                  </w:r>
                </w:p>
              </w:tc>
              <w:tc>
                <w:tcPr>
                  <w:tcW w:w="1069" w:type="pct"/>
                  <w:vAlign w:val="center"/>
                </w:tcPr>
                <w:p w14:paraId="626E89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7BF4927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25kw</w:t>
                  </w:r>
                </w:p>
              </w:tc>
              <w:tc>
                <w:tcPr>
                  <w:tcW w:w="422" w:type="pct"/>
                  <w:vAlign w:val="center"/>
                </w:tcPr>
                <w:p w14:paraId="1A1594E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078FA2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752EC2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9B1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17BC25C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37837CC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1093" w:type="pct"/>
                  <w:vAlign w:val="center"/>
                </w:tcPr>
                <w:p w14:paraId="3CED98E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空压机及储罐</w:t>
                  </w:r>
                </w:p>
              </w:tc>
              <w:tc>
                <w:tcPr>
                  <w:tcW w:w="1069" w:type="pct"/>
                  <w:vAlign w:val="center"/>
                </w:tcPr>
                <w:p w14:paraId="6F42BE6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GA-55</w:t>
                  </w:r>
                </w:p>
              </w:tc>
              <w:tc>
                <w:tcPr>
                  <w:tcW w:w="598" w:type="pct"/>
                  <w:vAlign w:val="center"/>
                </w:tcPr>
                <w:p w14:paraId="2226CAB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55kw</w:t>
                  </w:r>
                </w:p>
              </w:tc>
              <w:tc>
                <w:tcPr>
                  <w:tcW w:w="422" w:type="pct"/>
                  <w:vAlign w:val="center"/>
                </w:tcPr>
                <w:p w14:paraId="3B5DF24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6CC5865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285B068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16AD6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1775689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CF1647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1093" w:type="pct"/>
                  <w:vAlign w:val="center"/>
                </w:tcPr>
                <w:p w14:paraId="20450FE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电动葫芦</w:t>
                  </w:r>
                </w:p>
              </w:tc>
              <w:tc>
                <w:tcPr>
                  <w:tcW w:w="1069" w:type="pct"/>
                  <w:vAlign w:val="center"/>
                </w:tcPr>
                <w:p w14:paraId="5E4B181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17A3BD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422" w:type="pct"/>
                  <w:vAlign w:val="center"/>
                </w:tcPr>
                <w:p w14:paraId="573290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1EA74E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436" w:type="pct"/>
                  <w:vMerge w:val="continue"/>
                  <w:vAlign w:val="center"/>
                </w:tcPr>
                <w:p w14:paraId="6C436F3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4C67E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73D6EB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D671A6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9</w:t>
                  </w:r>
                </w:p>
              </w:tc>
              <w:tc>
                <w:tcPr>
                  <w:tcW w:w="1093" w:type="pct"/>
                  <w:vAlign w:val="center"/>
                </w:tcPr>
                <w:p w14:paraId="20E780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收尘及处理装置</w:t>
                  </w:r>
                </w:p>
              </w:tc>
              <w:tc>
                <w:tcPr>
                  <w:tcW w:w="1069" w:type="pct"/>
                  <w:vAlign w:val="center"/>
                </w:tcPr>
                <w:p w14:paraId="05E585A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1AEE8F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35kw</w:t>
                  </w:r>
                </w:p>
              </w:tc>
              <w:tc>
                <w:tcPr>
                  <w:tcW w:w="422" w:type="pct"/>
                  <w:vAlign w:val="center"/>
                </w:tcPr>
                <w:p w14:paraId="5D5B60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08BE59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1441F50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45AEB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517DFF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6A9E96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93" w:type="pct"/>
                  <w:vAlign w:val="center"/>
                </w:tcPr>
                <w:p w14:paraId="651ECFF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高压水泵</w:t>
                  </w:r>
                </w:p>
              </w:tc>
              <w:tc>
                <w:tcPr>
                  <w:tcW w:w="1069" w:type="pct"/>
                  <w:vAlign w:val="center"/>
                </w:tcPr>
                <w:p w14:paraId="4B67E46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4702527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10kw</w:t>
                  </w:r>
                </w:p>
              </w:tc>
              <w:tc>
                <w:tcPr>
                  <w:tcW w:w="422" w:type="pct"/>
                  <w:vAlign w:val="center"/>
                </w:tcPr>
                <w:p w14:paraId="3DABEF2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793B906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9382E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1C2E5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654AED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6F5FC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093" w:type="pct"/>
                  <w:vAlign w:val="center"/>
                </w:tcPr>
                <w:p w14:paraId="7DE1A0B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砂壁高粘包装机</w:t>
                  </w:r>
                </w:p>
              </w:tc>
              <w:tc>
                <w:tcPr>
                  <w:tcW w:w="1069" w:type="pct"/>
                  <w:vAlign w:val="center"/>
                </w:tcPr>
                <w:p w14:paraId="3327FE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59614B2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422" w:type="pct"/>
                  <w:vAlign w:val="center"/>
                </w:tcPr>
                <w:p w14:paraId="5C3D750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05D5279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436" w:type="pct"/>
                  <w:vMerge w:val="continue"/>
                  <w:vAlign w:val="center"/>
                </w:tcPr>
                <w:p w14:paraId="0A221A7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3130F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4A56EC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01836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093" w:type="pct"/>
                  <w:vAlign w:val="center"/>
                </w:tcPr>
                <w:p w14:paraId="317594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砂壁包装机</w:t>
                  </w:r>
                </w:p>
              </w:tc>
              <w:tc>
                <w:tcPr>
                  <w:tcW w:w="1069" w:type="pct"/>
                  <w:vAlign w:val="center"/>
                </w:tcPr>
                <w:p w14:paraId="48EC43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68E568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422" w:type="pct"/>
                  <w:vAlign w:val="center"/>
                </w:tcPr>
                <w:p w14:paraId="0D008B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27FC1D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val="en-US" w:eastAsia="zh-CN"/>
                    </w:rPr>
                    <w:t>2</w:t>
                  </w:r>
                </w:p>
              </w:tc>
              <w:tc>
                <w:tcPr>
                  <w:tcW w:w="436" w:type="pct"/>
                  <w:vAlign w:val="center"/>
                </w:tcPr>
                <w:p w14:paraId="487BBB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新增</w:t>
                  </w:r>
                </w:p>
              </w:tc>
            </w:tr>
            <w:tr w14:paraId="34010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restart"/>
                  <w:vAlign w:val="center"/>
                </w:tcPr>
                <w:p w14:paraId="603C8B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腻子粉生产线</w:t>
                  </w:r>
                </w:p>
              </w:tc>
              <w:tc>
                <w:tcPr>
                  <w:tcW w:w="449" w:type="pct"/>
                  <w:vAlign w:val="center"/>
                </w:tcPr>
                <w:p w14:paraId="6778E3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1093" w:type="pct"/>
                  <w:vAlign w:val="center"/>
                </w:tcPr>
                <w:p w14:paraId="159A89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空气储罐</w:t>
                  </w:r>
                </w:p>
              </w:tc>
              <w:tc>
                <w:tcPr>
                  <w:tcW w:w="1069" w:type="pct"/>
                  <w:vAlign w:val="center"/>
                </w:tcPr>
                <w:p w14:paraId="13CAACF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3m</w:t>
                  </w:r>
                  <w:r>
                    <w:rPr>
                      <w:rFonts w:hint="default" w:ascii="Times New Roman" w:hAnsi="Times New Roman" w:eastAsia="宋体" w:cs="Times New Roman"/>
                      <w:color w:val="auto"/>
                      <w:sz w:val="21"/>
                      <w:szCs w:val="21"/>
                      <w:vertAlign w:val="superscript"/>
                      <w:lang w:val="en-US" w:eastAsia="zh-CN"/>
                    </w:rPr>
                    <w:t>3</w:t>
                  </w:r>
                </w:p>
              </w:tc>
              <w:tc>
                <w:tcPr>
                  <w:tcW w:w="598" w:type="pct"/>
                  <w:vAlign w:val="center"/>
                </w:tcPr>
                <w:p w14:paraId="4131D60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63418C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1E534B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restart"/>
                  <w:vAlign w:val="center"/>
                </w:tcPr>
                <w:p w14:paraId="7B64538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lang w:eastAsia="zh-CN"/>
                    </w:rPr>
                    <w:t>原项目已建成</w:t>
                  </w:r>
                </w:p>
              </w:tc>
            </w:tr>
            <w:tr w14:paraId="657FD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15A500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21B44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1093" w:type="pct"/>
                  <w:vAlign w:val="center"/>
                </w:tcPr>
                <w:p w14:paraId="08148A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腻子粉生产设备</w:t>
                  </w:r>
                </w:p>
              </w:tc>
              <w:tc>
                <w:tcPr>
                  <w:tcW w:w="1069" w:type="pct"/>
                  <w:vAlign w:val="center"/>
                </w:tcPr>
                <w:p w14:paraId="258EBC3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5t/h</w:t>
                  </w:r>
                </w:p>
              </w:tc>
              <w:tc>
                <w:tcPr>
                  <w:tcW w:w="598" w:type="pct"/>
                  <w:vAlign w:val="center"/>
                </w:tcPr>
                <w:p w14:paraId="7911C4C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7FA1B5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03A1214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81823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0F043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244967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3FEBD5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1093" w:type="pct"/>
                  <w:vAlign w:val="center"/>
                </w:tcPr>
                <w:p w14:paraId="613FA23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腻子粉控制室</w:t>
                  </w:r>
                </w:p>
              </w:tc>
              <w:tc>
                <w:tcPr>
                  <w:tcW w:w="1069" w:type="pct"/>
                  <w:vAlign w:val="center"/>
                </w:tcPr>
                <w:p w14:paraId="0A06C3F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555F6AB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084962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F0055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7A99F2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AFF4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5" w:type="pct"/>
                  <w:vMerge w:val="continue"/>
                  <w:vAlign w:val="center"/>
                </w:tcPr>
                <w:p w14:paraId="47F743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27B3CD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1093" w:type="pct"/>
                  <w:vAlign w:val="center"/>
                </w:tcPr>
                <w:p w14:paraId="66FF071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腻子粉生产设备</w:t>
                  </w:r>
                </w:p>
              </w:tc>
              <w:tc>
                <w:tcPr>
                  <w:tcW w:w="1069" w:type="pct"/>
                  <w:vAlign w:val="center"/>
                </w:tcPr>
                <w:p w14:paraId="46A660C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5t/h</w:t>
                  </w:r>
                </w:p>
              </w:tc>
              <w:tc>
                <w:tcPr>
                  <w:tcW w:w="598" w:type="pct"/>
                  <w:vAlign w:val="center"/>
                </w:tcPr>
                <w:p w14:paraId="672E5AA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75kw</w:t>
                  </w:r>
                </w:p>
              </w:tc>
              <w:tc>
                <w:tcPr>
                  <w:tcW w:w="422" w:type="pct"/>
                  <w:vAlign w:val="center"/>
                </w:tcPr>
                <w:p w14:paraId="23F4D70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BE2CE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51AD68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1B6B4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62E13A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2176B8C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1093" w:type="pct"/>
                  <w:vAlign w:val="center"/>
                </w:tcPr>
                <w:p w14:paraId="2A28F8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腻子粉控制室</w:t>
                  </w:r>
                </w:p>
              </w:tc>
              <w:tc>
                <w:tcPr>
                  <w:tcW w:w="1069" w:type="pct"/>
                  <w:vAlign w:val="center"/>
                </w:tcPr>
                <w:p w14:paraId="036DA6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29F59C9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568905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B45D2C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5C895B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4B0E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jc w:val="center"/>
              </w:trPr>
              <w:tc>
                <w:tcPr>
                  <w:tcW w:w="495" w:type="pct"/>
                  <w:vMerge w:val="continue"/>
                  <w:vAlign w:val="center"/>
                </w:tcPr>
                <w:p w14:paraId="001962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6B71B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1093" w:type="pct"/>
                  <w:vAlign w:val="center"/>
                </w:tcPr>
                <w:p w14:paraId="187BA1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收尘及处理装置</w:t>
                  </w:r>
                </w:p>
              </w:tc>
              <w:tc>
                <w:tcPr>
                  <w:tcW w:w="1069" w:type="pct"/>
                  <w:vAlign w:val="center"/>
                </w:tcPr>
                <w:p w14:paraId="3AF94E0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风量 3517m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w:t>
                  </w:r>
                </w:p>
              </w:tc>
              <w:tc>
                <w:tcPr>
                  <w:tcW w:w="598" w:type="pct"/>
                  <w:vAlign w:val="center"/>
                </w:tcPr>
                <w:p w14:paraId="7D97567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73ACCC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7140950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9A01BA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65C9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jc w:val="center"/>
              </w:trPr>
              <w:tc>
                <w:tcPr>
                  <w:tcW w:w="495" w:type="pct"/>
                  <w:vMerge w:val="continue"/>
                  <w:vAlign w:val="center"/>
                </w:tcPr>
                <w:p w14:paraId="20AE87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46D52BD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1093" w:type="pct"/>
                  <w:vAlign w:val="center"/>
                </w:tcPr>
                <w:p w14:paraId="4E1DCC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空气储罐</w:t>
                  </w:r>
                </w:p>
              </w:tc>
              <w:tc>
                <w:tcPr>
                  <w:tcW w:w="1069" w:type="pct"/>
                  <w:vAlign w:val="center"/>
                </w:tcPr>
                <w:p w14:paraId="70A198F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3m</w:t>
                  </w:r>
                  <w:r>
                    <w:rPr>
                      <w:rFonts w:hint="default" w:ascii="Times New Roman" w:hAnsi="Times New Roman" w:eastAsia="宋体" w:cs="Times New Roman"/>
                      <w:color w:val="auto"/>
                      <w:sz w:val="21"/>
                      <w:szCs w:val="21"/>
                      <w:vertAlign w:val="superscript"/>
                      <w:lang w:val="en-US" w:eastAsia="zh-CN"/>
                    </w:rPr>
                    <w:t>3</w:t>
                  </w:r>
                </w:p>
              </w:tc>
              <w:tc>
                <w:tcPr>
                  <w:tcW w:w="598" w:type="pct"/>
                  <w:vAlign w:val="center"/>
                </w:tcPr>
                <w:p w14:paraId="5F893B5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6ADA25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0C3BA1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499E44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B3F9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16074C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6D53B30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eastAsia" w:cs="Times New Roman"/>
                      <w:color w:val="auto"/>
                      <w:w w:val="100"/>
                      <w:sz w:val="21"/>
                      <w:szCs w:val="21"/>
                      <w:lang w:val="en-US" w:eastAsia="zh-CN"/>
                    </w:rPr>
                    <w:t>8</w:t>
                  </w:r>
                </w:p>
              </w:tc>
              <w:tc>
                <w:tcPr>
                  <w:tcW w:w="1093" w:type="pct"/>
                  <w:vAlign w:val="center"/>
                </w:tcPr>
                <w:p w14:paraId="35CCB90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粉料存储罐</w:t>
                  </w:r>
                </w:p>
              </w:tc>
              <w:tc>
                <w:tcPr>
                  <w:tcW w:w="1069" w:type="pct"/>
                  <w:vAlign w:val="center"/>
                </w:tcPr>
                <w:p w14:paraId="35A11E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3</w:t>
                  </w:r>
                </w:p>
              </w:tc>
              <w:tc>
                <w:tcPr>
                  <w:tcW w:w="598" w:type="pct"/>
                  <w:vAlign w:val="center"/>
                </w:tcPr>
                <w:p w14:paraId="7C55CB9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7F10AD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w w:val="100"/>
                      <w:sz w:val="21"/>
                      <w:szCs w:val="21"/>
                      <w:lang w:val="en-US" w:eastAsia="zh-CN"/>
                    </w:rPr>
                  </w:pPr>
                  <w:r>
                    <w:rPr>
                      <w:rFonts w:hint="eastAsia" w:cs="Times New Roman"/>
                      <w:color w:val="auto"/>
                      <w:w w:val="100"/>
                      <w:sz w:val="21"/>
                      <w:szCs w:val="21"/>
                      <w:lang w:val="en-US" w:eastAsia="zh-CN"/>
                    </w:rPr>
                    <w:t>个</w:t>
                  </w:r>
                </w:p>
              </w:tc>
              <w:tc>
                <w:tcPr>
                  <w:tcW w:w="436" w:type="pct"/>
                  <w:vAlign w:val="center"/>
                </w:tcPr>
                <w:p w14:paraId="775F80B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w w:val="100"/>
                      <w:sz w:val="21"/>
                      <w:szCs w:val="21"/>
                      <w:lang w:val="en-US" w:eastAsia="zh-CN"/>
                    </w:rPr>
                  </w:pPr>
                  <w:r>
                    <w:rPr>
                      <w:rFonts w:hint="eastAsia" w:cs="Times New Roman"/>
                      <w:color w:val="auto"/>
                      <w:w w:val="100"/>
                      <w:sz w:val="21"/>
                      <w:szCs w:val="21"/>
                      <w:lang w:val="en-US" w:eastAsia="zh-CN"/>
                    </w:rPr>
                    <w:t>3</w:t>
                  </w:r>
                </w:p>
              </w:tc>
              <w:tc>
                <w:tcPr>
                  <w:tcW w:w="436" w:type="pct"/>
                  <w:vMerge w:val="continue"/>
                  <w:vAlign w:val="center"/>
                </w:tcPr>
                <w:p w14:paraId="557A78A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3D2C2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5" w:type="pct"/>
                  <w:vMerge w:val="continue"/>
                  <w:vAlign w:val="center"/>
                </w:tcPr>
                <w:p w14:paraId="28B5E1A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744B6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8</w:t>
                  </w:r>
                </w:p>
              </w:tc>
              <w:tc>
                <w:tcPr>
                  <w:tcW w:w="1093" w:type="pct"/>
                  <w:vAlign w:val="center"/>
                </w:tcPr>
                <w:p w14:paraId="22015E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机械手码垛线</w:t>
                  </w:r>
                </w:p>
              </w:tc>
              <w:tc>
                <w:tcPr>
                  <w:tcW w:w="1069" w:type="pct"/>
                  <w:vAlign w:val="center"/>
                </w:tcPr>
                <w:p w14:paraId="63E963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2331D9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51E4CE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w w:val="100"/>
                      <w:sz w:val="21"/>
                      <w:szCs w:val="21"/>
                      <w:lang w:eastAsia="zh-CN"/>
                    </w:rPr>
                  </w:pPr>
                  <w:r>
                    <w:rPr>
                      <w:rFonts w:hint="eastAsia" w:cs="Times New Roman"/>
                      <w:color w:val="auto"/>
                      <w:w w:val="100"/>
                      <w:sz w:val="21"/>
                      <w:szCs w:val="21"/>
                      <w:lang w:eastAsia="zh-CN"/>
                    </w:rPr>
                    <w:t>台</w:t>
                  </w:r>
                </w:p>
              </w:tc>
              <w:tc>
                <w:tcPr>
                  <w:tcW w:w="436" w:type="pct"/>
                  <w:vAlign w:val="center"/>
                </w:tcPr>
                <w:p w14:paraId="7C1D97D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kern w:val="0"/>
                      <w:sz w:val="22"/>
                    </w:rPr>
                    <w:t>1</w:t>
                  </w:r>
                </w:p>
              </w:tc>
              <w:tc>
                <w:tcPr>
                  <w:tcW w:w="436" w:type="pct"/>
                  <w:vMerge w:val="restart"/>
                  <w:vAlign w:val="center"/>
                </w:tcPr>
                <w:p w14:paraId="29CF41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本次扩建新增</w:t>
                  </w:r>
                </w:p>
              </w:tc>
            </w:tr>
            <w:tr w14:paraId="44282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05175C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C5C134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9</w:t>
                  </w:r>
                </w:p>
              </w:tc>
              <w:tc>
                <w:tcPr>
                  <w:tcW w:w="1093" w:type="pct"/>
                  <w:vAlign w:val="center"/>
                </w:tcPr>
                <w:p w14:paraId="57B06A0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包装机</w:t>
                  </w:r>
                </w:p>
              </w:tc>
              <w:tc>
                <w:tcPr>
                  <w:tcW w:w="1069" w:type="pct"/>
                  <w:vAlign w:val="center"/>
                </w:tcPr>
                <w:p w14:paraId="0139F62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03BCFD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2ABDFC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台</w:t>
                  </w:r>
                </w:p>
              </w:tc>
              <w:tc>
                <w:tcPr>
                  <w:tcW w:w="436" w:type="pct"/>
                  <w:vAlign w:val="center"/>
                </w:tcPr>
                <w:p w14:paraId="5DCC228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kern w:val="0"/>
                      <w:sz w:val="22"/>
                    </w:rPr>
                    <w:t>1</w:t>
                  </w:r>
                </w:p>
              </w:tc>
              <w:tc>
                <w:tcPr>
                  <w:tcW w:w="436" w:type="pct"/>
                  <w:vMerge w:val="continue"/>
                  <w:vAlign w:val="center"/>
                </w:tcPr>
                <w:p w14:paraId="6B39FB6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86C1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3BB785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017D614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10</w:t>
                  </w:r>
                </w:p>
              </w:tc>
              <w:tc>
                <w:tcPr>
                  <w:tcW w:w="1093" w:type="pct"/>
                  <w:vAlign w:val="center"/>
                </w:tcPr>
                <w:p w14:paraId="47D938E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脉冲</w:t>
                  </w:r>
                  <w:r>
                    <w:rPr>
                      <w:rFonts w:hint="default" w:ascii="Times New Roman" w:hAnsi="Times New Roman" w:eastAsia="宋体" w:cs="Times New Roman"/>
                      <w:color w:val="auto"/>
                      <w:sz w:val="21"/>
                      <w:szCs w:val="21"/>
                    </w:rPr>
                    <w:t>除尘器</w:t>
                  </w:r>
                </w:p>
              </w:tc>
              <w:tc>
                <w:tcPr>
                  <w:tcW w:w="1069" w:type="pct"/>
                  <w:vAlign w:val="center"/>
                </w:tcPr>
                <w:p w14:paraId="6EE1527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VAM44平方</w:t>
                  </w:r>
                </w:p>
              </w:tc>
              <w:tc>
                <w:tcPr>
                  <w:tcW w:w="598" w:type="pct"/>
                  <w:vAlign w:val="center"/>
                </w:tcPr>
                <w:p w14:paraId="44BBA2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p>
              </w:tc>
              <w:tc>
                <w:tcPr>
                  <w:tcW w:w="422" w:type="pct"/>
                  <w:vAlign w:val="center"/>
                </w:tcPr>
                <w:p w14:paraId="13E0D19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套</w:t>
                  </w:r>
                </w:p>
              </w:tc>
              <w:tc>
                <w:tcPr>
                  <w:tcW w:w="436" w:type="pct"/>
                  <w:vAlign w:val="center"/>
                </w:tcPr>
                <w:p w14:paraId="2CEE744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1</w:t>
                  </w:r>
                </w:p>
              </w:tc>
              <w:tc>
                <w:tcPr>
                  <w:tcW w:w="436" w:type="pct"/>
                  <w:vMerge w:val="continue"/>
                  <w:vAlign w:val="center"/>
                </w:tcPr>
                <w:p w14:paraId="2C62F51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4D59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2A2B54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371A48B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11</w:t>
                  </w:r>
                </w:p>
              </w:tc>
              <w:tc>
                <w:tcPr>
                  <w:tcW w:w="1093" w:type="pct"/>
                  <w:vAlign w:val="center"/>
                </w:tcPr>
                <w:p w14:paraId="52CC5D1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MES自动生产系统</w:t>
                  </w:r>
                </w:p>
              </w:tc>
              <w:tc>
                <w:tcPr>
                  <w:tcW w:w="1069" w:type="pct"/>
                  <w:vAlign w:val="center"/>
                </w:tcPr>
                <w:p w14:paraId="5571195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4"/>
                      <w:szCs w:val="24"/>
                    </w:rPr>
                  </w:pPr>
                </w:p>
              </w:tc>
              <w:tc>
                <w:tcPr>
                  <w:tcW w:w="598" w:type="pct"/>
                  <w:vAlign w:val="center"/>
                </w:tcPr>
                <w:p w14:paraId="7D3C0A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p>
              </w:tc>
              <w:tc>
                <w:tcPr>
                  <w:tcW w:w="422" w:type="pct"/>
                  <w:vAlign w:val="center"/>
                </w:tcPr>
                <w:p w14:paraId="75C426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套</w:t>
                  </w:r>
                </w:p>
              </w:tc>
              <w:tc>
                <w:tcPr>
                  <w:tcW w:w="436" w:type="pct"/>
                  <w:vAlign w:val="center"/>
                </w:tcPr>
                <w:p w14:paraId="13DDBA6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1</w:t>
                  </w:r>
                </w:p>
              </w:tc>
              <w:tc>
                <w:tcPr>
                  <w:tcW w:w="436" w:type="pct"/>
                  <w:vMerge w:val="continue"/>
                  <w:vAlign w:val="center"/>
                </w:tcPr>
                <w:p w14:paraId="3BB8067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2BA0B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2FD7EB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B71D15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12</w:t>
                  </w:r>
                </w:p>
              </w:tc>
              <w:tc>
                <w:tcPr>
                  <w:tcW w:w="1093" w:type="pct"/>
                  <w:vAlign w:val="center"/>
                </w:tcPr>
                <w:p w14:paraId="436ECBB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旋风除尘器</w:t>
                  </w:r>
                </w:p>
              </w:tc>
              <w:tc>
                <w:tcPr>
                  <w:tcW w:w="1069" w:type="pct"/>
                  <w:vAlign w:val="center"/>
                </w:tcPr>
                <w:p w14:paraId="5A653EC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4"/>
                      <w:szCs w:val="24"/>
                      <w:lang w:val="en-US" w:eastAsia="zh-CN"/>
                    </w:rPr>
                  </w:pPr>
                </w:p>
              </w:tc>
              <w:tc>
                <w:tcPr>
                  <w:tcW w:w="598" w:type="pct"/>
                  <w:vAlign w:val="center"/>
                </w:tcPr>
                <w:p w14:paraId="2FFA66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p>
              </w:tc>
              <w:tc>
                <w:tcPr>
                  <w:tcW w:w="422" w:type="pct"/>
                  <w:vAlign w:val="center"/>
                </w:tcPr>
                <w:p w14:paraId="56758CC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套</w:t>
                  </w:r>
                </w:p>
              </w:tc>
              <w:tc>
                <w:tcPr>
                  <w:tcW w:w="436" w:type="pct"/>
                  <w:vAlign w:val="center"/>
                </w:tcPr>
                <w:p w14:paraId="05DBBC5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2</w:t>
                  </w:r>
                </w:p>
              </w:tc>
              <w:tc>
                <w:tcPr>
                  <w:tcW w:w="436" w:type="pct"/>
                  <w:vMerge w:val="continue"/>
                  <w:vAlign w:val="center"/>
                </w:tcPr>
                <w:p w14:paraId="1A4D20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D488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restart"/>
                  <w:vAlign w:val="center"/>
                </w:tcPr>
                <w:p w14:paraId="1CDA0DB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公</w:t>
                  </w:r>
                  <w:r>
                    <w:rPr>
                      <w:rFonts w:hint="default" w:ascii="Times New Roman" w:hAnsi="Times New Roman" w:eastAsia="宋体" w:cs="Times New Roman"/>
                      <w:color w:val="auto"/>
                      <w:sz w:val="21"/>
                      <w:szCs w:val="21"/>
                    </w:rPr>
                    <w:t>用工程</w:t>
                  </w:r>
                </w:p>
              </w:tc>
              <w:tc>
                <w:tcPr>
                  <w:tcW w:w="449" w:type="pct"/>
                  <w:vAlign w:val="center"/>
                </w:tcPr>
                <w:p w14:paraId="1A417BD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1093" w:type="pct"/>
                  <w:vAlign w:val="center"/>
                </w:tcPr>
                <w:p w14:paraId="12D4391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w:t>
                  </w:r>
                  <w:r>
                    <w:rPr>
                      <w:rFonts w:hint="default" w:ascii="Times New Roman" w:hAnsi="Times New Roman" w:eastAsia="宋体" w:cs="Times New Roman"/>
                      <w:color w:val="auto"/>
                      <w:sz w:val="21"/>
                      <w:szCs w:val="21"/>
                      <w:lang w:eastAsia="zh-CN"/>
                    </w:rPr>
                    <w:t>处理系统</w:t>
                  </w:r>
                </w:p>
              </w:tc>
              <w:tc>
                <w:tcPr>
                  <w:tcW w:w="1069" w:type="pct"/>
                  <w:vAlign w:val="center"/>
                </w:tcPr>
                <w:p w14:paraId="6B493F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22B0430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50t/d</w:t>
                  </w:r>
                </w:p>
              </w:tc>
              <w:tc>
                <w:tcPr>
                  <w:tcW w:w="422" w:type="pct"/>
                  <w:vAlign w:val="center"/>
                </w:tcPr>
                <w:p w14:paraId="416675D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72AF065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restart"/>
                  <w:vAlign w:val="center"/>
                </w:tcPr>
                <w:p w14:paraId="3EDDEF6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原项目已建成</w:t>
                  </w:r>
                </w:p>
              </w:tc>
            </w:tr>
            <w:tr w14:paraId="1C29B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tcBorders>
                    <w:top w:val="nil"/>
                  </w:tcBorders>
                  <w:vAlign w:val="center"/>
                </w:tcPr>
                <w:p w14:paraId="3A244C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335C1FD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w w:val="100"/>
                      <w:sz w:val="21"/>
                      <w:szCs w:val="21"/>
                      <w:lang w:val="en-US" w:eastAsia="zh-CN"/>
                    </w:rPr>
                    <w:t>2</w:t>
                  </w:r>
                </w:p>
              </w:tc>
              <w:tc>
                <w:tcPr>
                  <w:tcW w:w="1093" w:type="pct"/>
                  <w:vAlign w:val="center"/>
                </w:tcPr>
                <w:p w14:paraId="228DF3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叉车</w:t>
                  </w:r>
                </w:p>
              </w:tc>
              <w:tc>
                <w:tcPr>
                  <w:tcW w:w="1069" w:type="pct"/>
                  <w:vAlign w:val="center"/>
                </w:tcPr>
                <w:p w14:paraId="4C747BF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非防爆</w:t>
                  </w:r>
                </w:p>
              </w:tc>
              <w:tc>
                <w:tcPr>
                  <w:tcW w:w="598" w:type="pct"/>
                  <w:vAlign w:val="center"/>
                </w:tcPr>
                <w:p w14:paraId="6F934C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736AF2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282E337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4CF4D3E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899E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tcBorders>
                    <w:top w:val="nil"/>
                  </w:tcBorders>
                  <w:vAlign w:val="center"/>
                </w:tcPr>
                <w:p w14:paraId="5478B3C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C4665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1093" w:type="pct"/>
                  <w:vAlign w:val="center"/>
                </w:tcPr>
                <w:p w14:paraId="0048E5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叉车</w:t>
                  </w:r>
                </w:p>
              </w:tc>
              <w:tc>
                <w:tcPr>
                  <w:tcW w:w="1069" w:type="pct"/>
                  <w:vAlign w:val="center"/>
                </w:tcPr>
                <w:p w14:paraId="44CE52C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防爆型</w:t>
                  </w:r>
                </w:p>
              </w:tc>
              <w:tc>
                <w:tcPr>
                  <w:tcW w:w="598" w:type="pct"/>
                  <w:vAlign w:val="center"/>
                </w:tcPr>
                <w:p w14:paraId="7AFA94F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5ECF88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37D862A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25EB8CB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CB33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tcBorders>
                    <w:top w:val="nil"/>
                  </w:tcBorders>
                  <w:vAlign w:val="center"/>
                </w:tcPr>
                <w:p w14:paraId="5E2406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6ACE4C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1093" w:type="pct"/>
                  <w:vAlign w:val="center"/>
                </w:tcPr>
                <w:p w14:paraId="00E6C6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液压车</w:t>
                  </w:r>
                </w:p>
              </w:tc>
              <w:tc>
                <w:tcPr>
                  <w:tcW w:w="1069" w:type="pct"/>
                  <w:vAlign w:val="center"/>
                </w:tcPr>
                <w:p w14:paraId="00EB04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6544FF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014DAC8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70021F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1E5F12C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909C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tcBorders>
                    <w:top w:val="nil"/>
                  </w:tcBorders>
                  <w:vAlign w:val="center"/>
                </w:tcPr>
                <w:p w14:paraId="7CA2F39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B0C19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1093" w:type="pct"/>
                  <w:vAlign w:val="center"/>
                </w:tcPr>
                <w:p w14:paraId="199AB9E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汽车地上衡</w:t>
                  </w:r>
                </w:p>
              </w:tc>
              <w:tc>
                <w:tcPr>
                  <w:tcW w:w="1069" w:type="pct"/>
                  <w:vAlign w:val="center"/>
                </w:tcPr>
                <w:p w14:paraId="667F852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60T</w:t>
                  </w:r>
                </w:p>
              </w:tc>
              <w:tc>
                <w:tcPr>
                  <w:tcW w:w="598" w:type="pct"/>
                  <w:vAlign w:val="center"/>
                </w:tcPr>
                <w:p w14:paraId="3FD0A3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29021C3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5FCC7B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7E99538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bl>
          <w:p w14:paraId="42DCB6EA">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8、全厂原、辅材料消耗情况</w:t>
            </w:r>
          </w:p>
          <w:p w14:paraId="254F00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本项目扩建完成后，全厂原、辅材料用量见表2-5。</w:t>
            </w:r>
          </w:p>
          <w:p w14:paraId="70E7C2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ab/>
            </w:r>
            <w:r>
              <w:rPr>
                <w:rFonts w:hint="default" w:ascii="Times New Roman" w:hAnsi="Times New Roman" w:eastAsia="宋体" w:cs="Times New Roman"/>
                <w:b/>
                <w:bCs/>
                <w:color w:val="auto"/>
                <w:sz w:val="21"/>
                <w:szCs w:val="21"/>
                <w:lang w:val="en-US" w:eastAsia="zh-CN"/>
              </w:rPr>
              <w:t>水性乳胶涂料系列产品原辅材料消耗表</w:t>
            </w:r>
          </w:p>
          <w:tbl>
            <w:tblPr>
              <w:tblStyle w:val="28"/>
              <w:tblW w:w="4996"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autofit"/>
              <w:tblCellMar>
                <w:top w:w="0" w:type="dxa"/>
                <w:left w:w="0" w:type="dxa"/>
                <w:bottom w:w="0" w:type="dxa"/>
                <w:right w:w="0" w:type="dxa"/>
              </w:tblCellMar>
            </w:tblPr>
            <w:tblGrid>
              <w:gridCol w:w="550"/>
              <w:gridCol w:w="551"/>
              <w:gridCol w:w="1679"/>
              <w:gridCol w:w="1252"/>
              <w:gridCol w:w="1264"/>
              <w:gridCol w:w="3070"/>
            </w:tblGrid>
            <w:tr w14:paraId="00094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rPr>
              <w:tc>
                <w:tcPr>
                  <w:tcW w:w="329" w:type="pct"/>
                  <w:shd w:val="clear" w:color="auto" w:fill="auto"/>
                  <w:vAlign w:val="center"/>
                </w:tcPr>
                <w:p w14:paraId="0B627BB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种类</w:t>
                  </w:r>
                </w:p>
              </w:tc>
              <w:tc>
                <w:tcPr>
                  <w:tcW w:w="329" w:type="pct"/>
                  <w:tcBorders>
                    <w:right w:val="single" w:color="000000" w:sz="4" w:space="0"/>
                  </w:tcBorders>
                  <w:shd w:val="clear" w:color="auto" w:fill="auto"/>
                  <w:vAlign w:val="center"/>
                </w:tcPr>
                <w:p w14:paraId="677B874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003" w:type="pct"/>
                  <w:tcBorders>
                    <w:left w:val="single" w:color="000000" w:sz="4" w:space="0"/>
                  </w:tcBorders>
                  <w:shd w:val="clear" w:color="auto" w:fill="auto"/>
                  <w:vAlign w:val="center"/>
                </w:tcPr>
                <w:p w14:paraId="1C2D55B8">
                  <w:pPr>
                    <w:pStyle w:val="41"/>
                    <w:keepNext w:val="0"/>
                    <w:keepLines w:val="0"/>
                    <w:pageBreakBefore w:val="0"/>
                    <w:widowControl w:val="0"/>
                    <w:suppressLineNumbers w:val="0"/>
                    <w:tabs>
                      <w:tab w:val="left" w:pos="437"/>
                    </w:tabs>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w:t>
                  </w:r>
                  <w:r>
                    <w:rPr>
                      <w:rFonts w:hint="default" w:ascii="Times New Roman" w:hAnsi="Times New Roman" w:eastAsia="宋体" w:cs="Times New Roman"/>
                      <w:b/>
                      <w:color w:val="auto"/>
                      <w:sz w:val="21"/>
                      <w:szCs w:val="21"/>
                    </w:rPr>
                    <w:tab/>
                  </w:r>
                  <w:r>
                    <w:rPr>
                      <w:rFonts w:hint="default" w:ascii="Times New Roman" w:hAnsi="Times New Roman" w:eastAsia="宋体" w:cs="Times New Roman"/>
                      <w:b/>
                      <w:color w:val="auto"/>
                      <w:sz w:val="21"/>
                      <w:szCs w:val="21"/>
                    </w:rPr>
                    <w:t>称</w:t>
                  </w:r>
                </w:p>
              </w:tc>
              <w:tc>
                <w:tcPr>
                  <w:tcW w:w="748" w:type="pct"/>
                  <w:shd w:val="clear" w:color="auto" w:fill="auto"/>
                  <w:vAlign w:val="center"/>
                </w:tcPr>
                <w:p w14:paraId="3967C65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年消耗</w:t>
                  </w:r>
                  <w:r>
                    <w:rPr>
                      <w:rFonts w:hint="default" w:ascii="Times New Roman" w:hAnsi="Times New Roman" w:eastAsia="宋体" w:cs="Times New Roman"/>
                      <w:b/>
                      <w:color w:val="auto"/>
                      <w:sz w:val="21"/>
                      <w:szCs w:val="21"/>
                    </w:rPr>
                    <w:t>量</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t/a</w:t>
                  </w:r>
                  <w:r>
                    <w:rPr>
                      <w:rFonts w:hint="default" w:ascii="Times New Roman" w:hAnsi="Times New Roman" w:eastAsia="宋体" w:cs="Times New Roman"/>
                      <w:b/>
                      <w:color w:val="auto"/>
                      <w:sz w:val="21"/>
                      <w:szCs w:val="21"/>
                      <w:lang w:eastAsia="zh-CN"/>
                    </w:rPr>
                    <w:t>）</w:t>
                  </w:r>
                </w:p>
              </w:tc>
              <w:tc>
                <w:tcPr>
                  <w:tcW w:w="755" w:type="pct"/>
                  <w:shd w:val="clear" w:color="auto" w:fill="auto"/>
                  <w:vAlign w:val="center"/>
                </w:tcPr>
                <w:p w14:paraId="0D0BDD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厂区最大暂存量</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t</w:t>
                  </w:r>
                  <w:r>
                    <w:rPr>
                      <w:rFonts w:hint="default" w:ascii="Times New Roman" w:hAnsi="Times New Roman" w:eastAsia="宋体" w:cs="Times New Roman"/>
                      <w:b/>
                      <w:color w:val="auto"/>
                      <w:sz w:val="21"/>
                      <w:szCs w:val="21"/>
                      <w:lang w:eastAsia="zh-CN"/>
                    </w:rPr>
                    <w:t>）</w:t>
                  </w:r>
                </w:p>
              </w:tc>
              <w:tc>
                <w:tcPr>
                  <w:tcW w:w="1834" w:type="pct"/>
                  <w:shd w:val="clear" w:color="auto" w:fill="auto"/>
                  <w:vAlign w:val="center"/>
                </w:tcPr>
                <w:p w14:paraId="14B7FCA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来源</w:t>
                  </w:r>
                </w:p>
              </w:tc>
            </w:tr>
            <w:tr w14:paraId="3B4BE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vMerge w:val="restart"/>
                  <w:shd w:val="clear" w:color="auto" w:fill="auto"/>
                  <w:vAlign w:val="center"/>
                </w:tcPr>
                <w:p w14:paraId="071FE50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6901DDB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614BE41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颜填料</w:t>
                  </w:r>
                </w:p>
              </w:tc>
              <w:tc>
                <w:tcPr>
                  <w:tcW w:w="329" w:type="pct"/>
                  <w:tcBorders>
                    <w:right w:val="single" w:color="000000" w:sz="4" w:space="0"/>
                  </w:tcBorders>
                  <w:shd w:val="clear" w:color="auto" w:fill="auto"/>
                  <w:vAlign w:val="center"/>
                </w:tcPr>
                <w:p w14:paraId="0E1205A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1003" w:type="pct"/>
                  <w:tcBorders>
                    <w:left w:val="single" w:color="000000" w:sz="4" w:space="0"/>
                  </w:tcBorders>
                  <w:shd w:val="clear" w:color="auto" w:fill="auto"/>
                  <w:vAlign w:val="center"/>
                </w:tcPr>
                <w:p w14:paraId="7E1ADB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金红石钛白粉</w:t>
                  </w:r>
                </w:p>
              </w:tc>
              <w:tc>
                <w:tcPr>
                  <w:tcW w:w="1252" w:type="dxa"/>
                  <w:shd w:val="clear" w:color="auto" w:fill="auto"/>
                  <w:vAlign w:val="center"/>
                </w:tcPr>
                <w:p w14:paraId="76AD3B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3802.5</w:t>
                  </w:r>
                </w:p>
              </w:tc>
              <w:tc>
                <w:tcPr>
                  <w:tcW w:w="755" w:type="pct"/>
                  <w:tcBorders>
                    <w:bottom w:val="single" w:color="000000" w:sz="4" w:space="0"/>
                  </w:tcBorders>
                  <w:shd w:val="clear" w:color="auto" w:fill="auto"/>
                  <w:vAlign w:val="center"/>
                </w:tcPr>
                <w:p w14:paraId="7D3FBD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834" w:type="pct"/>
                  <w:tcBorders>
                    <w:bottom w:val="single" w:color="000000" w:sz="4" w:space="0"/>
                  </w:tcBorders>
                  <w:shd w:val="clear" w:color="auto" w:fill="auto"/>
                  <w:vAlign w:val="center"/>
                </w:tcPr>
                <w:p w14:paraId="1DC5D8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富民工业园区钛白粉生产企业</w:t>
                  </w:r>
                </w:p>
              </w:tc>
            </w:tr>
            <w:tr w14:paraId="5CEE3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12FC0E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3D68DE7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1003" w:type="pct"/>
                  <w:tcBorders>
                    <w:left w:val="single" w:color="000000" w:sz="4" w:space="0"/>
                  </w:tcBorders>
                  <w:shd w:val="clear" w:color="auto" w:fill="auto"/>
                  <w:vAlign w:val="center"/>
                </w:tcPr>
                <w:p w14:paraId="7CD43C5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重质碳酸钙</w:t>
                  </w:r>
                </w:p>
              </w:tc>
              <w:tc>
                <w:tcPr>
                  <w:tcW w:w="1252" w:type="dxa"/>
                  <w:shd w:val="clear" w:color="auto" w:fill="auto"/>
                  <w:vAlign w:val="center"/>
                </w:tcPr>
                <w:p w14:paraId="1A6D44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24435.47</w:t>
                  </w:r>
                </w:p>
              </w:tc>
              <w:tc>
                <w:tcPr>
                  <w:tcW w:w="755" w:type="pct"/>
                  <w:tcBorders>
                    <w:top w:val="single" w:color="000000" w:sz="4" w:space="0"/>
                  </w:tcBorders>
                  <w:shd w:val="clear" w:color="auto" w:fill="auto"/>
                  <w:vAlign w:val="center"/>
                </w:tcPr>
                <w:p w14:paraId="1384EF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834" w:type="pct"/>
                  <w:tcBorders>
                    <w:top w:val="single" w:color="000000" w:sz="4" w:space="0"/>
                  </w:tcBorders>
                  <w:shd w:val="clear" w:color="auto" w:fill="auto"/>
                  <w:vAlign w:val="center"/>
                </w:tcPr>
                <w:p w14:paraId="70D4D0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r w14:paraId="7761B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19A0AA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361CAB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1003" w:type="pct"/>
                  <w:tcBorders>
                    <w:left w:val="single" w:color="000000" w:sz="4" w:space="0"/>
                  </w:tcBorders>
                  <w:shd w:val="clear" w:color="auto" w:fill="auto"/>
                  <w:vAlign w:val="center"/>
                </w:tcPr>
                <w:p w14:paraId="6ABCF53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高岭土</w:t>
                  </w:r>
                </w:p>
              </w:tc>
              <w:tc>
                <w:tcPr>
                  <w:tcW w:w="1252" w:type="dxa"/>
                  <w:shd w:val="clear" w:color="auto" w:fill="auto"/>
                  <w:vAlign w:val="center"/>
                </w:tcPr>
                <w:p w14:paraId="05A99B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7608.055</w:t>
                  </w:r>
                </w:p>
              </w:tc>
              <w:tc>
                <w:tcPr>
                  <w:tcW w:w="755" w:type="pct"/>
                  <w:shd w:val="clear" w:color="auto" w:fill="auto"/>
                  <w:vAlign w:val="center"/>
                </w:tcPr>
                <w:p w14:paraId="45BF8D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834" w:type="pct"/>
                  <w:shd w:val="clear" w:color="auto" w:fill="auto"/>
                  <w:vAlign w:val="center"/>
                </w:tcPr>
                <w:p w14:paraId="149BAC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r w14:paraId="6758F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90" w:hRule="atLeast"/>
              </w:trPr>
              <w:tc>
                <w:tcPr>
                  <w:tcW w:w="329" w:type="pct"/>
                  <w:vMerge w:val="continue"/>
                  <w:tcBorders>
                    <w:top w:val="nil"/>
                  </w:tcBorders>
                  <w:shd w:val="clear" w:color="auto" w:fill="auto"/>
                  <w:vAlign w:val="center"/>
                </w:tcPr>
                <w:p w14:paraId="4D7406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75FB48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1003" w:type="pct"/>
                  <w:tcBorders>
                    <w:left w:val="single" w:color="000000" w:sz="4" w:space="0"/>
                  </w:tcBorders>
                  <w:shd w:val="clear" w:color="auto" w:fill="auto"/>
                  <w:vAlign w:val="center"/>
                </w:tcPr>
                <w:p w14:paraId="39306C2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醋丙乳液</w:t>
                  </w:r>
                </w:p>
              </w:tc>
              <w:tc>
                <w:tcPr>
                  <w:tcW w:w="1252" w:type="dxa"/>
                  <w:shd w:val="clear" w:color="auto" w:fill="auto"/>
                  <w:vAlign w:val="center"/>
                </w:tcPr>
                <w:p w14:paraId="33DE5B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2936.25</w:t>
                  </w:r>
                </w:p>
              </w:tc>
              <w:tc>
                <w:tcPr>
                  <w:tcW w:w="755" w:type="pct"/>
                  <w:shd w:val="clear" w:color="auto" w:fill="auto"/>
                  <w:vAlign w:val="center"/>
                </w:tcPr>
                <w:p w14:paraId="28DDA4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834" w:type="pct"/>
                  <w:shd w:val="clear" w:color="auto" w:fill="auto"/>
                  <w:vAlign w:val="center"/>
                </w:tcPr>
                <w:p w14:paraId="439985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战略合作企业及伙伴</w:t>
                  </w:r>
                </w:p>
              </w:tc>
            </w:tr>
            <w:tr w14:paraId="173B9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43010A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55F6E73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1003" w:type="pct"/>
                  <w:tcBorders>
                    <w:left w:val="single" w:color="000000" w:sz="4" w:space="0"/>
                  </w:tcBorders>
                  <w:shd w:val="clear" w:color="auto" w:fill="auto"/>
                  <w:vAlign w:val="center"/>
                </w:tcPr>
                <w:p w14:paraId="3D22CE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苯乙烯-丙烯酸聚合乳液</w:t>
                  </w:r>
                </w:p>
              </w:tc>
              <w:tc>
                <w:tcPr>
                  <w:tcW w:w="1252" w:type="dxa"/>
                  <w:shd w:val="clear" w:color="auto" w:fill="auto"/>
                  <w:vAlign w:val="center"/>
                </w:tcPr>
                <w:p w14:paraId="761240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7973.174</w:t>
                  </w:r>
                </w:p>
              </w:tc>
              <w:tc>
                <w:tcPr>
                  <w:tcW w:w="755" w:type="pct"/>
                  <w:shd w:val="clear" w:color="auto" w:fill="auto"/>
                  <w:vAlign w:val="center"/>
                </w:tcPr>
                <w:p w14:paraId="7DD5FA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834" w:type="pct"/>
                  <w:shd w:val="clear" w:color="auto" w:fill="auto"/>
                  <w:vAlign w:val="center"/>
                </w:tcPr>
                <w:p w14:paraId="65D433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战略合作企业及伙伴</w:t>
                  </w:r>
                </w:p>
              </w:tc>
            </w:tr>
            <w:tr w14:paraId="077E2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29" w:type="pct"/>
                  <w:shd w:val="clear" w:color="auto" w:fill="auto"/>
                  <w:vAlign w:val="center"/>
                </w:tcPr>
                <w:p w14:paraId="3393F4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溶剂</w:t>
                  </w:r>
                </w:p>
              </w:tc>
              <w:tc>
                <w:tcPr>
                  <w:tcW w:w="329" w:type="pct"/>
                  <w:tcBorders>
                    <w:right w:val="single" w:color="000000" w:sz="4" w:space="0"/>
                  </w:tcBorders>
                  <w:shd w:val="clear" w:color="auto" w:fill="auto"/>
                  <w:vAlign w:val="center"/>
                </w:tcPr>
                <w:p w14:paraId="1B6EF2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1003" w:type="pct"/>
                  <w:tcBorders>
                    <w:left w:val="single" w:color="000000" w:sz="4" w:space="0"/>
                  </w:tcBorders>
                  <w:shd w:val="clear" w:color="auto" w:fill="auto"/>
                  <w:vAlign w:val="center"/>
                </w:tcPr>
                <w:p w14:paraId="5E64E51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过滤水</w:t>
                  </w:r>
                </w:p>
              </w:tc>
              <w:tc>
                <w:tcPr>
                  <w:tcW w:w="1252" w:type="dxa"/>
                  <w:shd w:val="clear" w:color="auto" w:fill="auto"/>
                  <w:vAlign w:val="center"/>
                </w:tcPr>
                <w:p w14:paraId="077743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26906.55</w:t>
                  </w:r>
                </w:p>
              </w:tc>
              <w:tc>
                <w:tcPr>
                  <w:tcW w:w="755" w:type="pct"/>
                  <w:shd w:val="clear" w:color="auto" w:fill="auto"/>
                  <w:vAlign w:val="center"/>
                </w:tcPr>
                <w:p w14:paraId="19322C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834" w:type="pct"/>
                  <w:shd w:val="clear" w:color="auto" w:fill="auto"/>
                  <w:vAlign w:val="center"/>
                </w:tcPr>
                <w:p w14:paraId="61717F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工业园区</w:t>
                  </w:r>
                </w:p>
              </w:tc>
            </w:tr>
            <w:tr w14:paraId="7AD74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90" w:hRule="atLeast"/>
              </w:trPr>
              <w:tc>
                <w:tcPr>
                  <w:tcW w:w="329" w:type="pct"/>
                  <w:vMerge w:val="restart"/>
                  <w:shd w:val="clear" w:color="auto" w:fill="auto"/>
                  <w:vAlign w:val="center"/>
                </w:tcPr>
                <w:p w14:paraId="3FB3FB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6524D5E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2F4228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0E9629F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w:t>
                  </w:r>
                </w:p>
              </w:tc>
              <w:tc>
                <w:tcPr>
                  <w:tcW w:w="329" w:type="pct"/>
                  <w:tcBorders>
                    <w:right w:val="single" w:color="000000" w:sz="4" w:space="0"/>
                  </w:tcBorders>
                  <w:shd w:val="clear" w:color="auto" w:fill="auto"/>
                  <w:vAlign w:val="center"/>
                </w:tcPr>
                <w:p w14:paraId="6143F0F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1003" w:type="pct"/>
                  <w:tcBorders>
                    <w:left w:val="single" w:color="000000" w:sz="4" w:space="0"/>
                  </w:tcBorders>
                  <w:shd w:val="clear" w:color="auto" w:fill="auto"/>
                  <w:vAlign w:val="center"/>
                </w:tcPr>
                <w:p w14:paraId="52DD747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成膜助剂（十二碳酸酯）</w:t>
                  </w:r>
                </w:p>
              </w:tc>
              <w:tc>
                <w:tcPr>
                  <w:tcW w:w="1252" w:type="dxa"/>
                  <w:shd w:val="clear" w:color="auto" w:fill="auto"/>
                  <w:vAlign w:val="center"/>
                </w:tcPr>
                <w:p w14:paraId="72393E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596.75</w:t>
                  </w:r>
                </w:p>
              </w:tc>
              <w:tc>
                <w:tcPr>
                  <w:tcW w:w="755" w:type="pct"/>
                  <w:shd w:val="clear" w:color="auto" w:fill="auto"/>
                  <w:vAlign w:val="center"/>
                </w:tcPr>
                <w:p w14:paraId="54C5C9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1834" w:type="pct"/>
                  <w:shd w:val="clear" w:color="auto" w:fill="auto"/>
                  <w:vAlign w:val="center"/>
                </w:tcPr>
                <w:p w14:paraId="560375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r w14:paraId="0968A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5399F0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076021E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8</w:t>
                  </w:r>
                </w:p>
              </w:tc>
              <w:tc>
                <w:tcPr>
                  <w:tcW w:w="1003" w:type="pct"/>
                  <w:tcBorders>
                    <w:left w:val="single" w:color="000000" w:sz="4" w:space="0"/>
                  </w:tcBorders>
                  <w:shd w:val="clear" w:color="auto" w:fill="auto"/>
                  <w:vAlign w:val="center"/>
                </w:tcPr>
                <w:p w14:paraId="14142D7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增稠剂（羟乙基纤维素）</w:t>
                  </w:r>
                </w:p>
              </w:tc>
              <w:tc>
                <w:tcPr>
                  <w:tcW w:w="1252" w:type="dxa"/>
                  <w:shd w:val="clear" w:color="auto" w:fill="auto"/>
                  <w:vAlign w:val="center"/>
                </w:tcPr>
                <w:p w14:paraId="6BC09D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755" w:type="pct"/>
                  <w:shd w:val="clear" w:color="auto" w:fill="auto"/>
                  <w:vAlign w:val="center"/>
                </w:tcPr>
                <w:p w14:paraId="22FA7B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1834" w:type="pct"/>
                  <w:shd w:val="clear" w:color="auto" w:fill="auto"/>
                  <w:vAlign w:val="center"/>
                </w:tcPr>
                <w:p w14:paraId="031F25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r w14:paraId="4EC28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077C74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186E5BA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9</w:t>
                  </w:r>
                </w:p>
              </w:tc>
              <w:tc>
                <w:tcPr>
                  <w:tcW w:w="1003" w:type="pct"/>
                  <w:tcBorders>
                    <w:left w:val="single" w:color="000000" w:sz="4" w:space="0"/>
                  </w:tcBorders>
                  <w:shd w:val="clear" w:color="auto" w:fill="auto"/>
                  <w:vAlign w:val="center"/>
                </w:tcPr>
                <w:p w14:paraId="1872F5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分散剂（聚丙烯酸钠盐）</w:t>
                  </w:r>
                </w:p>
              </w:tc>
              <w:tc>
                <w:tcPr>
                  <w:tcW w:w="1252" w:type="dxa"/>
                  <w:shd w:val="clear" w:color="auto" w:fill="auto"/>
                  <w:vAlign w:val="center"/>
                </w:tcPr>
                <w:p w14:paraId="1FAE65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755" w:type="pct"/>
                  <w:shd w:val="clear" w:color="auto" w:fill="auto"/>
                  <w:vAlign w:val="center"/>
                </w:tcPr>
                <w:p w14:paraId="2F1004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1834" w:type="pct"/>
                  <w:shd w:val="clear" w:color="auto" w:fill="auto"/>
                  <w:vAlign w:val="center"/>
                </w:tcPr>
                <w:p w14:paraId="4B5A31F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r w14:paraId="25357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5AEADC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0234A63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03" w:type="pct"/>
                  <w:tcBorders>
                    <w:left w:val="single" w:color="000000" w:sz="4" w:space="0"/>
                  </w:tcBorders>
                  <w:shd w:val="clear" w:color="auto" w:fill="auto"/>
                  <w:vAlign w:val="center"/>
                </w:tcPr>
                <w:p w14:paraId="0DBF90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消泡剂（矿物油）</w:t>
                  </w:r>
                </w:p>
              </w:tc>
              <w:tc>
                <w:tcPr>
                  <w:tcW w:w="1252" w:type="dxa"/>
                  <w:shd w:val="clear" w:color="auto" w:fill="auto"/>
                  <w:vAlign w:val="center"/>
                </w:tcPr>
                <w:p w14:paraId="331049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165.5</w:t>
                  </w:r>
                </w:p>
              </w:tc>
              <w:tc>
                <w:tcPr>
                  <w:tcW w:w="755" w:type="pct"/>
                  <w:shd w:val="clear" w:color="auto" w:fill="auto"/>
                  <w:vAlign w:val="center"/>
                </w:tcPr>
                <w:p w14:paraId="0553E8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834" w:type="pct"/>
                  <w:shd w:val="clear" w:color="auto" w:fill="auto"/>
                  <w:vAlign w:val="center"/>
                </w:tcPr>
                <w:p w14:paraId="135516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r w14:paraId="459A6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36289AF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74507B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003" w:type="pct"/>
                  <w:tcBorders>
                    <w:left w:val="single" w:color="000000" w:sz="4" w:space="0"/>
                  </w:tcBorders>
                  <w:shd w:val="clear" w:color="auto" w:fill="auto"/>
                  <w:vAlign w:val="center"/>
                </w:tcPr>
                <w:p w14:paraId="041B78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防冻剂（丙二醇）</w:t>
                  </w:r>
                </w:p>
              </w:tc>
              <w:tc>
                <w:tcPr>
                  <w:tcW w:w="1252" w:type="dxa"/>
                  <w:shd w:val="clear" w:color="auto" w:fill="auto"/>
                  <w:vAlign w:val="center"/>
                </w:tcPr>
                <w:p w14:paraId="157226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86.25</w:t>
                  </w:r>
                </w:p>
              </w:tc>
              <w:tc>
                <w:tcPr>
                  <w:tcW w:w="755" w:type="pct"/>
                  <w:shd w:val="clear" w:color="auto" w:fill="auto"/>
                  <w:vAlign w:val="center"/>
                </w:tcPr>
                <w:p w14:paraId="4BCBC3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34" w:type="pct"/>
                  <w:shd w:val="clear" w:color="auto" w:fill="auto"/>
                  <w:vAlign w:val="center"/>
                </w:tcPr>
                <w:p w14:paraId="25FFF3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bl>
          <w:p w14:paraId="6477E8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 </w:t>
            </w:r>
            <w:r>
              <w:rPr>
                <w:rFonts w:hint="eastAsia" w:cs="Times New Roman"/>
                <w:b/>
                <w:bCs/>
                <w:color w:val="auto"/>
                <w:sz w:val="21"/>
                <w:szCs w:val="21"/>
                <w:lang w:val="en-US" w:eastAsia="zh-CN"/>
              </w:rPr>
              <w:t>2-6</w:t>
            </w:r>
            <w:r>
              <w:rPr>
                <w:rFonts w:hint="default" w:ascii="Times New Roman" w:hAnsi="Times New Roman" w:eastAsia="宋体" w:cs="Times New Roman"/>
                <w:b/>
                <w:bCs/>
                <w:color w:val="auto"/>
                <w:sz w:val="21"/>
                <w:szCs w:val="21"/>
                <w:lang w:val="en-US" w:eastAsia="zh-CN"/>
              </w:rPr>
              <w:t xml:space="preserve"> 砂壁产品原辅材料消耗表</w:t>
            </w:r>
          </w:p>
          <w:tbl>
            <w:tblPr>
              <w:tblStyle w:val="28"/>
              <w:tblW w:w="499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autofit"/>
              <w:tblCellMar>
                <w:top w:w="0" w:type="dxa"/>
                <w:left w:w="0" w:type="dxa"/>
                <w:bottom w:w="0" w:type="dxa"/>
                <w:right w:w="0" w:type="dxa"/>
              </w:tblCellMar>
            </w:tblPr>
            <w:tblGrid>
              <w:gridCol w:w="564"/>
              <w:gridCol w:w="571"/>
              <w:gridCol w:w="1993"/>
              <w:gridCol w:w="1675"/>
              <w:gridCol w:w="1245"/>
              <w:gridCol w:w="2315"/>
            </w:tblGrid>
            <w:tr w14:paraId="25687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37" w:type="pct"/>
                  <w:shd w:val="clear" w:color="auto" w:fill="auto"/>
                  <w:vAlign w:val="center"/>
                </w:tcPr>
                <w:p w14:paraId="379D59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种类</w:t>
                  </w:r>
                </w:p>
              </w:tc>
              <w:tc>
                <w:tcPr>
                  <w:tcW w:w="341" w:type="pct"/>
                  <w:tcBorders>
                    <w:right w:val="single" w:color="000000" w:sz="4" w:space="0"/>
                  </w:tcBorders>
                  <w:shd w:val="clear" w:color="auto" w:fill="auto"/>
                  <w:vAlign w:val="center"/>
                </w:tcPr>
                <w:p w14:paraId="1836DAA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191" w:type="pct"/>
                  <w:tcBorders>
                    <w:left w:val="single" w:color="000000" w:sz="4" w:space="0"/>
                  </w:tcBorders>
                  <w:shd w:val="clear" w:color="auto" w:fill="auto"/>
                  <w:vAlign w:val="center"/>
                </w:tcPr>
                <w:p w14:paraId="5947BB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名</w:t>
                  </w:r>
                  <w:r>
                    <w:rPr>
                      <w:rFonts w:hint="default" w:ascii="Times New Roman" w:hAnsi="Times New Roman" w:eastAsia="宋体" w:cs="Times New Roman"/>
                      <w:color w:val="auto"/>
                      <w:sz w:val="21"/>
                    </w:rPr>
                    <w:tab/>
                  </w:r>
                  <w:r>
                    <w:rPr>
                      <w:rFonts w:hint="default" w:ascii="Times New Roman" w:hAnsi="Times New Roman" w:eastAsia="宋体" w:cs="Times New Roman"/>
                      <w:color w:val="auto"/>
                      <w:sz w:val="21"/>
                    </w:rPr>
                    <w:t>称</w:t>
                  </w:r>
                </w:p>
              </w:tc>
              <w:tc>
                <w:tcPr>
                  <w:tcW w:w="1001" w:type="pct"/>
                  <w:shd w:val="clear" w:color="auto" w:fill="auto"/>
                  <w:vAlign w:val="center"/>
                </w:tcPr>
                <w:p w14:paraId="1129DEE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年消耗</w:t>
                  </w:r>
                  <w:r>
                    <w:rPr>
                      <w:rFonts w:hint="default" w:ascii="Times New Roman" w:hAnsi="Times New Roman" w:eastAsia="宋体" w:cs="Times New Roman"/>
                      <w:color w:val="auto"/>
                      <w:sz w:val="21"/>
                    </w:rPr>
                    <w:t>量</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lang w:val="en-US" w:eastAsia="zh-CN"/>
                    </w:rPr>
                    <w:t>t/a</w:t>
                  </w:r>
                  <w:r>
                    <w:rPr>
                      <w:rFonts w:hint="default" w:ascii="Times New Roman" w:hAnsi="Times New Roman" w:eastAsia="宋体" w:cs="Times New Roman"/>
                      <w:color w:val="auto"/>
                      <w:sz w:val="21"/>
                      <w:lang w:eastAsia="zh-CN"/>
                    </w:rPr>
                    <w:t>）</w:t>
                  </w:r>
                </w:p>
              </w:tc>
              <w:tc>
                <w:tcPr>
                  <w:tcW w:w="744" w:type="pct"/>
                  <w:shd w:val="clear" w:color="auto" w:fill="auto"/>
                  <w:vAlign w:val="center"/>
                </w:tcPr>
                <w:p w14:paraId="293EB7D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厂区最大暂存量</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lang w:val="en-US" w:eastAsia="zh-CN"/>
                    </w:rPr>
                    <w:t>t</w:t>
                  </w:r>
                  <w:r>
                    <w:rPr>
                      <w:rFonts w:hint="default" w:ascii="Times New Roman" w:hAnsi="Times New Roman" w:eastAsia="宋体" w:cs="Times New Roman"/>
                      <w:color w:val="auto"/>
                      <w:sz w:val="21"/>
                      <w:lang w:eastAsia="zh-CN"/>
                    </w:rPr>
                    <w:t>）</w:t>
                  </w:r>
                </w:p>
              </w:tc>
              <w:tc>
                <w:tcPr>
                  <w:tcW w:w="1383" w:type="pct"/>
                  <w:shd w:val="clear" w:color="auto" w:fill="auto"/>
                  <w:vAlign w:val="center"/>
                </w:tcPr>
                <w:p w14:paraId="16FEE2D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来源</w:t>
                  </w:r>
                </w:p>
              </w:tc>
            </w:tr>
            <w:tr w14:paraId="03178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restart"/>
                  <w:shd w:val="clear" w:color="auto" w:fill="auto"/>
                  <w:vAlign w:val="center"/>
                </w:tcPr>
                <w:p w14:paraId="11D0DC2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1687A3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颜填料</w:t>
                  </w:r>
                </w:p>
              </w:tc>
              <w:tc>
                <w:tcPr>
                  <w:tcW w:w="341" w:type="pct"/>
                  <w:tcBorders>
                    <w:right w:val="single" w:color="000000" w:sz="4" w:space="0"/>
                  </w:tcBorders>
                  <w:shd w:val="clear" w:color="auto" w:fill="auto"/>
                  <w:vAlign w:val="center"/>
                </w:tcPr>
                <w:p w14:paraId="4B7A089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191" w:type="pct"/>
                  <w:tcBorders>
                    <w:left w:val="single" w:color="000000" w:sz="4" w:space="0"/>
                  </w:tcBorders>
                  <w:shd w:val="clear" w:color="auto" w:fill="auto"/>
                  <w:vAlign w:val="center"/>
                </w:tcPr>
                <w:p w14:paraId="40F9C0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白砂</w:t>
                  </w:r>
                </w:p>
              </w:tc>
              <w:tc>
                <w:tcPr>
                  <w:tcW w:w="1675" w:type="dxa"/>
                  <w:shd w:val="clear" w:color="auto" w:fill="auto"/>
                  <w:vAlign w:val="center"/>
                </w:tcPr>
                <w:p w14:paraId="346AF7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16103.75</w:t>
                  </w:r>
                </w:p>
              </w:tc>
              <w:tc>
                <w:tcPr>
                  <w:tcW w:w="744" w:type="pct"/>
                  <w:tcBorders>
                    <w:bottom w:val="single" w:color="000000" w:sz="4" w:space="0"/>
                  </w:tcBorders>
                  <w:shd w:val="clear" w:color="auto" w:fill="auto"/>
                  <w:vAlign w:val="center"/>
                </w:tcPr>
                <w:p w14:paraId="494197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w:t>
                  </w:r>
                </w:p>
              </w:tc>
              <w:tc>
                <w:tcPr>
                  <w:tcW w:w="1383" w:type="pct"/>
                  <w:tcBorders>
                    <w:bottom w:val="single" w:color="000000" w:sz="4" w:space="0"/>
                  </w:tcBorders>
                  <w:shd w:val="clear" w:color="auto" w:fill="auto"/>
                  <w:vAlign w:val="center"/>
                </w:tcPr>
                <w:p w14:paraId="637213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0BAF6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194926D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5F63D1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1191" w:type="pct"/>
                  <w:tcBorders>
                    <w:left w:val="single" w:color="000000" w:sz="4" w:space="0"/>
                  </w:tcBorders>
                  <w:shd w:val="clear" w:color="auto" w:fill="auto"/>
                  <w:vAlign w:val="center"/>
                </w:tcPr>
                <w:p w14:paraId="48E4601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苯乙烯-丙烯酸聚合乳液</w:t>
                  </w:r>
                </w:p>
              </w:tc>
              <w:tc>
                <w:tcPr>
                  <w:tcW w:w="1675" w:type="dxa"/>
                  <w:shd w:val="clear" w:color="auto" w:fill="auto"/>
                  <w:vAlign w:val="center"/>
                </w:tcPr>
                <w:p w14:paraId="5281C8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3591.7266</w:t>
                  </w:r>
                </w:p>
              </w:tc>
              <w:tc>
                <w:tcPr>
                  <w:tcW w:w="744" w:type="pct"/>
                  <w:tcBorders>
                    <w:top w:val="single" w:color="000000" w:sz="4" w:space="0"/>
                  </w:tcBorders>
                  <w:shd w:val="clear" w:color="auto" w:fill="auto"/>
                  <w:vAlign w:val="center"/>
                </w:tcPr>
                <w:p w14:paraId="58A009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w:t>
                  </w:r>
                </w:p>
              </w:tc>
              <w:tc>
                <w:tcPr>
                  <w:tcW w:w="1383" w:type="pct"/>
                  <w:tcBorders>
                    <w:top w:val="single" w:color="000000" w:sz="4" w:space="0"/>
                  </w:tcBorders>
                  <w:shd w:val="clear" w:color="auto" w:fill="auto"/>
                  <w:vAlign w:val="center"/>
                </w:tcPr>
                <w:p w14:paraId="00C410C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战略合作企业及伙伴</w:t>
                  </w:r>
                </w:p>
              </w:tc>
            </w:tr>
            <w:tr w14:paraId="41C50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56C8829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67F515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1191" w:type="pct"/>
                  <w:tcBorders>
                    <w:left w:val="single" w:color="000000" w:sz="4" w:space="0"/>
                  </w:tcBorders>
                  <w:shd w:val="clear" w:color="auto" w:fill="auto"/>
                  <w:vAlign w:val="center"/>
                </w:tcPr>
                <w:p w14:paraId="56F3903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重质碳酸钙</w:t>
                  </w:r>
                </w:p>
              </w:tc>
              <w:tc>
                <w:tcPr>
                  <w:tcW w:w="1675" w:type="dxa"/>
                  <w:shd w:val="clear" w:color="auto" w:fill="auto"/>
                  <w:vAlign w:val="center"/>
                </w:tcPr>
                <w:p w14:paraId="03463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2182.6564</w:t>
                  </w:r>
                </w:p>
              </w:tc>
              <w:tc>
                <w:tcPr>
                  <w:tcW w:w="744" w:type="pct"/>
                  <w:shd w:val="clear" w:color="auto" w:fill="auto"/>
                  <w:vAlign w:val="center"/>
                </w:tcPr>
                <w:p w14:paraId="3CCAE8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w:t>
                  </w:r>
                </w:p>
              </w:tc>
              <w:tc>
                <w:tcPr>
                  <w:tcW w:w="1383" w:type="pct"/>
                  <w:shd w:val="clear" w:color="auto" w:fill="auto"/>
                  <w:vAlign w:val="center"/>
                </w:tcPr>
                <w:p w14:paraId="104EE6C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71909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07D196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5DCA101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1191" w:type="pct"/>
                  <w:tcBorders>
                    <w:left w:val="single" w:color="000000" w:sz="4" w:space="0"/>
                  </w:tcBorders>
                  <w:shd w:val="clear" w:color="auto" w:fill="auto"/>
                  <w:vAlign w:val="center"/>
                </w:tcPr>
                <w:p w14:paraId="7A6713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钛白粉</w:t>
                  </w:r>
                </w:p>
              </w:tc>
              <w:tc>
                <w:tcPr>
                  <w:tcW w:w="1675" w:type="dxa"/>
                  <w:shd w:val="clear" w:color="auto" w:fill="auto"/>
                  <w:vAlign w:val="center"/>
                </w:tcPr>
                <w:p w14:paraId="426E99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184.75</w:t>
                  </w:r>
                </w:p>
              </w:tc>
              <w:tc>
                <w:tcPr>
                  <w:tcW w:w="744" w:type="pct"/>
                  <w:shd w:val="clear" w:color="auto" w:fill="auto"/>
                  <w:vAlign w:val="center"/>
                </w:tcPr>
                <w:p w14:paraId="201A10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w:t>
                  </w:r>
                </w:p>
              </w:tc>
              <w:tc>
                <w:tcPr>
                  <w:tcW w:w="1383" w:type="pct"/>
                  <w:shd w:val="clear" w:color="auto" w:fill="auto"/>
                  <w:vAlign w:val="center"/>
                </w:tcPr>
                <w:p w14:paraId="1FD6A9A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富民工业园区钛白粉生产企业</w:t>
                  </w:r>
                </w:p>
              </w:tc>
            </w:tr>
            <w:tr w14:paraId="30370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37" w:type="pct"/>
                  <w:shd w:val="clear" w:color="auto" w:fill="auto"/>
                  <w:vAlign w:val="center"/>
                </w:tcPr>
                <w:p w14:paraId="7B17390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溶剂</w:t>
                  </w:r>
                </w:p>
              </w:tc>
              <w:tc>
                <w:tcPr>
                  <w:tcW w:w="341" w:type="pct"/>
                  <w:tcBorders>
                    <w:right w:val="single" w:color="000000" w:sz="4" w:space="0"/>
                  </w:tcBorders>
                  <w:shd w:val="clear" w:color="auto" w:fill="auto"/>
                  <w:vAlign w:val="center"/>
                </w:tcPr>
                <w:p w14:paraId="53C6D4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w:t>
                  </w:r>
                </w:p>
              </w:tc>
              <w:tc>
                <w:tcPr>
                  <w:tcW w:w="1191" w:type="pct"/>
                  <w:tcBorders>
                    <w:left w:val="single" w:color="000000" w:sz="4" w:space="0"/>
                  </w:tcBorders>
                  <w:shd w:val="clear" w:color="auto" w:fill="auto"/>
                  <w:vAlign w:val="center"/>
                </w:tcPr>
                <w:p w14:paraId="54EBE8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过滤水</w:t>
                  </w:r>
                </w:p>
              </w:tc>
              <w:tc>
                <w:tcPr>
                  <w:tcW w:w="1675" w:type="dxa"/>
                  <w:shd w:val="clear" w:color="auto" w:fill="auto"/>
                  <w:vAlign w:val="center"/>
                </w:tcPr>
                <w:p w14:paraId="0561EF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2400.51</w:t>
                  </w:r>
                </w:p>
              </w:tc>
              <w:tc>
                <w:tcPr>
                  <w:tcW w:w="744" w:type="pct"/>
                  <w:shd w:val="clear" w:color="auto" w:fill="auto"/>
                  <w:vAlign w:val="center"/>
                </w:tcPr>
                <w:p w14:paraId="60FA47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c>
                <w:tcPr>
                  <w:tcW w:w="1383" w:type="pct"/>
                  <w:shd w:val="clear" w:color="auto" w:fill="auto"/>
                  <w:vAlign w:val="center"/>
                </w:tcPr>
                <w:p w14:paraId="22C987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工业园区</w:t>
                  </w:r>
                </w:p>
              </w:tc>
            </w:tr>
            <w:tr w14:paraId="3F99F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37" w:type="pct"/>
                  <w:vMerge w:val="restart"/>
                  <w:shd w:val="clear" w:color="auto" w:fill="auto"/>
                  <w:vAlign w:val="center"/>
                </w:tcPr>
                <w:p w14:paraId="1B216CD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1AFB784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3E5D9F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0C39F24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助剂</w:t>
                  </w:r>
                </w:p>
              </w:tc>
              <w:tc>
                <w:tcPr>
                  <w:tcW w:w="341" w:type="pct"/>
                  <w:tcBorders>
                    <w:right w:val="single" w:color="000000" w:sz="4" w:space="0"/>
                  </w:tcBorders>
                  <w:shd w:val="clear" w:color="auto" w:fill="auto"/>
                  <w:vAlign w:val="center"/>
                </w:tcPr>
                <w:p w14:paraId="23D25A6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w:t>
                  </w:r>
                </w:p>
              </w:tc>
              <w:tc>
                <w:tcPr>
                  <w:tcW w:w="1191" w:type="pct"/>
                  <w:tcBorders>
                    <w:left w:val="single" w:color="000000" w:sz="4" w:space="0"/>
                  </w:tcBorders>
                  <w:shd w:val="clear" w:color="auto" w:fill="auto"/>
                  <w:vAlign w:val="center"/>
                </w:tcPr>
                <w:p w14:paraId="199CD28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成膜助剂（十二碳酸酯）</w:t>
                  </w:r>
                </w:p>
              </w:tc>
              <w:tc>
                <w:tcPr>
                  <w:tcW w:w="1675" w:type="dxa"/>
                  <w:shd w:val="clear" w:color="auto" w:fill="auto"/>
                  <w:vAlign w:val="center"/>
                </w:tcPr>
                <w:p w14:paraId="2EF5B9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182.5</w:t>
                  </w:r>
                </w:p>
              </w:tc>
              <w:tc>
                <w:tcPr>
                  <w:tcW w:w="744" w:type="pct"/>
                  <w:shd w:val="clear" w:color="auto" w:fill="auto"/>
                  <w:vAlign w:val="center"/>
                </w:tcPr>
                <w:p w14:paraId="2C34C5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w:t>
                  </w:r>
                </w:p>
              </w:tc>
              <w:tc>
                <w:tcPr>
                  <w:tcW w:w="1383" w:type="pct"/>
                  <w:shd w:val="clear" w:color="auto" w:fill="auto"/>
                  <w:vAlign w:val="center"/>
                </w:tcPr>
                <w:p w14:paraId="5109502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5F8D1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27C0D57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4DDA758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7</w:t>
                  </w:r>
                </w:p>
              </w:tc>
              <w:tc>
                <w:tcPr>
                  <w:tcW w:w="1191" w:type="pct"/>
                  <w:tcBorders>
                    <w:left w:val="single" w:color="000000" w:sz="4" w:space="0"/>
                  </w:tcBorders>
                  <w:shd w:val="clear" w:color="auto" w:fill="auto"/>
                  <w:vAlign w:val="center"/>
                </w:tcPr>
                <w:p w14:paraId="749535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增稠剂（羟乙基纤维素）</w:t>
                  </w:r>
                </w:p>
              </w:tc>
              <w:tc>
                <w:tcPr>
                  <w:tcW w:w="1675" w:type="dxa"/>
                  <w:shd w:val="clear" w:color="auto" w:fill="auto"/>
                  <w:vAlign w:val="center"/>
                </w:tcPr>
                <w:p w14:paraId="08D7B4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33.76</w:t>
                  </w:r>
                </w:p>
              </w:tc>
              <w:tc>
                <w:tcPr>
                  <w:tcW w:w="744" w:type="pct"/>
                  <w:shd w:val="clear" w:color="auto" w:fill="auto"/>
                  <w:vAlign w:val="center"/>
                </w:tcPr>
                <w:p w14:paraId="69B7A9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w:t>
                  </w:r>
                </w:p>
              </w:tc>
              <w:tc>
                <w:tcPr>
                  <w:tcW w:w="1383" w:type="pct"/>
                  <w:shd w:val="clear" w:color="auto" w:fill="auto"/>
                  <w:vAlign w:val="center"/>
                </w:tcPr>
                <w:p w14:paraId="607C09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2FD12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136E250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11BB6B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8</w:t>
                  </w:r>
                </w:p>
              </w:tc>
              <w:tc>
                <w:tcPr>
                  <w:tcW w:w="1191" w:type="pct"/>
                  <w:tcBorders>
                    <w:left w:val="single" w:color="000000" w:sz="4" w:space="0"/>
                  </w:tcBorders>
                  <w:shd w:val="clear" w:color="auto" w:fill="auto"/>
                  <w:vAlign w:val="center"/>
                </w:tcPr>
                <w:p w14:paraId="7F6D30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阻聚剂（氨水 25%）</w:t>
                  </w:r>
                </w:p>
              </w:tc>
              <w:tc>
                <w:tcPr>
                  <w:tcW w:w="1675" w:type="dxa"/>
                  <w:shd w:val="clear" w:color="auto" w:fill="auto"/>
                  <w:vAlign w:val="center"/>
                </w:tcPr>
                <w:p w14:paraId="5D84AF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744" w:type="pct"/>
                  <w:shd w:val="clear" w:color="auto" w:fill="auto"/>
                  <w:vAlign w:val="center"/>
                </w:tcPr>
                <w:p w14:paraId="1E1736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0.5</w:t>
                  </w:r>
                </w:p>
              </w:tc>
              <w:tc>
                <w:tcPr>
                  <w:tcW w:w="1383" w:type="pct"/>
                  <w:shd w:val="clear" w:color="auto" w:fill="auto"/>
                  <w:vAlign w:val="center"/>
                </w:tcPr>
                <w:p w14:paraId="02C2A6B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17E53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7659CD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464C14F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9</w:t>
                  </w:r>
                </w:p>
              </w:tc>
              <w:tc>
                <w:tcPr>
                  <w:tcW w:w="1191" w:type="pct"/>
                  <w:tcBorders>
                    <w:left w:val="single" w:color="000000" w:sz="4" w:space="0"/>
                  </w:tcBorders>
                  <w:shd w:val="clear" w:color="auto" w:fill="auto"/>
                  <w:vAlign w:val="center"/>
                </w:tcPr>
                <w:p w14:paraId="0430A4E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防冻剂（丙二醇）</w:t>
                  </w:r>
                </w:p>
              </w:tc>
              <w:tc>
                <w:tcPr>
                  <w:tcW w:w="1675" w:type="dxa"/>
                  <w:shd w:val="clear" w:color="auto" w:fill="auto"/>
                  <w:vAlign w:val="center"/>
                </w:tcPr>
                <w:p w14:paraId="33E866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182.9</w:t>
                  </w:r>
                </w:p>
              </w:tc>
              <w:tc>
                <w:tcPr>
                  <w:tcW w:w="744" w:type="pct"/>
                  <w:shd w:val="clear" w:color="auto" w:fill="auto"/>
                  <w:vAlign w:val="center"/>
                </w:tcPr>
                <w:p w14:paraId="77F1AF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w:t>
                  </w:r>
                </w:p>
              </w:tc>
              <w:tc>
                <w:tcPr>
                  <w:tcW w:w="1383" w:type="pct"/>
                  <w:shd w:val="clear" w:color="auto" w:fill="auto"/>
                  <w:vAlign w:val="center"/>
                </w:tcPr>
                <w:p w14:paraId="5C06FFD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6FED9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7391DC5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1E2C380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10</w:t>
                  </w:r>
                </w:p>
              </w:tc>
              <w:tc>
                <w:tcPr>
                  <w:tcW w:w="1191" w:type="pct"/>
                  <w:tcBorders>
                    <w:left w:val="single" w:color="000000" w:sz="4" w:space="0"/>
                  </w:tcBorders>
                  <w:shd w:val="clear" w:color="auto" w:fill="auto"/>
                  <w:vAlign w:val="center"/>
                </w:tcPr>
                <w:p w14:paraId="4093548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分散剂（聚丙烯酸钠盐）</w:t>
                  </w:r>
                </w:p>
              </w:tc>
              <w:tc>
                <w:tcPr>
                  <w:tcW w:w="1675" w:type="dxa"/>
                  <w:shd w:val="clear" w:color="auto" w:fill="auto"/>
                  <w:vAlign w:val="center"/>
                </w:tcPr>
                <w:p w14:paraId="057573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44" w:type="pct"/>
                  <w:shd w:val="clear" w:color="auto" w:fill="auto"/>
                  <w:vAlign w:val="center"/>
                </w:tcPr>
                <w:p w14:paraId="35A8EB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w:t>
                  </w:r>
                </w:p>
              </w:tc>
              <w:tc>
                <w:tcPr>
                  <w:tcW w:w="1383" w:type="pct"/>
                  <w:shd w:val="clear" w:color="auto" w:fill="auto"/>
                  <w:vAlign w:val="center"/>
                </w:tcPr>
                <w:p w14:paraId="183AC5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2DC74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37" w:type="pct"/>
                  <w:vMerge w:val="restart"/>
                  <w:shd w:val="clear" w:color="auto" w:fill="auto"/>
                  <w:vAlign w:val="center"/>
                </w:tcPr>
                <w:p w14:paraId="060DEC7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6985A28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色浆</w:t>
                  </w:r>
                </w:p>
              </w:tc>
              <w:tc>
                <w:tcPr>
                  <w:tcW w:w="341" w:type="pct"/>
                  <w:tcBorders>
                    <w:right w:val="single" w:color="000000" w:sz="4" w:space="0"/>
                  </w:tcBorders>
                  <w:shd w:val="clear" w:color="auto" w:fill="auto"/>
                  <w:vAlign w:val="center"/>
                </w:tcPr>
                <w:p w14:paraId="50EAFE7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11</w:t>
                  </w:r>
                </w:p>
              </w:tc>
              <w:tc>
                <w:tcPr>
                  <w:tcW w:w="1191" w:type="pct"/>
                  <w:tcBorders>
                    <w:left w:val="single" w:color="000000" w:sz="4" w:space="0"/>
                  </w:tcBorders>
                  <w:shd w:val="clear" w:color="auto" w:fill="auto"/>
                  <w:vAlign w:val="center"/>
                </w:tcPr>
                <w:p w14:paraId="0021C6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铁红</w:t>
                  </w:r>
                </w:p>
              </w:tc>
              <w:tc>
                <w:tcPr>
                  <w:tcW w:w="1675" w:type="dxa"/>
                  <w:shd w:val="clear" w:color="auto" w:fill="auto"/>
                  <w:vAlign w:val="center"/>
                </w:tcPr>
                <w:p w14:paraId="3F1010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744" w:type="pct"/>
                  <w:shd w:val="clear" w:color="auto" w:fill="auto"/>
                  <w:vAlign w:val="center"/>
                </w:tcPr>
                <w:p w14:paraId="20BD2B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0.2</w:t>
                  </w:r>
                </w:p>
              </w:tc>
              <w:tc>
                <w:tcPr>
                  <w:tcW w:w="1383" w:type="pct"/>
                  <w:shd w:val="clear" w:color="auto" w:fill="auto"/>
                  <w:vAlign w:val="center"/>
                </w:tcPr>
                <w:p w14:paraId="219384D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成都厂提供</w:t>
                  </w:r>
                </w:p>
              </w:tc>
            </w:tr>
            <w:tr w14:paraId="20D18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7132D09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3E60BF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12</w:t>
                  </w:r>
                </w:p>
              </w:tc>
              <w:tc>
                <w:tcPr>
                  <w:tcW w:w="1191" w:type="pct"/>
                  <w:tcBorders>
                    <w:left w:val="single" w:color="000000" w:sz="4" w:space="0"/>
                  </w:tcBorders>
                  <w:shd w:val="clear" w:color="auto" w:fill="auto"/>
                  <w:vAlign w:val="center"/>
                </w:tcPr>
                <w:p w14:paraId="46D88AB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铁黄</w:t>
                  </w:r>
                </w:p>
              </w:tc>
              <w:tc>
                <w:tcPr>
                  <w:tcW w:w="1675" w:type="dxa"/>
                  <w:shd w:val="clear" w:color="auto" w:fill="auto"/>
                  <w:vAlign w:val="center"/>
                </w:tcPr>
                <w:p w14:paraId="070418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44" w:type="pct"/>
                  <w:shd w:val="clear" w:color="auto" w:fill="auto"/>
                  <w:vAlign w:val="center"/>
                </w:tcPr>
                <w:p w14:paraId="684D0A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0.5</w:t>
                  </w:r>
                </w:p>
              </w:tc>
              <w:tc>
                <w:tcPr>
                  <w:tcW w:w="1383" w:type="pct"/>
                  <w:shd w:val="clear" w:color="auto" w:fill="auto"/>
                  <w:vAlign w:val="center"/>
                </w:tcPr>
                <w:p w14:paraId="63B22B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成都厂提供</w:t>
                  </w:r>
                </w:p>
              </w:tc>
            </w:tr>
            <w:tr w14:paraId="55401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3812C3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435FE2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13</w:t>
                  </w:r>
                </w:p>
              </w:tc>
              <w:tc>
                <w:tcPr>
                  <w:tcW w:w="1191" w:type="pct"/>
                  <w:tcBorders>
                    <w:left w:val="single" w:color="000000" w:sz="4" w:space="0"/>
                  </w:tcBorders>
                  <w:shd w:val="clear" w:color="auto" w:fill="auto"/>
                  <w:vAlign w:val="center"/>
                </w:tcPr>
                <w:p w14:paraId="31CB725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黑</w:t>
                  </w:r>
                </w:p>
              </w:tc>
              <w:tc>
                <w:tcPr>
                  <w:tcW w:w="1675" w:type="dxa"/>
                  <w:shd w:val="clear" w:color="auto" w:fill="auto"/>
                  <w:vAlign w:val="center"/>
                </w:tcPr>
                <w:p w14:paraId="1E3082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744" w:type="pct"/>
                  <w:shd w:val="clear" w:color="auto" w:fill="auto"/>
                  <w:vAlign w:val="center"/>
                </w:tcPr>
                <w:p w14:paraId="4B7E41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0.5</w:t>
                  </w:r>
                </w:p>
              </w:tc>
              <w:tc>
                <w:tcPr>
                  <w:tcW w:w="1383" w:type="pct"/>
                  <w:shd w:val="clear" w:color="auto" w:fill="auto"/>
                  <w:vAlign w:val="center"/>
                </w:tcPr>
                <w:p w14:paraId="51FBC8C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成都厂提供</w:t>
                  </w:r>
                </w:p>
              </w:tc>
            </w:tr>
          </w:tbl>
          <w:p w14:paraId="3D5FC2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color w:val="auto"/>
                <w:sz w:val="6"/>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2-7</w:t>
            </w:r>
            <w:r>
              <w:rPr>
                <w:rFonts w:hint="default" w:ascii="Times New Roman" w:hAnsi="Times New Roman" w:eastAsia="宋体" w:cs="Times New Roman"/>
                <w:b/>
                <w:bCs/>
                <w:color w:val="auto"/>
                <w:sz w:val="21"/>
                <w:szCs w:val="21"/>
                <w:lang w:val="en-US" w:eastAsia="zh-CN"/>
              </w:rPr>
              <w:tab/>
            </w:r>
            <w:r>
              <w:rPr>
                <w:rFonts w:hint="default" w:ascii="Times New Roman" w:hAnsi="Times New Roman" w:eastAsia="宋体" w:cs="Times New Roman"/>
                <w:b/>
                <w:bCs/>
                <w:color w:val="auto"/>
                <w:sz w:val="21"/>
                <w:szCs w:val="21"/>
                <w:lang w:val="en-US" w:eastAsia="zh-CN"/>
              </w:rPr>
              <w:t>腻子粉系列产品原辅材料消耗表</w:t>
            </w:r>
          </w:p>
          <w:tbl>
            <w:tblPr>
              <w:tblStyle w:val="28"/>
              <w:tblW w:w="4996"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autofit"/>
              <w:tblCellMar>
                <w:top w:w="0" w:type="dxa"/>
                <w:left w:w="0" w:type="dxa"/>
                <w:bottom w:w="0" w:type="dxa"/>
                <w:right w:w="0" w:type="dxa"/>
              </w:tblCellMar>
            </w:tblPr>
            <w:tblGrid>
              <w:gridCol w:w="572"/>
              <w:gridCol w:w="576"/>
              <w:gridCol w:w="1356"/>
              <w:gridCol w:w="2240"/>
              <w:gridCol w:w="1785"/>
              <w:gridCol w:w="1837"/>
            </w:tblGrid>
            <w:tr w14:paraId="488F0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42" w:type="pct"/>
                  <w:shd w:val="clear" w:color="auto" w:fill="auto"/>
                  <w:vAlign w:val="center"/>
                </w:tcPr>
                <w:p w14:paraId="47757C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种类</w:t>
                  </w:r>
                </w:p>
              </w:tc>
              <w:tc>
                <w:tcPr>
                  <w:tcW w:w="344" w:type="pct"/>
                  <w:tcBorders>
                    <w:right w:val="single" w:color="000000" w:sz="4" w:space="0"/>
                  </w:tcBorders>
                  <w:shd w:val="clear" w:color="auto" w:fill="auto"/>
                  <w:vAlign w:val="center"/>
                </w:tcPr>
                <w:p w14:paraId="707AD3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序号</w:t>
                  </w:r>
                </w:p>
              </w:tc>
              <w:tc>
                <w:tcPr>
                  <w:tcW w:w="810" w:type="pct"/>
                  <w:tcBorders>
                    <w:left w:val="single" w:color="000000" w:sz="4" w:space="0"/>
                  </w:tcBorders>
                  <w:shd w:val="clear" w:color="auto" w:fill="auto"/>
                  <w:vAlign w:val="center"/>
                </w:tcPr>
                <w:p w14:paraId="028C6F4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名</w:t>
                  </w:r>
                  <w:r>
                    <w:rPr>
                      <w:rFonts w:hint="default" w:ascii="Times New Roman" w:hAnsi="Times New Roman" w:eastAsia="宋体" w:cs="Times New Roman"/>
                      <w:b/>
                      <w:bCs/>
                      <w:color w:val="auto"/>
                      <w:sz w:val="21"/>
                    </w:rPr>
                    <w:tab/>
                  </w:r>
                  <w:r>
                    <w:rPr>
                      <w:rFonts w:hint="default" w:ascii="Times New Roman" w:hAnsi="Times New Roman" w:eastAsia="宋体" w:cs="Times New Roman"/>
                      <w:b/>
                      <w:bCs/>
                      <w:color w:val="auto"/>
                      <w:sz w:val="21"/>
                    </w:rPr>
                    <w:t>称</w:t>
                  </w:r>
                </w:p>
              </w:tc>
              <w:tc>
                <w:tcPr>
                  <w:tcW w:w="1338" w:type="pct"/>
                  <w:shd w:val="clear" w:color="auto" w:fill="auto"/>
                  <w:vAlign w:val="center"/>
                </w:tcPr>
                <w:p w14:paraId="0779ED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lang w:eastAsia="zh-CN"/>
                    </w:rPr>
                    <w:t>年消耗</w:t>
                  </w:r>
                  <w:r>
                    <w:rPr>
                      <w:rFonts w:hint="default" w:ascii="Times New Roman" w:hAnsi="Times New Roman" w:eastAsia="宋体" w:cs="Times New Roman"/>
                      <w:b/>
                      <w:bCs/>
                      <w:color w:val="auto"/>
                      <w:sz w:val="21"/>
                    </w:rPr>
                    <w:t>量</w:t>
                  </w:r>
                  <w:r>
                    <w:rPr>
                      <w:rFonts w:hint="default" w:ascii="Times New Roman" w:hAnsi="Times New Roman" w:eastAsia="宋体" w:cs="Times New Roman"/>
                      <w:b/>
                      <w:bCs/>
                      <w:color w:val="auto"/>
                      <w:sz w:val="21"/>
                      <w:lang w:eastAsia="zh-CN"/>
                    </w:rPr>
                    <w:t>（</w:t>
                  </w:r>
                  <w:r>
                    <w:rPr>
                      <w:rFonts w:hint="default" w:ascii="Times New Roman" w:hAnsi="Times New Roman" w:eastAsia="宋体" w:cs="Times New Roman"/>
                      <w:b/>
                      <w:bCs/>
                      <w:color w:val="auto"/>
                      <w:sz w:val="21"/>
                      <w:lang w:val="en-US" w:eastAsia="zh-CN"/>
                    </w:rPr>
                    <w:t>t/a</w:t>
                  </w:r>
                  <w:r>
                    <w:rPr>
                      <w:rFonts w:hint="default" w:ascii="Times New Roman" w:hAnsi="Times New Roman" w:eastAsia="宋体" w:cs="Times New Roman"/>
                      <w:b/>
                      <w:bCs/>
                      <w:color w:val="auto"/>
                      <w:sz w:val="21"/>
                      <w:lang w:eastAsia="zh-CN"/>
                    </w:rPr>
                    <w:t>）</w:t>
                  </w:r>
                </w:p>
              </w:tc>
              <w:tc>
                <w:tcPr>
                  <w:tcW w:w="1066" w:type="pct"/>
                  <w:shd w:val="clear" w:color="auto" w:fill="auto"/>
                  <w:vAlign w:val="center"/>
                </w:tcPr>
                <w:p w14:paraId="67EF7FF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lang w:val="en-US" w:eastAsia="zh-CN"/>
                    </w:rPr>
                    <w:t>厂区最大暂存量</w:t>
                  </w:r>
                  <w:r>
                    <w:rPr>
                      <w:rFonts w:hint="default" w:ascii="Times New Roman" w:hAnsi="Times New Roman" w:eastAsia="宋体" w:cs="Times New Roman"/>
                      <w:b/>
                      <w:bCs/>
                      <w:color w:val="auto"/>
                      <w:sz w:val="21"/>
                      <w:lang w:eastAsia="zh-CN"/>
                    </w:rPr>
                    <w:t>（</w:t>
                  </w:r>
                  <w:r>
                    <w:rPr>
                      <w:rFonts w:hint="default" w:ascii="Times New Roman" w:hAnsi="Times New Roman" w:eastAsia="宋体" w:cs="Times New Roman"/>
                      <w:b/>
                      <w:bCs/>
                      <w:color w:val="auto"/>
                      <w:sz w:val="21"/>
                      <w:lang w:val="en-US" w:eastAsia="zh-CN"/>
                    </w:rPr>
                    <w:t>t</w:t>
                  </w:r>
                  <w:r>
                    <w:rPr>
                      <w:rFonts w:hint="default" w:ascii="Times New Roman" w:hAnsi="Times New Roman" w:eastAsia="宋体" w:cs="Times New Roman"/>
                      <w:b/>
                      <w:bCs/>
                      <w:color w:val="auto"/>
                      <w:sz w:val="21"/>
                      <w:lang w:eastAsia="zh-CN"/>
                    </w:rPr>
                    <w:t>）</w:t>
                  </w:r>
                </w:p>
              </w:tc>
              <w:tc>
                <w:tcPr>
                  <w:tcW w:w="1097" w:type="pct"/>
                  <w:shd w:val="clear" w:color="auto" w:fill="auto"/>
                  <w:vAlign w:val="center"/>
                </w:tcPr>
                <w:p w14:paraId="63579F2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来源</w:t>
                  </w:r>
                </w:p>
              </w:tc>
            </w:tr>
            <w:tr w14:paraId="2384B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42" w:type="pct"/>
                  <w:vMerge w:val="restart"/>
                  <w:shd w:val="clear" w:color="auto" w:fill="auto"/>
                  <w:vAlign w:val="center"/>
                </w:tcPr>
                <w:p w14:paraId="6676E29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244D5E7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1B00F5D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原料</w:t>
                  </w:r>
                </w:p>
              </w:tc>
              <w:tc>
                <w:tcPr>
                  <w:tcW w:w="344" w:type="pct"/>
                  <w:tcBorders>
                    <w:right w:val="single" w:color="000000" w:sz="4" w:space="0"/>
                  </w:tcBorders>
                  <w:shd w:val="clear" w:color="auto" w:fill="auto"/>
                  <w:vAlign w:val="center"/>
                </w:tcPr>
                <w:p w14:paraId="5D2F759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810" w:type="pct"/>
                  <w:tcBorders>
                    <w:left w:val="single" w:color="000000" w:sz="4" w:space="0"/>
                  </w:tcBorders>
                  <w:shd w:val="clear" w:color="auto" w:fill="auto"/>
                  <w:vAlign w:val="center"/>
                </w:tcPr>
                <w:p w14:paraId="4E012BD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水泥</w:t>
                  </w:r>
                </w:p>
              </w:tc>
              <w:tc>
                <w:tcPr>
                  <w:tcW w:w="2241" w:type="dxa"/>
                  <w:shd w:val="clear" w:color="auto" w:fill="auto"/>
                  <w:vAlign w:val="center"/>
                </w:tcPr>
                <w:p w14:paraId="7E6022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34627.457</w:t>
                  </w:r>
                </w:p>
              </w:tc>
              <w:tc>
                <w:tcPr>
                  <w:tcW w:w="1066" w:type="pct"/>
                  <w:shd w:val="clear" w:color="auto" w:fill="auto"/>
                  <w:vAlign w:val="center"/>
                </w:tcPr>
                <w:p w14:paraId="656245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cs="Times New Roman"/>
                      <w:color w:val="auto"/>
                      <w:sz w:val="21"/>
                      <w:lang w:val="en-US" w:eastAsia="zh-CN"/>
                    </w:rPr>
                  </w:pPr>
                  <w:r>
                    <w:rPr>
                      <w:rFonts w:hint="default" w:cs="Times New Roman"/>
                      <w:color w:val="auto"/>
                      <w:sz w:val="21"/>
                      <w:lang w:val="en-US" w:eastAsia="zh-CN"/>
                    </w:rPr>
                    <w:t>60m</w:t>
                  </w:r>
                  <w:r>
                    <w:rPr>
                      <w:rFonts w:hint="default" w:cs="Times New Roman"/>
                      <w:color w:val="auto"/>
                      <w:sz w:val="21"/>
                      <w:vertAlign w:val="superscript"/>
                      <w:lang w:val="en-US" w:eastAsia="zh-CN"/>
                    </w:rPr>
                    <w:t>3</w:t>
                  </w:r>
                </w:p>
              </w:tc>
              <w:tc>
                <w:tcPr>
                  <w:tcW w:w="1097" w:type="pct"/>
                  <w:shd w:val="clear" w:color="auto" w:fill="auto"/>
                  <w:vAlign w:val="center"/>
                </w:tcPr>
                <w:p w14:paraId="17F7A1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18385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42" w:type="pct"/>
                  <w:vMerge w:val="continue"/>
                  <w:tcBorders>
                    <w:top w:val="nil"/>
                  </w:tcBorders>
                  <w:shd w:val="clear" w:color="auto" w:fill="auto"/>
                  <w:vAlign w:val="center"/>
                </w:tcPr>
                <w:p w14:paraId="3B8B3D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4" w:type="pct"/>
                  <w:tcBorders>
                    <w:right w:val="single" w:color="000000" w:sz="4" w:space="0"/>
                  </w:tcBorders>
                  <w:shd w:val="clear" w:color="auto" w:fill="auto"/>
                  <w:vAlign w:val="center"/>
                </w:tcPr>
                <w:p w14:paraId="1F6E27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810" w:type="pct"/>
                  <w:tcBorders>
                    <w:left w:val="single" w:color="000000" w:sz="4" w:space="0"/>
                  </w:tcBorders>
                  <w:shd w:val="clear" w:color="auto" w:fill="auto"/>
                  <w:vAlign w:val="center"/>
                </w:tcPr>
                <w:p w14:paraId="32D8F2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白砂</w:t>
                  </w:r>
                </w:p>
              </w:tc>
              <w:tc>
                <w:tcPr>
                  <w:tcW w:w="2241" w:type="dxa"/>
                  <w:shd w:val="clear" w:color="auto" w:fill="auto"/>
                  <w:vAlign w:val="center"/>
                </w:tcPr>
                <w:p w14:paraId="369E72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59800.3</w:t>
                  </w:r>
                </w:p>
              </w:tc>
              <w:tc>
                <w:tcPr>
                  <w:tcW w:w="1066" w:type="pct"/>
                  <w:shd w:val="clear" w:color="auto" w:fill="auto"/>
                  <w:vAlign w:val="center"/>
                </w:tcPr>
                <w:p w14:paraId="4EA5BB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cs="Times New Roman"/>
                      <w:color w:val="auto"/>
                      <w:sz w:val="21"/>
                      <w:lang w:val="en-US" w:eastAsia="zh-CN"/>
                    </w:rPr>
                  </w:pPr>
                  <w:r>
                    <w:rPr>
                      <w:rFonts w:hint="default" w:cs="Times New Roman"/>
                      <w:color w:val="auto"/>
                      <w:sz w:val="21"/>
                      <w:lang w:val="en-US" w:eastAsia="zh-CN"/>
                    </w:rPr>
                    <w:t>60m</w:t>
                  </w:r>
                  <w:r>
                    <w:rPr>
                      <w:rFonts w:hint="default" w:cs="Times New Roman"/>
                      <w:color w:val="auto"/>
                      <w:sz w:val="21"/>
                      <w:vertAlign w:val="superscript"/>
                      <w:lang w:val="en-US" w:eastAsia="zh-CN"/>
                    </w:rPr>
                    <w:t>3</w:t>
                  </w:r>
                </w:p>
              </w:tc>
              <w:tc>
                <w:tcPr>
                  <w:tcW w:w="1097" w:type="pct"/>
                  <w:shd w:val="clear" w:color="auto" w:fill="auto"/>
                  <w:vAlign w:val="center"/>
                </w:tcPr>
                <w:p w14:paraId="5DE2C99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28423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42" w:type="pct"/>
                  <w:vMerge w:val="continue"/>
                  <w:tcBorders>
                    <w:top w:val="nil"/>
                  </w:tcBorders>
                  <w:shd w:val="clear" w:color="auto" w:fill="auto"/>
                  <w:vAlign w:val="center"/>
                </w:tcPr>
                <w:p w14:paraId="090002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4" w:type="pct"/>
                  <w:tcBorders>
                    <w:right w:val="single" w:color="000000" w:sz="4" w:space="0"/>
                  </w:tcBorders>
                  <w:shd w:val="clear" w:color="auto" w:fill="auto"/>
                  <w:vAlign w:val="center"/>
                </w:tcPr>
                <w:p w14:paraId="478EB55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810" w:type="pct"/>
                  <w:tcBorders>
                    <w:left w:val="single" w:color="000000" w:sz="4" w:space="0"/>
                  </w:tcBorders>
                  <w:shd w:val="clear" w:color="auto" w:fill="auto"/>
                  <w:vAlign w:val="center"/>
                </w:tcPr>
                <w:p w14:paraId="421AD9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碳酸钙</w:t>
                  </w:r>
                </w:p>
              </w:tc>
              <w:tc>
                <w:tcPr>
                  <w:tcW w:w="2241" w:type="dxa"/>
                  <w:shd w:val="clear" w:color="auto" w:fill="auto"/>
                  <w:vAlign w:val="center"/>
                </w:tcPr>
                <w:p w14:paraId="7DC80E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24047.61</w:t>
                  </w:r>
                </w:p>
              </w:tc>
              <w:tc>
                <w:tcPr>
                  <w:tcW w:w="1066" w:type="pct"/>
                  <w:shd w:val="clear" w:color="auto" w:fill="auto"/>
                  <w:vAlign w:val="center"/>
                </w:tcPr>
                <w:p w14:paraId="062F61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cs="Times New Roman"/>
                      <w:color w:val="auto"/>
                      <w:sz w:val="21"/>
                      <w:lang w:val="en-US" w:eastAsia="zh-CN"/>
                    </w:rPr>
                  </w:pPr>
                  <w:r>
                    <w:rPr>
                      <w:rFonts w:hint="default" w:cs="Times New Roman"/>
                      <w:color w:val="auto"/>
                      <w:sz w:val="21"/>
                      <w:lang w:val="en-US" w:eastAsia="zh-CN"/>
                    </w:rPr>
                    <w:t>60m</w:t>
                  </w:r>
                  <w:r>
                    <w:rPr>
                      <w:rFonts w:hint="default" w:cs="Times New Roman"/>
                      <w:color w:val="auto"/>
                      <w:sz w:val="21"/>
                      <w:vertAlign w:val="superscript"/>
                      <w:lang w:val="en-US" w:eastAsia="zh-CN"/>
                    </w:rPr>
                    <w:t>3</w:t>
                  </w:r>
                </w:p>
              </w:tc>
              <w:tc>
                <w:tcPr>
                  <w:tcW w:w="1097" w:type="pct"/>
                  <w:shd w:val="clear" w:color="auto" w:fill="auto"/>
                  <w:vAlign w:val="center"/>
                </w:tcPr>
                <w:p w14:paraId="02BAB0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1C141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42" w:type="pct"/>
                  <w:vMerge w:val="continue"/>
                  <w:tcBorders>
                    <w:top w:val="nil"/>
                  </w:tcBorders>
                  <w:shd w:val="clear" w:color="auto" w:fill="auto"/>
                  <w:vAlign w:val="center"/>
                </w:tcPr>
                <w:p w14:paraId="6983937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4" w:type="pct"/>
                  <w:tcBorders>
                    <w:right w:val="single" w:color="000000" w:sz="4" w:space="0"/>
                  </w:tcBorders>
                  <w:shd w:val="clear" w:color="auto" w:fill="auto"/>
                  <w:vAlign w:val="center"/>
                </w:tcPr>
                <w:p w14:paraId="5C82B41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810" w:type="pct"/>
                  <w:tcBorders>
                    <w:left w:val="single" w:color="000000" w:sz="4" w:space="0"/>
                  </w:tcBorders>
                  <w:shd w:val="clear" w:color="auto" w:fill="auto"/>
                  <w:vAlign w:val="center"/>
                </w:tcPr>
                <w:p w14:paraId="67B5349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纤维素</w:t>
                  </w:r>
                </w:p>
              </w:tc>
              <w:tc>
                <w:tcPr>
                  <w:tcW w:w="2241" w:type="dxa"/>
                  <w:shd w:val="clear" w:color="auto" w:fill="auto"/>
                  <w:vAlign w:val="center"/>
                </w:tcPr>
                <w:p w14:paraId="3E26BD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2029.36</w:t>
                  </w:r>
                </w:p>
              </w:tc>
              <w:tc>
                <w:tcPr>
                  <w:tcW w:w="1066" w:type="pct"/>
                  <w:shd w:val="clear" w:color="auto" w:fill="auto"/>
                  <w:vAlign w:val="center"/>
                </w:tcPr>
                <w:p w14:paraId="655718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15</w:t>
                  </w:r>
                </w:p>
              </w:tc>
              <w:tc>
                <w:tcPr>
                  <w:tcW w:w="1097" w:type="pct"/>
                  <w:shd w:val="clear" w:color="auto" w:fill="auto"/>
                  <w:vAlign w:val="center"/>
                </w:tcPr>
                <w:p w14:paraId="4337BBE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bl>
          <w:p w14:paraId="0A14DD4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砂壁产品通过使用的白砂或色浆进行调色，使用的为水性色浆，不同色浆的主要成份见表</w:t>
            </w:r>
            <w:r>
              <w:rPr>
                <w:rFonts w:hint="eastAsia" w:cs="Times New Roman"/>
                <w:color w:val="auto"/>
                <w:sz w:val="24"/>
                <w:szCs w:val="24"/>
                <w:lang w:val="en-US" w:eastAsia="zh-CN"/>
              </w:rPr>
              <w:t>2-8</w:t>
            </w:r>
            <w:r>
              <w:rPr>
                <w:rFonts w:hint="default" w:ascii="Times New Roman" w:hAnsi="Times New Roman" w:eastAsia="宋体" w:cs="Times New Roman"/>
                <w:color w:val="auto"/>
                <w:sz w:val="24"/>
                <w:szCs w:val="24"/>
              </w:rPr>
              <w:t>。</w:t>
            </w:r>
          </w:p>
          <w:p w14:paraId="51A6D0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2-8</w:t>
            </w:r>
            <w:r>
              <w:rPr>
                <w:rFonts w:hint="default" w:ascii="Times New Roman" w:hAnsi="Times New Roman" w:eastAsia="宋体" w:cs="Times New Roman"/>
                <w:b/>
                <w:bCs/>
                <w:color w:val="auto"/>
                <w:sz w:val="21"/>
                <w:szCs w:val="21"/>
                <w:lang w:val="en-US" w:eastAsia="zh-CN"/>
              </w:rPr>
              <w:tab/>
            </w:r>
            <w:r>
              <w:rPr>
                <w:rFonts w:hint="default" w:ascii="Times New Roman" w:hAnsi="Times New Roman" w:eastAsia="宋体" w:cs="Times New Roman"/>
                <w:b/>
                <w:bCs/>
                <w:color w:val="auto"/>
                <w:sz w:val="21"/>
                <w:szCs w:val="21"/>
                <w:lang w:val="en-US" w:eastAsia="zh-CN"/>
              </w:rPr>
              <w:t>砂壁产品使用的色浆成份</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76"/>
              <w:gridCol w:w="1089"/>
              <w:gridCol w:w="4207"/>
              <w:gridCol w:w="1403"/>
            </w:tblGrid>
            <w:tr w14:paraId="63260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0" w:type="pct"/>
                  <w:vAlign w:val="center"/>
                </w:tcPr>
                <w:p w14:paraId="166CFF1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色浆种类</w:t>
                  </w:r>
                </w:p>
              </w:tc>
              <w:tc>
                <w:tcPr>
                  <w:tcW w:w="650" w:type="pct"/>
                  <w:vAlign w:val="center"/>
                </w:tcPr>
                <w:p w14:paraId="4A1C7B7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2511" w:type="pct"/>
                  <w:vAlign w:val="center"/>
                </w:tcPr>
                <w:p w14:paraId="4CADC11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成份</w:t>
                  </w:r>
                </w:p>
              </w:tc>
              <w:tc>
                <w:tcPr>
                  <w:tcW w:w="837" w:type="pct"/>
                  <w:vAlign w:val="center"/>
                </w:tcPr>
                <w:p w14:paraId="7A1E3C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比例（%）</w:t>
                  </w:r>
                </w:p>
              </w:tc>
            </w:tr>
            <w:tr w14:paraId="22499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00" w:type="pct"/>
                  <w:vMerge w:val="restart"/>
                  <w:vAlign w:val="center"/>
                </w:tcPr>
                <w:p w14:paraId="7C03CE4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铁黄、铁红</w:t>
                  </w:r>
                </w:p>
              </w:tc>
              <w:tc>
                <w:tcPr>
                  <w:tcW w:w="650" w:type="pct"/>
                  <w:vAlign w:val="center"/>
                </w:tcPr>
                <w:p w14:paraId="30D1A0A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511" w:type="pct"/>
                  <w:vAlign w:val="center"/>
                </w:tcPr>
                <w:p w14:paraId="561C084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丙烯酸乳液</w:t>
                  </w:r>
                </w:p>
              </w:tc>
              <w:tc>
                <w:tcPr>
                  <w:tcW w:w="837" w:type="pct"/>
                  <w:vAlign w:val="center"/>
                </w:tcPr>
                <w:p w14:paraId="539E29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25</w:t>
                  </w:r>
                </w:p>
              </w:tc>
            </w:tr>
            <w:tr w14:paraId="3FEC3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0" w:type="pct"/>
                  <w:vMerge w:val="continue"/>
                  <w:tcBorders>
                    <w:top w:val="nil"/>
                  </w:tcBorders>
                  <w:vAlign w:val="center"/>
                </w:tcPr>
                <w:p w14:paraId="6B7E1B4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650" w:type="pct"/>
                  <w:vAlign w:val="center"/>
                </w:tcPr>
                <w:p w14:paraId="285EB5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2511" w:type="pct"/>
                  <w:vAlign w:val="center"/>
                </w:tcPr>
                <w:p w14:paraId="19B2FC0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合成氧化铁</w:t>
                  </w:r>
                </w:p>
              </w:tc>
              <w:tc>
                <w:tcPr>
                  <w:tcW w:w="837" w:type="pct"/>
                  <w:vAlign w:val="center"/>
                </w:tcPr>
                <w:p w14:paraId="0A174A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50</w:t>
                  </w:r>
                </w:p>
              </w:tc>
            </w:tr>
            <w:tr w14:paraId="4FDFD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0" w:type="pct"/>
                  <w:vMerge w:val="continue"/>
                  <w:tcBorders>
                    <w:top w:val="nil"/>
                  </w:tcBorders>
                  <w:vAlign w:val="center"/>
                </w:tcPr>
                <w:p w14:paraId="050EB0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650" w:type="pct"/>
                  <w:vAlign w:val="center"/>
                </w:tcPr>
                <w:p w14:paraId="5B60DD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2511" w:type="pct"/>
                  <w:vAlign w:val="center"/>
                </w:tcPr>
                <w:p w14:paraId="6D31F36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w:t>
                  </w:r>
                </w:p>
              </w:tc>
              <w:tc>
                <w:tcPr>
                  <w:tcW w:w="837" w:type="pct"/>
                  <w:vAlign w:val="center"/>
                </w:tcPr>
                <w:p w14:paraId="01DF674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20</w:t>
                  </w:r>
                </w:p>
              </w:tc>
            </w:tr>
            <w:tr w14:paraId="79271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0" w:type="pct"/>
                  <w:vMerge w:val="continue"/>
                  <w:tcBorders>
                    <w:top w:val="nil"/>
                  </w:tcBorders>
                  <w:vAlign w:val="center"/>
                </w:tcPr>
                <w:p w14:paraId="3C4459C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650" w:type="pct"/>
                  <w:vAlign w:val="center"/>
                </w:tcPr>
                <w:p w14:paraId="34B09E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2511" w:type="pct"/>
                  <w:vAlign w:val="center"/>
                </w:tcPr>
                <w:p w14:paraId="31B00EA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助剂（消泡剂、分散剂、增稠剂）</w:t>
                  </w:r>
                </w:p>
              </w:tc>
              <w:tc>
                <w:tcPr>
                  <w:tcW w:w="837" w:type="pct"/>
                  <w:vAlign w:val="center"/>
                </w:tcPr>
                <w:p w14:paraId="60B3B1B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5（1：2：2）</w:t>
                  </w:r>
                </w:p>
              </w:tc>
            </w:tr>
            <w:tr w14:paraId="0F154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0" w:type="pct"/>
                  <w:vMerge w:val="restart"/>
                  <w:vAlign w:val="center"/>
                </w:tcPr>
                <w:p w14:paraId="02EB21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黑色</w:t>
                  </w:r>
                </w:p>
              </w:tc>
              <w:tc>
                <w:tcPr>
                  <w:tcW w:w="650" w:type="pct"/>
                  <w:vAlign w:val="center"/>
                </w:tcPr>
                <w:p w14:paraId="1A9AF48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511" w:type="pct"/>
                  <w:vAlign w:val="center"/>
                </w:tcPr>
                <w:p w14:paraId="0B5FD6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丙烯酸乳液</w:t>
                  </w:r>
                </w:p>
              </w:tc>
              <w:tc>
                <w:tcPr>
                  <w:tcW w:w="837" w:type="pct"/>
                  <w:vAlign w:val="center"/>
                </w:tcPr>
                <w:p w14:paraId="1C21F0C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40</w:t>
                  </w:r>
                </w:p>
              </w:tc>
            </w:tr>
            <w:tr w14:paraId="4050F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0" w:type="pct"/>
                  <w:vMerge w:val="continue"/>
                  <w:tcBorders>
                    <w:top w:val="nil"/>
                  </w:tcBorders>
                  <w:vAlign w:val="center"/>
                </w:tcPr>
                <w:p w14:paraId="06653F3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650" w:type="pct"/>
                  <w:vAlign w:val="center"/>
                </w:tcPr>
                <w:p w14:paraId="169D60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2511" w:type="pct"/>
                  <w:vAlign w:val="center"/>
                </w:tcPr>
                <w:p w14:paraId="29796CA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合成氧化铁</w:t>
                  </w:r>
                </w:p>
              </w:tc>
              <w:tc>
                <w:tcPr>
                  <w:tcW w:w="837" w:type="pct"/>
                  <w:vAlign w:val="center"/>
                </w:tcPr>
                <w:p w14:paraId="28267E1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20</w:t>
                  </w:r>
                </w:p>
              </w:tc>
            </w:tr>
            <w:tr w14:paraId="03696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0" w:type="pct"/>
                  <w:vMerge w:val="continue"/>
                  <w:tcBorders>
                    <w:top w:val="nil"/>
                  </w:tcBorders>
                  <w:vAlign w:val="center"/>
                </w:tcPr>
                <w:p w14:paraId="204FAA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650" w:type="pct"/>
                  <w:vAlign w:val="center"/>
                </w:tcPr>
                <w:p w14:paraId="49EEFB6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2511" w:type="pct"/>
                  <w:vAlign w:val="center"/>
                </w:tcPr>
                <w:p w14:paraId="2EAAC81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w:t>
                  </w:r>
                </w:p>
              </w:tc>
              <w:tc>
                <w:tcPr>
                  <w:tcW w:w="837" w:type="pct"/>
                  <w:vAlign w:val="center"/>
                </w:tcPr>
                <w:p w14:paraId="539A23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30</w:t>
                  </w:r>
                </w:p>
              </w:tc>
            </w:tr>
            <w:tr w14:paraId="5B1A2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0" w:type="pct"/>
                  <w:vMerge w:val="continue"/>
                  <w:tcBorders>
                    <w:top w:val="nil"/>
                  </w:tcBorders>
                  <w:vAlign w:val="center"/>
                </w:tcPr>
                <w:p w14:paraId="014AE36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650" w:type="pct"/>
                  <w:vAlign w:val="center"/>
                </w:tcPr>
                <w:p w14:paraId="6D74E4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2511" w:type="pct"/>
                  <w:vAlign w:val="center"/>
                </w:tcPr>
                <w:p w14:paraId="0ACD2FA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助剂（消泡剂、分散剂、增稠剂）</w:t>
                  </w:r>
                </w:p>
              </w:tc>
              <w:tc>
                <w:tcPr>
                  <w:tcW w:w="837" w:type="pct"/>
                  <w:vAlign w:val="center"/>
                </w:tcPr>
                <w:p w14:paraId="3B877D1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10（2：4：4）</w:t>
                  </w:r>
                </w:p>
              </w:tc>
            </w:tr>
          </w:tbl>
          <w:p w14:paraId="525FEAFA">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SA"/>
              </w:rPr>
              <w:t>产品生产出来后，采用铁制桶和纸袋进行包装，均由相关协作单位提供，</w:t>
            </w:r>
            <w:r>
              <w:rPr>
                <w:rFonts w:hint="eastAsia" w:cs="Times New Roman"/>
                <w:color w:val="auto"/>
                <w:kern w:val="2"/>
                <w:sz w:val="24"/>
                <w:szCs w:val="24"/>
                <w:lang w:val="en-US" w:eastAsia="zh-CN" w:bidi="ar-SA"/>
              </w:rPr>
              <w:t>项目扩建完成后，</w:t>
            </w:r>
            <w:r>
              <w:rPr>
                <w:rFonts w:hint="default" w:ascii="Times New Roman" w:hAnsi="Times New Roman" w:eastAsia="宋体" w:cs="Times New Roman"/>
                <w:color w:val="auto"/>
                <w:kern w:val="2"/>
                <w:sz w:val="24"/>
                <w:szCs w:val="24"/>
                <w:lang w:val="en-US" w:eastAsia="zh-CN" w:bidi="ar-SA"/>
              </w:rPr>
              <w:t xml:space="preserve">每年使用的包装物情况见表 </w:t>
            </w:r>
            <w:r>
              <w:rPr>
                <w:rFonts w:hint="eastAsia" w:cs="Times New Roman"/>
                <w:color w:val="auto"/>
                <w:sz w:val="24"/>
                <w:szCs w:val="24"/>
                <w:lang w:val="en-US" w:eastAsia="zh-CN"/>
              </w:rPr>
              <w:t>2-9</w:t>
            </w:r>
            <w:r>
              <w:rPr>
                <w:rFonts w:hint="default" w:ascii="Times New Roman" w:hAnsi="Times New Roman" w:eastAsia="宋体" w:cs="Times New Roman"/>
                <w:color w:val="auto"/>
                <w:sz w:val="24"/>
                <w:szCs w:val="24"/>
              </w:rPr>
              <w:t>。</w:t>
            </w:r>
          </w:p>
          <w:p w14:paraId="5D739B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2-9</w:t>
            </w:r>
            <w:r>
              <w:rPr>
                <w:rFonts w:hint="default" w:ascii="Times New Roman" w:hAnsi="Times New Roman" w:eastAsia="宋体" w:cs="Times New Roman"/>
                <w:b/>
                <w:bCs/>
                <w:color w:val="auto"/>
                <w:sz w:val="21"/>
                <w:szCs w:val="21"/>
                <w:lang w:val="en-US" w:eastAsia="zh-CN"/>
              </w:rPr>
              <w:tab/>
            </w:r>
            <w:r>
              <w:rPr>
                <w:rFonts w:hint="eastAsia" w:cs="Times New Roman"/>
                <w:b/>
                <w:bCs/>
                <w:color w:val="auto"/>
                <w:sz w:val="21"/>
                <w:szCs w:val="21"/>
                <w:lang w:val="en-US" w:eastAsia="zh-CN"/>
              </w:rPr>
              <w:t>扩建完成后全厂</w:t>
            </w:r>
            <w:r>
              <w:rPr>
                <w:rFonts w:hint="default" w:ascii="Times New Roman" w:hAnsi="Times New Roman" w:eastAsia="宋体" w:cs="Times New Roman"/>
                <w:b/>
                <w:bCs/>
                <w:color w:val="auto"/>
                <w:sz w:val="21"/>
                <w:szCs w:val="21"/>
                <w:lang w:val="en-US" w:eastAsia="zh-CN"/>
              </w:rPr>
              <w:t>包装物</w:t>
            </w:r>
            <w:r>
              <w:rPr>
                <w:rFonts w:hint="eastAsia" w:cs="Times New Roman"/>
                <w:b/>
                <w:bCs/>
                <w:color w:val="auto"/>
                <w:sz w:val="21"/>
                <w:szCs w:val="21"/>
                <w:lang w:val="en-US" w:eastAsia="zh-CN"/>
              </w:rPr>
              <w:t>消耗量</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75"/>
              <w:gridCol w:w="2795"/>
              <w:gridCol w:w="2805"/>
            </w:tblGrid>
            <w:tr w14:paraId="4ED6C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57" w:type="pct"/>
                  <w:vAlign w:val="center"/>
                </w:tcPr>
                <w:p w14:paraId="02E5A87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668" w:type="pct"/>
                  <w:vAlign w:val="center"/>
                </w:tcPr>
                <w:p w14:paraId="3D2E3D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种类</w:t>
                  </w:r>
                </w:p>
              </w:tc>
              <w:tc>
                <w:tcPr>
                  <w:tcW w:w="1674" w:type="pct"/>
                  <w:vAlign w:val="center"/>
                </w:tcPr>
                <w:p w14:paraId="2FB3AB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用量（万个/年）</w:t>
                  </w:r>
                </w:p>
              </w:tc>
            </w:tr>
            <w:tr w14:paraId="1F415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57" w:type="pct"/>
                  <w:vAlign w:val="center"/>
                </w:tcPr>
                <w:p w14:paraId="11B9A71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668" w:type="pct"/>
                  <w:vAlign w:val="center"/>
                </w:tcPr>
                <w:p w14:paraId="1632AF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18L铁桶</w:t>
                  </w:r>
                </w:p>
              </w:tc>
              <w:tc>
                <w:tcPr>
                  <w:tcW w:w="1674" w:type="pct"/>
                  <w:vAlign w:val="center"/>
                </w:tcPr>
                <w:p w14:paraId="146A18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3800000</w:t>
                  </w:r>
                </w:p>
              </w:tc>
            </w:tr>
            <w:tr w14:paraId="668F2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57" w:type="pct"/>
                  <w:vAlign w:val="center"/>
                </w:tcPr>
                <w:p w14:paraId="26F66A0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1668" w:type="pct"/>
                  <w:vAlign w:val="center"/>
                </w:tcPr>
                <w:p w14:paraId="79F7FFA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包装纸袋</w:t>
                  </w:r>
                </w:p>
              </w:tc>
              <w:tc>
                <w:tcPr>
                  <w:tcW w:w="1674" w:type="pct"/>
                  <w:vAlign w:val="center"/>
                </w:tcPr>
                <w:p w14:paraId="46E7947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6000000</w:t>
                  </w:r>
                </w:p>
              </w:tc>
            </w:tr>
          </w:tbl>
          <w:p w14:paraId="3AB5BADD">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污水处理系统</w:t>
            </w:r>
            <w:r>
              <w:rPr>
                <w:rFonts w:hint="eastAsia" w:ascii="Times New Roman" w:hAnsi="Times New Roman" w:eastAsia="宋体" w:cs="Times New Roman"/>
                <w:color w:val="auto"/>
                <w:kern w:val="2"/>
                <w:sz w:val="24"/>
                <w:szCs w:val="24"/>
                <w:lang w:val="en-US" w:eastAsia="zh-CN" w:bidi="ar-SA"/>
              </w:rPr>
              <w:t>运营期间</w:t>
            </w:r>
            <w:r>
              <w:rPr>
                <w:rFonts w:hint="default" w:ascii="Times New Roman" w:hAnsi="Times New Roman" w:eastAsia="宋体" w:cs="Times New Roman"/>
                <w:color w:val="auto"/>
                <w:kern w:val="2"/>
                <w:sz w:val="24"/>
                <w:szCs w:val="24"/>
                <w:lang w:val="en-US" w:eastAsia="zh-CN" w:bidi="ar-SA"/>
              </w:rPr>
              <w:t>使用</w:t>
            </w:r>
            <w:r>
              <w:rPr>
                <w:rFonts w:hint="eastAsia" w:ascii="Times New Roman" w:hAnsi="Times New Roman" w:eastAsia="宋体" w:cs="Times New Roman"/>
                <w:color w:val="auto"/>
                <w:kern w:val="2"/>
                <w:sz w:val="24"/>
                <w:szCs w:val="24"/>
                <w:lang w:val="en-US" w:eastAsia="zh-CN" w:bidi="ar-SA"/>
              </w:rPr>
              <w:t>化学试剂</w:t>
            </w:r>
            <w:r>
              <w:rPr>
                <w:rFonts w:hint="default" w:ascii="Times New Roman" w:hAnsi="Times New Roman" w:eastAsia="宋体" w:cs="Times New Roman"/>
                <w:color w:val="auto"/>
                <w:kern w:val="2"/>
                <w:sz w:val="24"/>
                <w:szCs w:val="24"/>
                <w:lang w:val="en-US" w:eastAsia="zh-CN" w:bidi="ar-SA"/>
              </w:rPr>
              <w:t xml:space="preserve"> NaOH，使用量约为40kg/月</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0.96t/a。</w:t>
            </w:r>
            <w:r>
              <w:rPr>
                <w:rFonts w:hint="default" w:ascii="Times New Roman" w:hAnsi="Times New Roman" w:eastAsia="宋体" w:cs="Times New Roman"/>
                <w:color w:val="auto"/>
                <w:kern w:val="2"/>
                <w:sz w:val="24"/>
                <w:szCs w:val="24"/>
                <w:lang w:val="en-US" w:eastAsia="zh-CN" w:bidi="ar-SA"/>
              </w:rPr>
              <w:t xml:space="preserve">生产中使用的原、辅料特性见表 </w:t>
            </w:r>
            <w:r>
              <w:rPr>
                <w:rFonts w:hint="eastAsia" w:cs="Times New Roman"/>
                <w:color w:val="auto"/>
                <w:kern w:val="2"/>
                <w:sz w:val="24"/>
                <w:szCs w:val="24"/>
                <w:lang w:val="en-US" w:eastAsia="zh-CN" w:bidi="ar-SA"/>
              </w:rPr>
              <w:t>2-10</w:t>
            </w:r>
            <w:r>
              <w:rPr>
                <w:rFonts w:hint="default" w:ascii="Times New Roman" w:hAnsi="Times New Roman" w:eastAsia="宋体" w:cs="Times New Roman"/>
                <w:color w:val="auto"/>
                <w:kern w:val="2"/>
                <w:sz w:val="24"/>
                <w:szCs w:val="24"/>
                <w:lang w:val="en-US" w:eastAsia="zh-CN" w:bidi="ar-SA"/>
              </w:rPr>
              <w:t>。</w:t>
            </w:r>
          </w:p>
          <w:p w14:paraId="1F2725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 </w:t>
            </w:r>
            <w:r>
              <w:rPr>
                <w:rFonts w:hint="eastAsia" w:cs="Times New Roman"/>
                <w:b/>
                <w:bCs/>
                <w:color w:val="auto"/>
                <w:sz w:val="21"/>
                <w:szCs w:val="21"/>
                <w:lang w:val="en-US" w:eastAsia="zh-CN"/>
              </w:rPr>
              <w:t>2-10</w:t>
            </w:r>
            <w:r>
              <w:rPr>
                <w:rFonts w:hint="default" w:ascii="Times New Roman" w:hAnsi="Times New Roman" w:eastAsia="宋体" w:cs="Times New Roman"/>
                <w:b/>
                <w:bCs/>
                <w:color w:val="auto"/>
                <w:sz w:val="21"/>
                <w:szCs w:val="21"/>
                <w:lang w:val="en-US" w:eastAsia="zh-CN"/>
              </w:rPr>
              <w:tab/>
            </w:r>
            <w:r>
              <w:rPr>
                <w:rFonts w:hint="default" w:ascii="Times New Roman" w:hAnsi="Times New Roman" w:eastAsia="宋体" w:cs="Times New Roman"/>
                <w:b/>
                <w:bCs/>
                <w:color w:val="auto"/>
                <w:sz w:val="21"/>
                <w:szCs w:val="21"/>
                <w:lang w:val="en-US" w:eastAsia="zh-CN"/>
              </w:rPr>
              <w:t>生产使用主要原料、辅料消耗量及特性一览表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6"/>
              <w:gridCol w:w="671"/>
              <w:gridCol w:w="738"/>
              <w:gridCol w:w="810"/>
              <w:gridCol w:w="1008"/>
              <w:gridCol w:w="4522"/>
            </w:tblGrid>
            <w:tr w14:paraId="11ADE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Align w:val="center"/>
                </w:tcPr>
                <w:p w14:paraId="0BB002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w:t>
                  </w:r>
                </w:p>
              </w:tc>
              <w:tc>
                <w:tcPr>
                  <w:tcW w:w="413" w:type="pct"/>
                  <w:vAlign w:val="center"/>
                </w:tcPr>
                <w:p w14:paraId="7DD2B80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453" w:type="pct"/>
                  <w:vAlign w:val="center"/>
                </w:tcPr>
                <w:p w14:paraId="048C888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原材料名称</w:t>
                  </w:r>
                </w:p>
              </w:tc>
              <w:tc>
                <w:tcPr>
                  <w:tcW w:w="496" w:type="pct"/>
                  <w:vAlign w:val="center"/>
                </w:tcPr>
                <w:p w14:paraId="51D91D90">
                  <w:pPr>
                    <w:pStyle w:val="41"/>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val="en-US" w:eastAsia="zh-CN"/>
                    </w:rPr>
                    <w:t>原项目用量</w:t>
                  </w:r>
                  <w:r>
                    <w:rPr>
                      <w:rFonts w:hint="default" w:ascii="Times New Roman" w:hAnsi="Times New Roman" w:eastAsia="宋体" w:cs="Times New Roman"/>
                      <w:b/>
                      <w:bCs/>
                      <w:sz w:val="21"/>
                      <w:szCs w:val="21"/>
                    </w:rPr>
                    <w:t>（t/a）</w:t>
                  </w:r>
                </w:p>
              </w:tc>
              <w:tc>
                <w:tcPr>
                  <w:tcW w:w="539" w:type="pct"/>
                  <w:vAlign w:val="center"/>
                </w:tcPr>
                <w:p w14:paraId="45163501">
                  <w:pPr>
                    <w:pStyle w:val="41"/>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扩建后</w:t>
                  </w:r>
                  <w:r>
                    <w:rPr>
                      <w:rFonts w:hint="default" w:ascii="Times New Roman" w:hAnsi="Times New Roman" w:eastAsia="宋体" w:cs="Times New Roman"/>
                      <w:b/>
                      <w:bCs/>
                      <w:sz w:val="21"/>
                      <w:szCs w:val="21"/>
                    </w:rPr>
                    <w:t>用量</w:t>
                  </w:r>
                </w:p>
                <w:p w14:paraId="7B2C5F8D">
                  <w:pPr>
                    <w:pStyle w:val="41"/>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rPr>
                    <w:t>（t/a）</w:t>
                  </w:r>
                </w:p>
              </w:tc>
              <w:tc>
                <w:tcPr>
                  <w:tcW w:w="2711" w:type="pct"/>
                  <w:vAlign w:val="center"/>
                </w:tcPr>
                <w:p w14:paraId="38D1B9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特性</w:t>
                  </w:r>
                </w:p>
              </w:tc>
            </w:tr>
            <w:tr w14:paraId="77CA2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restart"/>
                  <w:vAlign w:val="center"/>
                </w:tcPr>
                <w:p w14:paraId="42604A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00773B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60373EF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1E7CB0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3E3A544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724C29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水性涂料和砂壁产品</w:t>
                  </w:r>
                </w:p>
              </w:tc>
              <w:tc>
                <w:tcPr>
                  <w:tcW w:w="413" w:type="pct"/>
                  <w:vAlign w:val="center"/>
                </w:tcPr>
                <w:p w14:paraId="5CECFE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53" w:type="pct"/>
                  <w:vAlign w:val="center"/>
                </w:tcPr>
                <w:p w14:paraId="5FE9F0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金红石钛白粉</w:t>
                  </w:r>
                </w:p>
              </w:tc>
              <w:tc>
                <w:tcPr>
                  <w:tcW w:w="496" w:type="pct"/>
                  <w:vAlign w:val="center"/>
                </w:tcPr>
                <w:p w14:paraId="66F52778">
                  <w:pPr>
                    <w:pStyle w:val="41"/>
                    <w:keepNext w:val="0"/>
                    <w:keepLines w:val="0"/>
                    <w:suppressLineNumbers w:val="0"/>
                    <w:spacing w:before="23" w:beforeAutospacing="0" w:after="0" w:afterAutospacing="0"/>
                    <w:ind w:left="237"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3189</w:t>
                  </w:r>
                </w:p>
              </w:tc>
              <w:tc>
                <w:tcPr>
                  <w:tcW w:w="539" w:type="pct"/>
                  <w:vAlign w:val="center"/>
                </w:tcPr>
                <w:p w14:paraId="5C156E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3802.5</w:t>
                  </w:r>
                </w:p>
              </w:tc>
              <w:tc>
                <w:tcPr>
                  <w:tcW w:w="2711" w:type="pct"/>
                  <w:vAlign w:val="center"/>
                </w:tcPr>
                <w:p w14:paraId="7288D05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白色颜料，学名二氧化钛，白色固体粉末，化学性质稳定， 无气味，PH 值 6.5-8.0,比重 3.8-4.1kg/L，不溶解于水，熔点 1830℃，在一般情况下与大部分物质不发生反应，可增强涂料的稳定性和附着力。</w:t>
                  </w:r>
                </w:p>
              </w:tc>
            </w:tr>
            <w:tr w14:paraId="6B60C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19F86BA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1E82BF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53" w:type="pct"/>
                  <w:vAlign w:val="center"/>
                </w:tcPr>
                <w:p w14:paraId="36D4C6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碳酸钙</w:t>
                  </w:r>
                </w:p>
              </w:tc>
              <w:tc>
                <w:tcPr>
                  <w:tcW w:w="496" w:type="pct"/>
                  <w:vAlign w:val="center"/>
                </w:tcPr>
                <w:p w14:paraId="52D6503F">
                  <w:pPr>
                    <w:pStyle w:val="41"/>
                    <w:keepNext w:val="0"/>
                    <w:keepLines w:val="0"/>
                    <w:suppressLineNumbers w:val="0"/>
                    <w:spacing w:before="23" w:beforeAutospacing="0" w:after="0" w:afterAutospacing="0"/>
                    <w:ind w:left="108" w:leftChars="0" w:right="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sz w:val="21"/>
                      <w:szCs w:val="21"/>
                    </w:rPr>
                    <w:t>25039</w:t>
                  </w:r>
                </w:p>
              </w:tc>
              <w:tc>
                <w:tcPr>
                  <w:tcW w:w="539" w:type="pct"/>
                  <w:vAlign w:val="center"/>
                </w:tcPr>
                <w:p w14:paraId="7D29BF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50665.7346</w:t>
                  </w:r>
                </w:p>
              </w:tc>
              <w:tc>
                <w:tcPr>
                  <w:tcW w:w="2711" w:type="pct"/>
                  <w:vAlign w:val="center"/>
                </w:tcPr>
                <w:p w14:paraId="40E72A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粉末状无机填料，白色粉末，无色、无味。在空气中稳定， 无气味，几乎不溶于水，PH8.0-10.0,比重 3.0kg/L，熔点1700℃，具有化学纯度高，惰性大，不易化学反应，热稳定性好；在高温下不会分解，分散性好等优点。</w:t>
                  </w:r>
                </w:p>
              </w:tc>
            </w:tr>
            <w:tr w14:paraId="4EB60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0A34807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32FF957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53" w:type="pct"/>
                  <w:vAlign w:val="center"/>
                </w:tcPr>
                <w:p w14:paraId="0C0F9F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高岭土</w:t>
                  </w:r>
                </w:p>
              </w:tc>
              <w:tc>
                <w:tcPr>
                  <w:tcW w:w="496" w:type="pct"/>
                  <w:vAlign w:val="center"/>
                </w:tcPr>
                <w:p w14:paraId="439EEA5F">
                  <w:pPr>
                    <w:pStyle w:val="41"/>
                    <w:keepNext w:val="0"/>
                    <w:keepLines w:val="0"/>
                    <w:suppressLineNumbers w:val="0"/>
                    <w:spacing w:before="22"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6086</w:t>
                  </w:r>
                </w:p>
              </w:tc>
              <w:tc>
                <w:tcPr>
                  <w:tcW w:w="539" w:type="pct"/>
                  <w:vAlign w:val="center"/>
                </w:tcPr>
                <w:p w14:paraId="6F3CE9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760</w:t>
                  </w:r>
                  <w:r>
                    <w:rPr>
                      <w:rFonts w:hint="eastAsia"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055</w:t>
                  </w:r>
                </w:p>
              </w:tc>
              <w:tc>
                <w:tcPr>
                  <w:tcW w:w="2711" w:type="pct"/>
                  <w:vAlign w:val="center"/>
                </w:tcPr>
                <w:p w14:paraId="7BA53A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应用很广的填料，无气味，PH 值 5.0-7.0,比重 2.6kg/L，不溶于水，熔点 1750℃，白度高，质软，易分散于水中，具有良好的可塑性和粘结性。</w:t>
                  </w:r>
                </w:p>
              </w:tc>
            </w:tr>
            <w:tr w14:paraId="15ADD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488F090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32865B3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53" w:type="pct"/>
                  <w:vAlign w:val="center"/>
                </w:tcPr>
                <w:p w14:paraId="08F3D8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醋丙乳液</w:t>
                  </w:r>
                </w:p>
              </w:tc>
              <w:tc>
                <w:tcPr>
                  <w:tcW w:w="496" w:type="pct"/>
                  <w:vAlign w:val="center"/>
                </w:tcPr>
                <w:p w14:paraId="79A4FFC5">
                  <w:pPr>
                    <w:pStyle w:val="41"/>
                    <w:keepNext w:val="0"/>
                    <w:keepLines w:val="0"/>
                    <w:suppressLineNumbers w:val="0"/>
                    <w:spacing w:before="22"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2349</w:t>
                  </w:r>
                </w:p>
              </w:tc>
              <w:tc>
                <w:tcPr>
                  <w:tcW w:w="539" w:type="pct"/>
                  <w:vAlign w:val="center"/>
                </w:tcPr>
                <w:p w14:paraId="138C04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2936.25</w:t>
                  </w:r>
                </w:p>
              </w:tc>
              <w:tc>
                <w:tcPr>
                  <w:tcW w:w="2711" w:type="pct"/>
                  <w:vAlign w:val="center"/>
                </w:tcPr>
                <w:p w14:paraId="6872D97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又称乙丙乳液，微酸气味，PH 值 4.5-5.0，与水混溶，沸点100℃，不易燃，是以醋酸乙烯和丙烯酸丁酯为主要功能单体共聚而成的水性高分子树脂，适用于建筑内墙涂料和丝光涂料的乳液</w:t>
                  </w:r>
                </w:p>
              </w:tc>
            </w:tr>
            <w:tr w14:paraId="55C21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4745072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6937CB9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53" w:type="pct"/>
                  <w:vAlign w:val="center"/>
                </w:tcPr>
                <w:p w14:paraId="56CC53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苯丙乳液</w:t>
                  </w:r>
                </w:p>
              </w:tc>
              <w:tc>
                <w:tcPr>
                  <w:tcW w:w="496" w:type="pct"/>
                  <w:vAlign w:val="center"/>
                </w:tcPr>
                <w:p w14:paraId="17F40AFE">
                  <w:pPr>
                    <w:pStyle w:val="41"/>
                    <w:keepNext w:val="0"/>
                    <w:keepLines w:val="0"/>
                    <w:suppressLineNumbers w:val="0"/>
                    <w:spacing w:before="21"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9266</w:t>
                  </w:r>
                </w:p>
              </w:tc>
              <w:tc>
                <w:tcPr>
                  <w:tcW w:w="539" w:type="pct"/>
                  <w:vAlign w:val="center"/>
                </w:tcPr>
                <w:p w14:paraId="5CCC8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3591.7266</w:t>
                  </w:r>
                </w:p>
              </w:tc>
              <w:tc>
                <w:tcPr>
                  <w:tcW w:w="2711" w:type="pct"/>
                  <w:vAlign w:val="center"/>
                </w:tcPr>
                <w:p w14:paraId="3EE260E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苯丙乳液是由苯乙烯和丙烯酸酯单体共聚而成，乳白色液体，带蓝光，PH 值 6.0-8.0,与水混溶，沸点 100℃，不易燃， 附着力好，胶膜透明、耐水、耐油、耐老化性能良好。</w:t>
                  </w:r>
                </w:p>
              </w:tc>
            </w:tr>
            <w:tr w14:paraId="3F1F9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00FD29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0F70EE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453" w:type="pct"/>
                  <w:vAlign w:val="center"/>
                </w:tcPr>
                <w:p w14:paraId="1FCC8C3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聚丙烯酸钠盐</w:t>
                  </w:r>
                </w:p>
              </w:tc>
              <w:tc>
                <w:tcPr>
                  <w:tcW w:w="496" w:type="pct"/>
                  <w:vAlign w:val="center"/>
                </w:tcPr>
                <w:p w14:paraId="68D4266D">
                  <w:pPr>
                    <w:pStyle w:val="41"/>
                    <w:keepNext w:val="0"/>
                    <w:keepLines w:val="0"/>
                    <w:suppressLineNumbers w:val="0"/>
                    <w:spacing w:before="21"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240</w:t>
                  </w:r>
                </w:p>
              </w:tc>
              <w:tc>
                <w:tcPr>
                  <w:tcW w:w="539" w:type="pct"/>
                  <w:vAlign w:val="center"/>
                </w:tcPr>
                <w:p w14:paraId="3D2F138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w:t>
                  </w:r>
                </w:p>
              </w:tc>
              <w:tc>
                <w:tcPr>
                  <w:tcW w:w="2711" w:type="pct"/>
                  <w:vAlign w:val="center"/>
                </w:tcPr>
                <w:p w14:paraId="599302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分散剂，可均一分散难溶于液体的固体物质，同时也能防止固体颗粒沉降和絮凝，形成稳定性溶液；淡黄色液体，不能混溶于水。</w:t>
                  </w:r>
                </w:p>
              </w:tc>
            </w:tr>
            <w:tr w14:paraId="4CBC3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15A80F2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2739326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453" w:type="pct"/>
                  <w:vAlign w:val="center"/>
                </w:tcPr>
                <w:p w14:paraId="56FAB8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羟乙基纤维素</w:t>
                  </w:r>
                </w:p>
              </w:tc>
              <w:tc>
                <w:tcPr>
                  <w:tcW w:w="496" w:type="pct"/>
                  <w:vAlign w:val="center"/>
                </w:tcPr>
                <w:p w14:paraId="60FAF205">
                  <w:pPr>
                    <w:pStyle w:val="41"/>
                    <w:keepNext w:val="0"/>
                    <w:keepLines w:val="0"/>
                    <w:suppressLineNumbers w:val="0"/>
                    <w:spacing w:before="20"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227</w:t>
                  </w:r>
                </w:p>
              </w:tc>
              <w:tc>
                <w:tcPr>
                  <w:tcW w:w="539" w:type="pct"/>
                  <w:vAlign w:val="center"/>
                </w:tcPr>
                <w:p w14:paraId="17F830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283.7</w:t>
                  </w:r>
                  <w:r>
                    <w:rPr>
                      <w:rFonts w:hint="eastAsia" w:cs="Times New Roman"/>
                      <w:i w:val="0"/>
                      <w:iCs w:val="0"/>
                      <w:color w:val="auto"/>
                      <w:kern w:val="0"/>
                      <w:sz w:val="21"/>
                      <w:szCs w:val="21"/>
                      <w:u w:val="none"/>
                      <w:lang w:val="en-US" w:eastAsia="zh-CN" w:bidi="ar"/>
                    </w:rPr>
                    <w:t>6</w:t>
                  </w:r>
                </w:p>
              </w:tc>
              <w:tc>
                <w:tcPr>
                  <w:tcW w:w="2711" w:type="pct"/>
                  <w:vAlign w:val="center"/>
                </w:tcPr>
                <w:p w14:paraId="77AB5CC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增稠剂，对涂料的增稠、稳定及流变性起着多方面协调作用， 在乳胶聚合过程中用作保护胶体，提高乳液的温定性，淡黄色颗粒状粉末，无味、在水中完全溶解，沸点大于 100℃，熔点 290℃。</w:t>
                  </w:r>
                </w:p>
              </w:tc>
            </w:tr>
            <w:tr w14:paraId="12D44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5AA6E0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166CFDB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453" w:type="pct"/>
                  <w:vAlign w:val="center"/>
                </w:tcPr>
                <w:p w14:paraId="70D0410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矿物油</w:t>
                  </w:r>
                </w:p>
              </w:tc>
              <w:tc>
                <w:tcPr>
                  <w:tcW w:w="496" w:type="pct"/>
                  <w:vAlign w:val="center"/>
                </w:tcPr>
                <w:p w14:paraId="13A6388A">
                  <w:pPr>
                    <w:pStyle w:val="41"/>
                    <w:keepNext w:val="0"/>
                    <w:keepLines w:val="0"/>
                    <w:suppressLineNumbers w:val="0"/>
                    <w:spacing w:before="20"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134</w:t>
                  </w:r>
                </w:p>
              </w:tc>
              <w:tc>
                <w:tcPr>
                  <w:tcW w:w="539" w:type="pct"/>
                  <w:vAlign w:val="center"/>
                </w:tcPr>
                <w:p w14:paraId="2259F35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165.5</w:t>
                  </w:r>
                </w:p>
              </w:tc>
              <w:tc>
                <w:tcPr>
                  <w:tcW w:w="2711" w:type="pct"/>
                  <w:vAlign w:val="center"/>
                </w:tcPr>
                <w:p w14:paraId="1CB7746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消泡剂，消除在生产过程中产生的泡沫，淡黄色液体，矿物油味，不能混溶于水。</w:t>
                  </w:r>
                </w:p>
              </w:tc>
            </w:tr>
            <w:tr w14:paraId="04F26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04B7EA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67DA8E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453" w:type="pct"/>
                  <w:vAlign w:val="center"/>
                </w:tcPr>
                <w:p w14:paraId="09A38D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十二碳酸酯</w:t>
                  </w:r>
                </w:p>
              </w:tc>
              <w:tc>
                <w:tcPr>
                  <w:tcW w:w="496" w:type="pct"/>
                  <w:vAlign w:val="center"/>
                </w:tcPr>
                <w:p w14:paraId="227212B0">
                  <w:pPr>
                    <w:pStyle w:val="41"/>
                    <w:keepNext w:val="0"/>
                    <w:keepLines w:val="0"/>
                    <w:suppressLineNumbers w:val="0"/>
                    <w:spacing w:before="20"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623</w:t>
                  </w:r>
                </w:p>
              </w:tc>
              <w:tc>
                <w:tcPr>
                  <w:tcW w:w="539" w:type="pct"/>
                  <w:vAlign w:val="center"/>
                </w:tcPr>
                <w:p w14:paraId="405513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779.25</w:t>
                  </w:r>
                </w:p>
              </w:tc>
              <w:tc>
                <w:tcPr>
                  <w:tcW w:w="2711" w:type="pct"/>
                  <w:vAlign w:val="center"/>
                </w:tcPr>
                <w:p w14:paraId="40888C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成膜助剂，有助于体系从液态向固态转变，使用成膜助剂可以得到较好的漆膜，无色透明液体，有酯类香味，不溶于水。</w:t>
                  </w:r>
                </w:p>
              </w:tc>
            </w:tr>
            <w:tr w14:paraId="7C22B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37A68BD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786B97E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53" w:type="pct"/>
                  <w:vAlign w:val="center"/>
                </w:tcPr>
                <w:p w14:paraId="56E7A66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丙二醇</w:t>
                  </w:r>
                </w:p>
              </w:tc>
              <w:tc>
                <w:tcPr>
                  <w:tcW w:w="496" w:type="pct"/>
                  <w:vAlign w:val="center"/>
                </w:tcPr>
                <w:p w14:paraId="6391F40A">
                  <w:pPr>
                    <w:pStyle w:val="41"/>
                    <w:keepNext w:val="0"/>
                    <w:keepLines w:val="0"/>
                    <w:suppressLineNumbers w:val="0"/>
                    <w:spacing w:before="19"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215</w:t>
                  </w:r>
                </w:p>
              </w:tc>
              <w:tc>
                <w:tcPr>
                  <w:tcW w:w="539" w:type="pct"/>
                  <w:vAlign w:val="center"/>
                </w:tcPr>
                <w:p w14:paraId="4B7535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269.15</w:t>
                  </w:r>
                </w:p>
              </w:tc>
              <w:tc>
                <w:tcPr>
                  <w:tcW w:w="2711" w:type="pct"/>
                  <w:vAlign w:val="center"/>
                </w:tcPr>
                <w:p w14:paraId="75DD353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防冻剂，无色粘稠稳定的吸水性液体，几乎无味无臭。 沸点：188.2℃  熔点：－59℃  溶解度：与水、乙醇及多种有机溶剂混溶。丙二醇的粘性和吸湿性好，并且无毒，因而在食品、医药和化妆品工业中广泛用作吸湿剂、抗冻剂、润滑剂和溶剂。</w:t>
                  </w:r>
                </w:p>
              </w:tc>
            </w:tr>
            <w:tr w14:paraId="7FDEE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209575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338752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453" w:type="pct"/>
                  <w:vAlign w:val="center"/>
                </w:tcPr>
                <w:p w14:paraId="3E2181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氨水</w:t>
                  </w:r>
                </w:p>
              </w:tc>
              <w:tc>
                <w:tcPr>
                  <w:tcW w:w="496" w:type="pct"/>
                  <w:vAlign w:val="center"/>
                </w:tcPr>
                <w:p w14:paraId="17BEBAA2">
                  <w:pPr>
                    <w:pStyle w:val="41"/>
                    <w:keepNext w:val="0"/>
                    <w:keepLines w:val="0"/>
                    <w:suppressLineNumbers w:val="0"/>
                    <w:spacing w:before="19"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14</w:t>
                  </w:r>
                </w:p>
              </w:tc>
              <w:tc>
                <w:tcPr>
                  <w:tcW w:w="539" w:type="pct"/>
                  <w:vAlign w:val="center"/>
                </w:tcPr>
                <w:p w14:paraId="7D4A349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17.5</w:t>
                  </w:r>
                </w:p>
              </w:tc>
              <w:tc>
                <w:tcPr>
                  <w:tcW w:w="2711" w:type="pct"/>
                  <w:vAlign w:val="center"/>
                </w:tcPr>
                <w:p w14:paraId="4A9DC65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作为涂料生产中水分散性涂料的阻聚剂，防止涂料在储存/ 运输/使用过程中过早成膜，也可以看成是一种乳化体系稳定剂。是氨气的水溶液，无色透明且具有刺激性气味。熔点-77℃，沸点 36℃，密度 0.91g/cm^3。易溶于水、乙醇。易挥发，具有部分碱的通性，有毒，对眼、鼻、皮肤有刺激性和腐蚀性，能使人窒息。</w:t>
                  </w:r>
                </w:p>
              </w:tc>
            </w:tr>
            <w:tr w14:paraId="1F83B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13FF632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763235A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453" w:type="pct"/>
                  <w:vAlign w:val="center"/>
                </w:tcPr>
                <w:p w14:paraId="2E6D31C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色浆</w:t>
                  </w:r>
                </w:p>
              </w:tc>
              <w:tc>
                <w:tcPr>
                  <w:tcW w:w="496" w:type="pct"/>
                  <w:vAlign w:val="center"/>
                </w:tcPr>
                <w:p w14:paraId="03AA8501">
                  <w:pPr>
                    <w:pStyle w:val="41"/>
                    <w:keepNext w:val="0"/>
                    <w:keepLines w:val="0"/>
                    <w:suppressLineNumbers w:val="0"/>
                    <w:spacing w:before="20"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51</w:t>
                  </w:r>
                </w:p>
              </w:tc>
              <w:tc>
                <w:tcPr>
                  <w:tcW w:w="539" w:type="pct"/>
                  <w:vAlign w:val="center"/>
                </w:tcPr>
                <w:p w14:paraId="217965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76.25</w:t>
                  </w:r>
                </w:p>
              </w:tc>
              <w:tc>
                <w:tcPr>
                  <w:tcW w:w="2711" w:type="pct"/>
                  <w:vAlign w:val="center"/>
                </w:tcPr>
                <w:p w14:paraId="5726CC4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色浆是由颜料</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"http://baike.baidu.com/view/2955681.htm"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或颜料和填充料</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分散在</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"http://baike.baidu.com/view/2248294.htm"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漆料</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内而成的</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"http://baike.baidu.com/view/1079519.htm"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半制品</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。为砂壁产品调色使用，均为成都公司提供成品，属于水性色浆，主要成份为合成氧化铁、丙烯酸乳液、水和少量助剂。</w:t>
                  </w:r>
                </w:p>
              </w:tc>
            </w:tr>
            <w:tr w14:paraId="5EB37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restart"/>
                  <w:vAlign w:val="center"/>
                </w:tcPr>
                <w:p w14:paraId="728C80E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w:t>
                  </w:r>
                </w:p>
              </w:tc>
              <w:tc>
                <w:tcPr>
                  <w:tcW w:w="413" w:type="pct"/>
                  <w:vAlign w:val="center"/>
                </w:tcPr>
                <w:p w14:paraId="247536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53" w:type="pct"/>
                  <w:vAlign w:val="center"/>
                </w:tcPr>
                <w:p w14:paraId="3ED4D01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水泥</w:t>
                  </w:r>
                </w:p>
              </w:tc>
              <w:tc>
                <w:tcPr>
                  <w:tcW w:w="496" w:type="pct"/>
                  <w:vAlign w:val="center"/>
                </w:tcPr>
                <w:p w14:paraId="4B7210F7">
                  <w:pPr>
                    <w:pStyle w:val="41"/>
                    <w:keepNext w:val="0"/>
                    <w:keepLines w:val="0"/>
                    <w:suppressLineNumbers w:val="0"/>
                    <w:spacing w:before="20"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5289</w:t>
                  </w:r>
                </w:p>
              </w:tc>
              <w:tc>
                <w:tcPr>
                  <w:tcW w:w="539" w:type="pct"/>
                  <w:vAlign w:val="center"/>
                </w:tcPr>
                <w:p w14:paraId="65A4A6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34627.457</w:t>
                  </w:r>
                </w:p>
              </w:tc>
              <w:tc>
                <w:tcPr>
                  <w:tcW w:w="2711" w:type="pct"/>
                  <w:vAlign w:val="center"/>
                </w:tcPr>
                <w:p w14:paraId="17229C2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粉状</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"http://baike.baidu.com/view/1166117.htm"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水硬性无机胶凝材料</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。加水搅拌后成浆体，能在空气中硬化或者在水中更好的硬化，并能把砂、石等材料牢固地胶结在一起。为一种重要的胶凝材料，广泛应用于土木建筑、</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"http://baike.baidu.com/view/9041.htm"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水利</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、国防等工程。</w:t>
                  </w:r>
                </w:p>
              </w:tc>
            </w:tr>
            <w:tr w14:paraId="415AE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tcBorders>
                    <w:top w:val="nil"/>
                  </w:tcBorders>
                  <w:vAlign w:val="center"/>
                </w:tcPr>
                <w:p w14:paraId="72B229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4609F02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53" w:type="pct"/>
                  <w:vAlign w:val="center"/>
                </w:tcPr>
                <w:p w14:paraId="69B805C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白砂</w:t>
                  </w:r>
                </w:p>
              </w:tc>
              <w:tc>
                <w:tcPr>
                  <w:tcW w:w="496" w:type="pct"/>
                  <w:vAlign w:val="center"/>
                </w:tcPr>
                <w:p w14:paraId="1F117F5B">
                  <w:pPr>
                    <w:pStyle w:val="41"/>
                    <w:keepNext w:val="0"/>
                    <w:keepLines w:val="0"/>
                    <w:suppressLineNumbers w:val="0"/>
                    <w:spacing w:before="20"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22055</w:t>
                  </w:r>
                </w:p>
              </w:tc>
              <w:tc>
                <w:tcPr>
                  <w:tcW w:w="539" w:type="pct"/>
                  <w:vAlign w:val="center"/>
                </w:tcPr>
                <w:p w14:paraId="3C4497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59800.3</w:t>
                  </w:r>
                </w:p>
              </w:tc>
              <w:tc>
                <w:tcPr>
                  <w:tcW w:w="2711" w:type="pct"/>
                  <w:vAlign w:val="center"/>
                </w:tcPr>
                <w:p w14:paraId="613E4AF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白色砂岩，用于装修、装饰、建材。</w:t>
                  </w:r>
                </w:p>
              </w:tc>
            </w:tr>
            <w:tr w14:paraId="74958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tcBorders>
                    <w:top w:val="nil"/>
                  </w:tcBorders>
                  <w:vAlign w:val="center"/>
                </w:tcPr>
                <w:p w14:paraId="09E01A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3F85A26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53" w:type="pct"/>
                  <w:vAlign w:val="center"/>
                </w:tcPr>
                <w:p w14:paraId="5143B7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纤维素</w:t>
                  </w:r>
                </w:p>
              </w:tc>
              <w:tc>
                <w:tcPr>
                  <w:tcW w:w="496" w:type="pct"/>
                  <w:vAlign w:val="center"/>
                </w:tcPr>
                <w:p w14:paraId="78E4F7CF">
                  <w:pPr>
                    <w:pStyle w:val="41"/>
                    <w:keepNext w:val="0"/>
                    <w:keepLines w:val="0"/>
                    <w:suppressLineNumbers w:val="0"/>
                    <w:spacing w:before="19"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358</w:t>
                  </w:r>
                </w:p>
              </w:tc>
              <w:tc>
                <w:tcPr>
                  <w:tcW w:w="539" w:type="pct"/>
                  <w:vAlign w:val="center"/>
                </w:tcPr>
                <w:p w14:paraId="4B7E41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2029.36</w:t>
                  </w:r>
                </w:p>
              </w:tc>
              <w:tc>
                <w:tcPr>
                  <w:tcW w:w="2711" w:type="pct"/>
                  <w:vAlign w:val="center"/>
                </w:tcPr>
                <w:p w14:paraId="4A6E7A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白色粉末，是由类似于多</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"http://baike.baidu.com/view/16023.htm"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个葡萄糖</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分子组成的大分子多糖。不溶于水及一般</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"http://baike.baidu.com/view/435064.htm"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有机溶剂</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。天然纤维素为无臭、无味的白色丝状物。纤维素在水中有高度的不溶性，同时也不溶于稀酸、稀碱和有机溶剂，主要的</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"http://www.wiki8.com/shengwuxue_105516/"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生物学</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"http://www.wiki8.com/gongneng_119143/"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功能</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是构成植物的支持</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"http://www.wiki8.com/zuzhi_105050/"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组</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"http://www.wiki8.com/zuzhi_105050/"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织</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w:t>
                  </w:r>
                </w:p>
              </w:tc>
            </w:tr>
            <w:tr w14:paraId="6A90F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99" w:type="pct"/>
                  <w:gridSpan w:val="2"/>
                  <w:vAlign w:val="center"/>
                </w:tcPr>
                <w:p w14:paraId="7BFF4F4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污水处理系统</w:t>
                  </w:r>
                </w:p>
              </w:tc>
              <w:tc>
                <w:tcPr>
                  <w:tcW w:w="453" w:type="pct"/>
                  <w:vAlign w:val="center"/>
                </w:tcPr>
                <w:p w14:paraId="5DB2271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NaOH</w:t>
                  </w:r>
                </w:p>
              </w:tc>
              <w:tc>
                <w:tcPr>
                  <w:tcW w:w="496" w:type="pct"/>
                  <w:vAlign w:val="center"/>
                </w:tcPr>
                <w:p w14:paraId="11D91F21">
                  <w:pPr>
                    <w:pStyle w:val="41"/>
                    <w:keepNext w:val="0"/>
                    <w:keepLines w:val="0"/>
                    <w:suppressLineNumbers w:val="0"/>
                    <w:spacing w:before="19"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0.48</w:t>
                  </w:r>
                </w:p>
              </w:tc>
              <w:tc>
                <w:tcPr>
                  <w:tcW w:w="539" w:type="pct"/>
                  <w:vAlign w:val="center"/>
                </w:tcPr>
                <w:p w14:paraId="60EBD74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96</w:t>
                  </w:r>
                </w:p>
              </w:tc>
              <w:tc>
                <w:tcPr>
                  <w:tcW w:w="2711" w:type="pct"/>
                  <w:vAlign w:val="center"/>
                </w:tcPr>
                <w:p w14:paraId="055F541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为白色半透明结晶状固体。其水溶液有涩味和滑腻感。有腐蚀性。极易溶于水，溶解时放出大量的热。易溶于乙醇、</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"http://baike.baidu.com/view/833.htm"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甘</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"http://baike.baidu.com/view/833.htm"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油</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 xml:space="preserve">。氢氧化钠被使用在水处理方面：消除水的硬度；调节水的 </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"http://baike.baidu.com/view/23974.htm"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pH 值</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；对废水进行中和；通过沉淀消除水中</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"http://baike.baidu.com/view/1208.htm"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重金属</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离子；离子交换树脂的再生。</w:t>
                  </w:r>
                </w:p>
              </w:tc>
            </w:tr>
          </w:tbl>
          <w:p w14:paraId="77D7A913">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10、劳动定员及工作制度</w:t>
            </w:r>
          </w:p>
          <w:p w14:paraId="15497E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原项目乳胶漆 2 条生产线全年工作 200 天，一班制，每班 8 小时；腻子粉 2 条生产线年工作天数为 250 天，每天一班，每班 8 小时；砂壁产品，每年生产 250 天，每天 2 班，每班为 8 小时。</w:t>
            </w:r>
          </w:p>
          <w:p w14:paraId="06E257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本次扩建后，乳胶漆</w:t>
            </w:r>
            <w:r>
              <w:rPr>
                <w:rFonts w:hint="default" w:ascii="Times New Roman" w:hAnsi="Times New Roman" w:eastAsia="宋体" w:cs="Times New Roman"/>
                <w:color w:val="auto"/>
                <w:sz w:val="24"/>
                <w:szCs w:val="24"/>
                <w:lang w:val="en-US" w:eastAsia="zh-CN"/>
              </w:rPr>
              <w:t>2条生产线全年工作</w:t>
            </w:r>
            <w:r>
              <w:rPr>
                <w:rFonts w:hint="eastAsia" w:cs="Times New Roman"/>
                <w:color w:val="auto"/>
                <w:sz w:val="24"/>
                <w:szCs w:val="24"/>
                <w:lang w:val="en-US" w:eastAsia="zh-CN"/>
              </w:rPr>
              <w:t>250</w:t>
            </w:r>
            <w:r>
              <w:rPr>
                <w:rFonts w:hint="default" w:ascii="Times New Roman" w:hAnsi="Times New Roman" w:eastAsia="宋体" w:cs="Times New Roman"/>
                <w:color w:val="auto"/>
                <w:sz w:val="24"/>
                <w:szCs w:val="24"/>
                <w:lang w:val="en-US" w:eastAsia="zh-CN"/>
              </w:rPr>
              <w:t>天，一班制，每班8小时；砂壁生产每年</w:t>
            </w:r>
            <w:r>
              <w:rPr>
                <w:rFonts w:hint="eastAsia" w:cs="Times New Roman"/>
                <w:color w:val="auto"/>
                <w:sz w:val="24"/>
                <w:szCs w:val="24"/>
                <w:lang w:val="en-US" w:eastAsia="zh-CN"/>
              </w:rPr>
              <w:t>工作275天，</w:t>
            </w:r>
            <w:r>
              <w:rPr>
                <w:rFonts w:hint="default" w:ascii="Times New Roman" w:hAnsi="Times New Roman" w:eastAsia="宋体" w:cs="Times New Roman"/>
                <w:color w:val="auto"/>
                <w:sz w:val="24"/>
                <w:szCs w:val="24"/>
                <w:lang w:val="en-US" w:eastAsia="zh-CN"/>
              </w:rPr>
              <w:t>每天</w:t>
            </w:r>
            <w:r>
              <w:rPr>
                <w:rFonts w:hint="eastAsia" w:cs="Times New Roman"/>
                <w:color w:val="auto"/>
                <w:sz w:val="24"/>
                <w:szCs w:val="24"/>
                <w:lang w:val="en-US" w:eastAsia="zh-CN"/>
              </w:rPr>
              <w:t>两</w:t>
            </w:r>
            <w:r>
              <w:rPr>
                <w:rFonts w:hint="default" w:ascii="Times New Roman" w:hAnsi="Times New Roman" w:eastAsia="宋体" w:cs="Times New Roman"/>
                <w:color w:val="auto"/>
                <w:sz w:val="24"/>
                <w:szCs w:val="24"/>
                <w:lang w:val="en-US" w:eastAsia="zh-CN"/>
              </w:rPr>
              <w:t>班、每班为8小时；腻子粉2条生产线年工作天数为300天，每天</w:t>
            </w:r>
            <w:r>
              <w:rPr>
                <w:rFonts w:hint="eastAsia" w:cs="Times New Roman"/>
                <w:color w:val="auto"/>
                <w:sz w:val="24"/>
                <w:szCs w:val="24"/>
                <w:lang w:val="en-US" w:eastAsia="zh-CN"/>
              </w:rPr>
              <w:t>两</w:t>
            </w:r>
            <w:r>
              <w:rPr>
                <w:rFonts w:hint="default" w:ascii="Times New Roman" w:hAnsi="Times New Roman" w:eastAsia="宋体" w:cs="Times New Roman"/>
                <w:color w:val="auto"/>
                <w:sz w:val="24"/>
                <w:szCs w:val="24"/>
                <w:lang w:val="en-US" w:eastAsia="zh-CN"/>
              </w:rPr>
              <w:t>班，每班8小时。</w:t>
            </w:r>
          </w:p>
          <w:p w14:paraId="299194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全厂现有职工130人，其中管理25人，工人105人；</w:t>
            </w:r>
            <w:r>
              <w:rPr>
                <w:rFonts w:hint="eastAsia" w:cs="Times New Roman"/>
                <w:color w:val="auto"/>
                <w:sz w:val="24"/>
                <w:szCs w:val="24"/>
                <w:lang w:val="en-US" w:eastAsia="zh-CN"/>
              </w:rPr>
              <w:t>扩建</w:t>
            </w:r>
            <w:r>
              <w:rPr>
                <w:rFonts w:hint="default" w:ascii="Times New Roman" w:hAnsi="Times New Roman" w:eastAsia="宋体" w:cs="Times New Roman"/>
                <w:color w:val="auto"/>
                <w:sz w:val="24"/>
                <w:szCs w:val="24"/>
                <w:lang w:val="en-US" w:eastAsia="zh-CN"/>
              </w:rPr>
              <w:t>后新增工人20人</w:t>
            </w:r>
            <w:r>
              <w:rPr>
                <w:rFonts w:hint="eastAsia" w:ascii="Times New Roman" w:hAnsi="Times New Roman" w:eastAsia="宋体" w:cs="Times New Roman"/>
                <w:color w:val="auto"/>
                <w:sz w:val="24"/>
                <w:szCs w:val="24"/>
                <w:lang w:val="en-US" w:eastAsia="zh-CN"/>
              </w:rPr>
              <w:t>，总计150人</w:t>
            </w:r>
            <w:r>
              <w:rPr>
                <w:rFonts w:hint="eastAsia" w:cs="Times New Roman"/>
                <w:color w:val="auto"/>
                <w:sz w:val="24"/>
                <w:szCs w:val="24"/>
                <w:lang w:val="en-US" w:eastAsia="zh-CN"/>
              </w:rPr>
              <w:t>。</w:t>
            </w:r>
          </w:p>
          <w:p w14:paraId="160BAC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Style w:val="65"/>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0"/>
                <w:w w:val="100"/>
                <w:position w:val="0"/>
                <w:sz w:val="24"/>
                <w:szCs w:val="24"/>
                <w:highlight w:val="none"/>
                <w:lang w:val="en-US" w:eastAsia="zh-CN"/>
              </w:rPr>
              <w:t>11、施工进度</w:t>
            </w:r>
            <w:r>
              <w:rPr>
                <w:rStyle w:val="65"/>
                <w:rFonts w:hint="default" w:ascii="Times New Roman" w:hAnsi="Times New Roman" w:eastAsia="宋体" w:cs="Times New Roman"/>
                <w:b/>
                <w:bCs/>
                <w:color w:val="auto"/>
                <w:sz w:val="24"/>
                <w:szCs w:val="24"/>
                <w:highlight w:val="none"/>
              </w:rPr>
              <w:t>计划</w:t>
            </w:r>
          </w:p>
          <w:p w14:paraId="0A5381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本项目为扩建项目，</w:t>
            </w:r>
            <w:r>
              <w:rPr>
                <w:rFonts w:hint="eastAsia" w:ascii="Times New Roman" w:hAnsi="Times New Roman" w:eastAsia="宋体" w:cs="Times New Roman"/>
                <w:color w:val="auto"/>
                <w:sz w:val="24"/>
                <w:szCs w:val="24"/>
                <w:lang w:val="en-US" w:eastAsia="zh-CN"/>
              </w:rPr>
              <w:t>在原有生产线上进行扩建，</w:t>
            </w:r>
            <w:r>
              <w:rPr>
                <w:rFonts w:hint="default" w:ascii="Times New Roman" w:hAnsi="Times New Roman" w:eastAsia="宋体" w:cs="Times New Roman"/>
                <w:color w:val="auto"/>
                <w:sz w:val="24"/>
                <w:szCs w:val="24"/>
                <w:lang w:val="en-US" w:eastAsia="zh-CN"/>
              </w:rPr>
              <w:t>主体建筑均已建成，施工期主要进行生产线技术改进，设备更新、设备增加</w:t>
            </w:r>
            <w:r>
              <w:rPr>
                <w:rFonts w:hint="eastAsia" w:ascii="Times New Roman" w:hAnsi="Times New Roman" w:eastAsia="宋体" w:cs="Times New Roman"/>
                <w:color w:val="auto"/>
                <w:sz w:val="24"/>
                <w:szCs w:val="24"/>
                <w:lang w:val="en-US" w:eastAsia="zh-CN"/>
              </w:rPr>
              <w:t>、环保设施完善</w:t>
            </w:r>
            <w:r>
              <w:rPr>
                <w:rFonts w:hint="default" w:ascii="Times New Roman" w:hAnsi="Times New Roman" w:eastAsia="宋体" w:cs="Times New Roman"/>
                <w:color w:val="auto"/>
                <w:sz w:val="24"/>
                <w:szCs w:val="24"/>
                <w:lang w:val="en-US" w:eastAsia="zh-CN"/>
              </w:rPr>
              <w:t>等，施工期为</w:t>
            </w:r>
            <w:r>
              <w:rPr>
                <w:rFonts w:hint="eastAsia" w:cs="Times New Roman"/>
                <w:color w:val="auto"/>
                <w:sz w:val="24"/>
                <w:szCs w:val="24"/>
                <w:lang w:val="en-US" w:eastAsia="zh-CN"/>
              </w:rPr>
              <w:t>2个</w:t>
            </w:r>
            <w:r>
              <w:rPr>
                <w:rFonts w:hint="default" w:ascii="Times New Roman" w:hAnsi="Times New Roman" w:eastAsia="宋体" w:cs="Times New Roman"/>
                <w:color w:val="auto"/>
                <w:sz w:val="24"/>
                <w:szCs w:val="24"/>
                <w:lang w:val="en-US" w:eastAsia="zh-CN"/>
              </w:rPr>
              <w:t>月，2023年</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初</w:t>
            </w:r>
            <w:r>
              <w:rPr>
                <w:rFonts w:hint="default" w:ascii="Times New Roman" w:hAnsi="Times New Roman" w:eastAsia="宋体" w:cs="Times New Roman"/>
                <w:color w:val="auto"/>
                <w:sz w:val="24"/>
                <w:szCs w:val="24"/>
                <w:lang w:val="en-US" w:eastAsia="zh-CN"/>
              </w:rPr>
              <w:t>开工，</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底</w:t>
            </w:r>
            <w:r>
              <w:rPr>
                <w:rFonts w:hint="default" w:ascii="Times New Roman" w:hAnsi="Times New Roman" w:eastAsia="宋体" w:cs="Times New Roman"/>
                <w:color w:val="auto"/>
                <w:sz w:val="24"/>
                <w:szCs w:val="24"/>
                <w:lang w:val="en-US" w:eastAsia="zh-CN"/>
              </w:rPr>
              <w:t>竣工。</w:t>
            </w:r>
          </w:p>
          <w:p w14:paraId="5A947FE9">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12、项目平面布置</w:t>
            </w:r>
          </w:p>
          <w:p w14:paraId="72749F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本</w:t>
            </w:r>
            <w:r>
              <w:rPr>
                <w:rFonts w:hint="default" w:ascii="Times New Roman" w:hAnsi="Times New Roman" w:eastAsia="宋体" w:cs="Times New Roman"/>
                <w:color w:val="auto"/>
                <w:sz w:val="24"/>
                <w:szCs w:val="24"/>
                <w:lang w:val="en-US" w:eastAsia="zh-CN"/>
              </w:rPr>
              <w:t>项目为扩建项目，厂区布局已形成。厂区分为两个片区，办公区（含食堂）设置在东南角；厂北面为生产区，设置有</w:t>
            </w:r>
            <w:r>
              <w:rPr>
                <w:rFonts w:hint="eastAsia"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生产车间、</w:t>
            </w:r>
            <w:r>
              <w:rPr>
                <w:rFonts w:hint="eastAsia"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成品库、腻子粉生产车间和原料仓库；1栋甲类库、</w:t>
            </w:r>
            <w:r>
              <w:rPr>
                <w:rFonts w:hint="eastAsia" w:cs="Times New Roman"/>
                <w:color w:val="auto"/>
                <w:sz w:val="24"/>
                <w:szCs w:val="24"/>
                <w:lang w:val="en-US" w:eastAsia="zh-CN"/>
              </w:rPr>
              <w:t>1个</w:t>
            </w:r>
            <w:r>
              <w:rPr>
                <w:rFonts w:hint="default" w:ascii="Times New Roman" w:hAnsi="Times New Roman" w:eastAsia="宋体" w:cs="Times New Roman"/>
                <w:color w:val="auto"/>
                <w:sz w:val="24"/>
                <w:szCs w:val="24"/>
                <w:lang w:val="en-US" w:eastAsia="zh-CN"/>
              </w:rPr>
              <w:t>危废间均为沿西边厂界进行布置；东北角设置事故水池和一般固废间。生产线布置于</w:t>
            </w:r>
            <w:r>
              <w:rPr>
                <w:rFonts w:hint="eastAsia" w:cs="Times New Roman"/>
                <w:color w:val="auto"/>
                <w:sz w:val="24"/>
                <w:szCs w:val="24"/>
                <w:lang w:val="en-US" w:eastAsia="zh-CN"/>
              </w:rPr>
              <w:t>两个</w:t>
            </w:r>
            <w:r>
              <w:rPr>
                <w:rFonts w:hint="default" w:ascii="Times New Roman" w:hAnsi="Times New Roman" w:eastAsia="宋体" w:cs="Times New Roman"/>
                <w:color w:val="auto"/>
                <w:sz w:val="24"/>
                <w:szCs w:val="24"/>
                <w:lang w:val="en-US" w:eastAsia="zh-CN"/>
              </w:rPr>
              <w:t>生产车间内，另设置</w:t>
            </w:r>
            <w:r>
              <w:rPr>
                <w:rFonts w:hint="eastAsia" w:cs="Times New Roman"/>
                <w:color w:val="auto"/>
                <w:sz w:val="24"/>
                <w:szCs w:val="24"/>
                <w:lang w:val="en-US" w:eastAsia="zh-CN"/>
              </w:rPr>
              <w:t>1个</w:t>
            </w:r>
            <w:r>
              <w:rPr>
                <w:rFonts w:hint="default" w:ascii="Times New Roman" w:hAnsi="Times New Roman" w:eastAsia="宋体" w:cs="Times New Roman"/>
                <w:color w:val="auto"/>
                <w:sz w:val="24"/>
                <w:szCs w:val="24"/>
                <w:lang w:val="en-US" w:eastAsia="zh-CN"/>
              </w:rPr>
              <w:t>原料库。</w:t>
            </w:r>
            <w:r>
              <w:rPr>
                <w:rFonts w:hint="eastAsia" w:cs="Times New Roman"/>
                <w:color w:val="auto"/>
                <w:sz w:val="24"/>
                <w:szCs w:val="24"/>
                <w:lang w:val="en-US" w:eastAsia="zh-CN"/>
              </w:rPr>
              <w:t>水性涂料生产</w:t>
            </w:r>
            <w:r>
              <w:rPr>
                <w:rFonts w:hint="default" w:ascii="Times New Roman" w:hAnsi="Times New Roman" w:eastAsia="宋体" w:cs="Times New Roman"/>
                <w:color w:val="auto"/>
                <w:sz w:val="24"/>
                <w:szCs w:val="24"/>
                <w:lang w:val="en-US" w:eastAsia="zh-CN"/>
              </w:rPr>
              <w:t>车间设置2条乳胶漆生产线</w:t>
            </w:r>
            <w:r>
              <w:rPr>
                <w:rFonts w:hint="eastAsia" w:cs="Times New Roman"/>
                <w:color w:val="auto"/>
                <w:sz w:val="24"/>
                <w:szCs w:val="24"/>
                <w:lang w:val="en-US" w:eastAsia="zh-CN"/>
              </w:rPr>
              <w:t>、1条砂壁产品生产线</w:t>
            </w:r>
            <w:r>
              <w:rPr>
                <w:rFonts w:hint="default" w:ascii="Times New Roman" w:hAnsi="Times New Roman" w:eastAsia="宋体" w:cs="Times New Roman"/>
                <w:color w:val="auto"/>
                <w:sz w:val="24"/>
                <w:szCs w:val="24"/>
                <w:lang w:val="en-US" w:eastAsia="zh-CN"/>
              </w:rPr>
              <w:t>，腻子粉车间设置2条腻子粉生产线</w:t>
            </w:r>
            <w:r>
              <w:rPr>
                <w:rFonts w:hint="eastAsia" w:cs="Times New Roman"/>
                <w:color w:val="auto"/>
                <w:sz w:val="24"/>
                <w:szCs w:val="24"/>
                <w:lang w:val="en-US" w:eastAsia="zh-CN"/>
              </w:rPr>
              <w:t>。水性涂料生产车间产生的油料粉尘、有机废气采用1套“集气罩收集+布袋除尘系统+uv光氧+活性炭吸附装置”处理有有组织排放；厂区粉料罐顶部设置脉冲布袋除尘；腻子粉生产车间投料、配料、混料口设置集气罩收集，集中式滤筒除尘系统除尘后排气筒排放，包装口设置集气罩收集旋风除尘器除尘系统；</w:t>
            </w:r>
            <w:r>
              <w:rPr>
                <w:rFonts w:hint="default" w:ascii="Times New Roman" w:hAnsi="Times New Roman" w:eastAsia="宋体" w:cs="Times New Roman"/>
                <w:color w:val="auto"/>
                <w:sz w:val="24"/>
                <w:szCs w:val="24"/>
                <w:lang w:val="en-US" w:eastAsia="zh-CN"/>
              </w:rPr>
              <w:t>在用地的西南角靠近山体的位置设置有</w:t>
            </w:r>
            <w:r>
              <w:rPr>
                <w:rFonts w:hint="eastAsia" w:cs="Times New Roman"/>
                <w:color w:val="auto"/>
                <w:sz w:val="24"/>
                <w:szCs w:val="24"/>
                <w:lang w:val="en-US" w:eastAsia="zh-CN"/>
              </w:rPr>
              <w:t>1套</w:t>
            </w:r>
            <w:r>
              <w:rPr>
                <w:rFonts w:hint="default" w:ascii="Times New Roman" w:hAnsi="Times New Roman" w:eastAsia="宋体" w:cs="Times New Roman"/>
                <w:color w:val="auto"/>
                <w:sz w:val="24"/>
                <w:szCs w:val="24"/>
                <w:lang w:val="en-US" w:eastAsia="zh-CN"/>
              </w:rPr>
              <w:t>污水处理系统</w:t>
            </w:r>
            <w:r>
              <w:rPr>
                <w:rFonts w:hint="eastAsia" w:cs="Times New Roman"/>
                <w:color w:val="auto"/>
                <w:sz w:val="24"/>
                <w:szCs w:val="24"/>
                <w:lang w:val="en-US" w:eastAsia="zh-CN"/>
              </w:rPr>
              <w:t>；将甲类仓库西侧隔出1间面积为15m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的危废暂存间。</w:t>
            </w:r>
            <w:r>
              <w:rPr>
                <w:rFonts w:hint="default" w:ascii="Times New Roman" w:hAnsi="Times New Roman" w:eastAsia="宋体" w:cs="Times New Roman"/>
                <w:color w:val="auto"/>
                <w:sz w:val="24"/>
                <w:szCs w:val="24"/>
                <w:lang w:val="en-US" w:eastAsia="zh-CN"/>
              </w:rPr>
              <w:t>项目平面布置详见附图。</w:t>
            </w:r>
          </w:p>
          <w:p w14:paraId="49D4DC83">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13、环保投资</w:t>
            </w:r>
          </w:p>
          <w:p w14:paraId="6C4394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扩建项目总投资170万元，环保设施投资共</w:t>
            </w:r>
            <w:r>
              <w:rPr>
                <w:rFonts w:hint="eastAsia" w:cs="Times New Roman"/>
                <w:color w:val="auto"/>
                <w:sz w:val="24"/>
                <w:szCs w:val="24"/>
                <w:lang w:val="en-US" w:eastAsia="zh-CN"/>
              </w:rPr>
              <w:t>32</w:t>
            </w:r>
            <w:r>
              <w:rPr>
                <w:rFonts w:hint="default" w:ascii="Times New Roman" w:hAnsi="Times New Roman" w:eastAsia="宋体" w:cs="Times New Roman"/>
                <w:color w:val="auto"/>
                <w:sz w:val="24"/>
                <w:szCs w:val="24"/>
                <w:lang w:val="en-US" w:eastAsia="zh-CN"/>
              </w:rPr>
              <w:t>万元，占总投资的</w:t>
            </w:r>
            <w:r>
              <w:rPr>
                <w:rFonts w:hint="eastAsia" w:cs="Times New Roman"/>
                <w:color w:val="auto"/>
                <w:sz w:val="24"/>
                <w:szCs w:val="24"/>
                <w:lang w:val="en-US" w:eastAsia="zh-CN"/>
              </w:rPr>
              <w:t>18.8</w:t>
            </w:r>
            <w:r>
              <w:rPr>
                <w:rFonts w:hint="default" w:ascii="Times New Roman" w:hAnsi="Times New Roman" w:eastAsia="宋体" w:cs="Times New Roman"/>
                <w:color w:val="auto"/>
                <w:sz w:val="24"/>
                <w:szCs w:val="24"/>
                <w:lang w:val="en-US" w:eastAsia="zh-CN"/>
              </w:rPr>
              <w:t>%，项目环保投资情况见表</w:t>
            </w:r>
            <w:r>
              <w:rPr>
                <w:rFonts w:hint="eastAsia" w:cs="Times New Roman"/>
                <w:color w:val="auto"/>
                <w:sz w:val="24"/>
                <w:szCs w:val="24"/>
                <w:lang w:val="en-US" w:eastAsia="zh-CN"/>
              </w:rPr>
              <w:t>2-11</w:t>
            </w:r>
            <w:r>
              <w:rPr>
                <w:rFonts w:hint="default" w:ascii="Times New Roman" w:hAnsi="Times New Roman" w:eastAsia="宋体" w:cs="Times New Roman"/>
                <w:color w:val="auto"/>
                <w:sz w:val="24"/>
                <w:szCs w:val="24"/>
                <w:lang w:val="en-US" w:eastAsia="zh-CN"/>
              </w:rPr>
              <w:t>。</w:t>
            </w:r>
          </w:p>
          <w:p w14:paraId="0535AF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2-11</w:t>
            </w:r>
            <w:r>
              <w:rPr>
                <w:rFonts w:hint="default" w:ascii="Times New Roman" w:hAnsi="Times New Roman" w:eastAsia="宋体" w:cs="Times New Roman"/>
                <w:b/>
                <w:bCs/>
                <w:color w:val="auto"/>
                <w:sz w:val="21"/>
                <w:szCs w:val="21"/>
                <w:lang w:val="en-US" w:eastAsia="zh-CN"/>
              </w:rPr>
              <w:t xml:space="preserve">  项目环保投资一览表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508"/>
              <w:gridCol w:w="1680"/>
              <w:gridCol w:w="3738"/>
              <w:gridCol w:w="853"/>
              <w:gridCol w:w="1166"/>
            </w:tblGrid>
            <w:tr w14:paraId="01A3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6533D5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序号</w:t>
                  </w:r>
                </w:p>
              </w:tc>
              <w:tc>
                <w:tcPr>
                  <w:tcW w:w="1306" w:type="pct"/>
                  <w:gridSpan w:val="2"/>
                  <w:tcBorders>
                    <w:top w:val="single" w:color="auto" w:sz="4" w:space="0"/>
                    <w:left w:val="single" w:color="auto" w:sz="4" w:space="0"/>
                    <w:bottom w:val="single" w:color="auto" w:sz="4" w:space="0"/>
                    <w:right w:val="single" w:color="auto" w:sz="4" w:space="0"/>
                  </w:tcBorders>
                  <w:vAlign w:val="center"/>
                </w:tcPr>
                <w:p w14:paraId="7F82DC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环境要素</w:t>
                  </w:r>
                </w:p>
              </w:tc>
              <w:tc>
                <w:tcPr>
                  <w:tcW w:w="2230" w:type="pct"/>
                  <w:tcBorders>
                    <w:top w:val="single" w:color="auto" w:sz="4" w:space="0"/>
                    <w:left w:val="single" w:color="auto" w:sz="4" w:space="0"/>
                    <w:bottom w:val="single" w:color="auto" w:sz="4" w:space="0"/>
                    <w:right w:val="single" w:color="auto" w:sz="4" w:space="0"/>
                  </w:tcBorders>
                  <w:vAlign w:val="center"/>
                </w:tcPr>
                <w:p w14:paraId="349EF8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环保措施</w:t>
                  </w:r>
                </w:p>
              </w:tc>
              <w:tc>
                <w:tcPr>
                  <w:tcW w:w="509" w:type="pct"/>
                  <w:tcBorders>
                    <w:top w:val="single" w:color="auto" w:sz="4" w:space="0"/>
                    <w:left w:val="single" w:color="auto" w:sz="4" w:space="0"/>
                    <w:bottom w:val="single" w:color="auto" w:sz="4" w:space="0"/>
                    <w:right w:val="single" w:color="auto" w:sz="4" w:space="0"/>
                  </w:tcBorders>
                  <w:vAlign w:val="center"/>
                </w:tcPr>
                <w:p w14:paraId="2714DF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估算金额</w:t>
                  </w:r>
                </w:p>
              </w:tc>
              <w:tc>
                <w:tcPr>
                  <w:tcW w:w="696" w:type="pct"/>
                  <w:tcBorders>
                    <w:top w:val="single" w:color="auto" w:sz="4" w:space="0"/>
                    <w:left w:val="single" w:color="auto" w:sz="4" w:space="0"/>
                    <w:bottom w:val="single" w:color="auto" w:sz="4" w:space="0"/>
                    <w:right w:val="single" w:color="auto" w:sz="4" w:space="0"/>
                  </w:tcBorders>
                  <w:vAlign w:val="center"/>
                </w:tcPr>
                <w:p w14:paraId="52C5F6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备注</w:t>
                  </w:r>
                </w:p>
              </w:tc>
            </w:tr>
            <w:tr w14:paraId="5C7C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restart"/>
                  <w:tcBorders>
                    <w:left w:val="single" w:color="auto" w:sz="4" w:space="0"/>
                    <w:right w:val="single" w:color="auto" w:sz="4" w:space="0"/>
                  </w:tcBorders>
                  <w:vAlign w:val="center"/>
                </w:tcPr>
                <w:p w14:paraId="17F3875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303" w:type="pct"/>
                  <w:vMerge w:val="restart"/>
                  <w:tcBorders>
                    <w:left w:val="single" w:color="auto" w:sz="4" w:space="0"/>
                    <w:right w:val="single" w:color="auto" w:sz="4" w:space="0"/>
                  </w:tcBorders>
                  <w:vAlign w:val="center"/>
                </w:tcPr>
                <w:p w14:paraId="1CD8C79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废气处置措施</w:t>
                  </w:r>
                </w:p>
              </w:tc>
              <w:tc>
                <w:tcPr>
                  <w:tcW w:w="1003" w:type="pct"/>
                  <w:tcBorders>
                    <w:left w:val="single" w:color="auto" w:sz="4" w:space="0"/>
                    <w:right w:val="single" w:color="auto" w:sz="4" w:space="0"/>
                  </w:tcBorders>
                  <w:vAlign w:val="center"/>
                </w:tcPr>
                <w:p w14:paraId="76FF36DF">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leftChars="0" w:right="93" w:rightChars="0"/>
                    <w:jc w:val="center"/>
                    <w:textAlignment w:val="auto"/>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 w:val="21"/>
                      <w:lang w:val="en-US" w:eastAsia="zh-CN"/>
                    </w:rPr>
                    <w:t>1套“</w:t>
                  </w:r>
                  <w:r>
                    <w:rPr>
                      <w:rFonts w:hint="eastAsia" w:cs="Times New Roman"/>
                      <w:color w:val="auto"/>
                      <w:sz w:val="21"/>
                      <w:lang w:val="en-US" w:eastAsia="zh-CN"/>
                    </w:rPr>
                    <w:t>5个</w:t>
                  </w:r>
                  <w:r>
                    <w:rPr>
                      <w:rFonts w:hint="default" w:ascii="Times New Roman" w:hAnsi="Times New Roman" w:eastAsia="宋体" w:cs="Times New Roman"/>
                      <w:color w:val="auto"/>
                      <w:sz w:val="21"/>
                      <w:lang w:val="en-US" w:eastAsia="zh-CN"/>
                    </w:rPr>
                    <w:t>集气罩+布袋除尘</w:t>
                  </w:r>
                  <w:r>
                    <w:rPr>
                      <w:rFonts w:hint="eastAsia" w:cs="Times New Roman"/>
                      <w:color w:val="auto"/>
                      <w:sz w:val="21"/>
                      <w:lang w:val="en-US" w:eastAsia="zh-CN"/>
                    </w:rPr>
                    <w:t>+UV光氧催化+活性氧吸附装置</w:t>
                  </w:r>
                  <w:r>
                    <w:rPr>
                      <w:rFonts w:hint="default" w:ascii="Times New Roman" w:hAnsi="Times New Roman" w:eastAsia="宋体" w:cs="Times New Roman"/>
                      <w:color w:val="auto"/>
                      <w:sz w:val="21"/>
                      <w:lang w:val="en-US" w:eastAsia="zh-CN"/>
                    </w:rPr>
                    <w:t>”+15m排气筒（DA00</w:t>
                  </w:r>
                  <w:r>
                    <w:rPr>
                      <w:rFonts w:hint="eastAsia" w:cs="Times New Roman"/>
                      <w:color w:val="auto"/>
                      <w:sz w:val="21"/>
                      <w:lang w:val="en-US" w:eastAsia="zh-CN"/>
                    </w:rPr>
                    <w:t>2</w:t>
                  </w:r>
                  <w:r>
                    <w:rPr>
                      <w:rFonts w:hint="default" w:ascii="Times New Roman" w:hAnsi="Times New Roman" w:eastAsia="宋体" w:cs="Times New Roman"/>
                      <w:color w:val="auto"/>
                      <w:sz w:val="21"/>
                      <w:lang w:val="en-US" w:eastAsia="zh-CN"/>
                    </w:rPr>
                    <w:t>）</w:t>
                  </w:r>
                </w:p>
              </w:tc>
              <w:tc>
                <w:tcPr>
                  <w:tcW w:w="2230" w:type="pct"/>
                  <w:tcBorders>
                    <w:top w:val="single" w:color="auto" w:sz="4" w:space="0"/>
                    <w:left w:val="single" w:color="auto" w:sz="4" w:space="0"/>
                    <w:bottom w:val="single" w:color="auto" w:sz="4" w:space="0"/>
                    <w:right w:val="single" w:color="auto" w:sz="4" w:space="0"/>
                  </w:tcBorders>
                  <w:vAlign w:val="center"/>
                </w:tcPr>
                <w:p w14:paraId="21A6097C">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Cs w:val="21"/>
                      <w:lang w:eastAsia="zh-CN"/>
                    </w:rPr>
                  </w:pPr>
                  <w:r>
                    <w:rPr>
                      <w:rFonts w:hint="eastAsia" w:cs="Times New Roman"/>
                      <w:color w:val="auto"/>
                      <w:sz w:val="21"/>
                      <w:lang w:val="en-US" w:eastAsia="zh-CN"/>
                    </w:rPr>
                    <w:t>水性涂料生产车间2</w:t>
                  </w:r>
                  <w:r>
                    <w:rPr>
                      <w:rFonts w:hint="default" w:ascii="Times New Roman" w:hAnsi="Times New Roman" w:eastAsia="宋体" w:cs="Times New Roman"/>
                      <w:color w:val="auto"/>
                      <w:sz w:val="21"/>
                      <w:lang w:eastAsia="zh-CN"/>
                    </w:rPr>
                    <w:t>投料间</w:t>
                  </w:r>
                  <w:r>
                    <w:rPr>
                      <w:rFonts w:hint="eastAsia" w:cs="Times New Roman"/>
                      <w:color w:val="auto"/>
                      <w:sz w:val="21"/>
                      <w:lang w:val="en-US" w:eastAsia="zh-CN"/>
                    </w:rPr>
                    <w:t>2个投料口以及包装口设置</w:t>
                  </w:r>
                  <w:r>
                    <w:rPr>
                      <w:rFonts w:hint="default" w:ascii="Times New Roman" w:hAnsi="Times New Roman" w:eastAsia="宋体" w:cs="Times New Roman"/>
                      <w:color w:val="auto"/>
                      <w:sz w:val="21"/>
                      <w:lang w:val="en-US" w:eastAsia="zh-CN"/>
                    </w:rPr>
                    <w:t>1套“</w:t>
                  </w:r>
                  <w:r>
                    <w:rPr>
                      <w:rFonts w:hint="default" w:ascii="Times New Roman" w:hAnsi="Times New Roman" w:eastAsia="宋体" w:cs="Times New Roman"/>
                      <w:color w:val="auto"/>
                      <w:sz w:val="21"/>
                      <w:lang w:eastAsia="zh-CN"/>
                    </w:rPr>
                    <w:t>集气罩收集</w:t>
                  </w:r>
                  <w:r>
                    <w:rPr>
                      <w:rFonts w:hint="default"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rPr>
                    <w:t>布袋除尘</w:t>
                  </w:r>
                  <w:r>
                    <w:rPr>
                      <w:rFonts w:hint="eastAsia" w:cs="Times New Roman"/>
                      <w:color w:val="auto"/>
                      <w:sz w:val="21"/>
                      <w:lang w:val="en-US" w:eastAsia="zh-CN"/>
                    </w:rPr>
                    <w:t>+UV光氧催化+活性氧吸附装置</w:t>
                  </w:r>
                  <w:r>
                    <w:rPr>
                      <w:rFonts w:hint="default"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rPr>
                    <w:t>装置处理后经15m排气筒外排</w:t>
                  </w:r>
                  <w:r>
                    <w:rPr>
                      <w:rFonts w:hint="eastAsia" w:cs="Times New Roman"/>
                      <w:color w:val="auto"/>
                      <w:sz w:val="21"/>
                      <w:lang w:eastAsia="zh-CN"/>
                    </w:rPr>
                    <w:t>，</w:t>
                  </w:r>
                  <w:r>
                    <w:rPr>
                      <w:rFonts w:hint="eastAsia" w:cs="Times New Roman"/>
                      <w:color w:val="auto"/>
                      <w:sz w:val="21"/>
                      <w:lang w:val="en-US" w:eastAsia="zh-CN"/>
                    </w:rPr>
                    <w:t>共设置5个集气罩</w:t>
                  </w:r>
                  <w:r>
                    <w:rPr>
                      <w:rFonts w:hint="default" w:ascii="Times New Roman" w:hAnsi="Times New Roman" w:eastAsia="宋体" w:cs="Times New Roman"/>
                      <w:color w:val="auto"/>
                      <w:sz w:val="21"/>
                    </w:rPr>
                    <w:t>。</w:t>
                  </w:r>
                </w:p>
              </w:tc>
              <w:tc>
                <w:tcPr>
                  <w:tcW w:w="509" w:type="pct"/>
                  <w:tcBorders>
                    <w:top w:val="single" w:color="auto" w:sz="4" w:space="0"/>
                    <w:left w:val="single" w:color="auto" w:sz="4" w:space="0"/>
                    <w:bottom w:val="single" w:color="auto" w:sz="4" w:space="0"/>
                    <w:right w:val="single" w:color="auto" w:sz="4" w:space="0"/>
                  </w:tcBorders>
                  <w:vAlign w:val="center"/>
                </w:tcPr>
                <w:p w14:paraId="41191D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14</w:t>
                  </w:r>
                </w:p>
              </w:tc>
              <w:tc>
                <w:tcPr>
                  <w:tcW w:w="696" w:type="pct"/>
                  <w:tcBorders>
                    <w:top w:val="single" w:color="auto" w:sz="4" w:space="0"/>
                    <w:left w:val="single" w:color="auto" w:sz="4" w:space="0"/>
                    <w:right w:val="single" w:color="auto" w:sz="4" w:space="0"/>
                  </w:tcBorders>
                  <w:vAlign w:val="center"/>
                </w:tcPr>
                <w:p w14:paraId="38DFB8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新建</w:t>
                  </w:r>
                </w:p>
              </w:tc>
            </w:tr>
            <w:tr w14:paraId="43AD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5B9D9D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303" w:type="pct"/>
                  <w:vMerge w:val="continue"/>
                  <w:tcBorders>
                    <w:left w:val="single" w:color="auto" w:sz="4" w:space="0"/>
                    <w:right w:val="single" w:color="auto" w:sz="4" w:space="0"/>
                  </w:tcBorders>
                  <w:vAlign w:val="center"/>
                </w:tcPr>
                <w:p w14:paraId="7CDC0E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1003" w:type="pct"/>
                  <w:tcBorders>
                    <w:left w:val="single" w:color="auto" w:sz="4" w:space="0"/>
                    <w:right w:val="single" w:color="auto" w:sz="4" w:space="0"/>
                  </w:tcBorders>
                  <w:vAlign w:val="center"/>
                </w:tcPr>
                <w:p w14:paraId="5FD7D22D">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leftChars="0" w:right="93"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lang w:val="en-US" w:eastAsia="zh-CN"/>
                    </w:rPr>
                    <w:t>1套“</w:t>
                  </w:r>
                  <w:r>
                    <w:rPr>
                      <w:rFonts w:hint="eastAsia" w:cs="Times New Roman"/>
                      <w:color w:val="auto"/>
                      <w:sz w:val="21"/>
                      <w:lang w:val="en-US" w:eastAsia="zh-CN"/>
                    </w:rPr>
                    <w:t>24个</w:t>
                  </w:r>
                  <w:r>
                    <w:rPr>
                      <w:rFonts w:hint="default" w:ascii="Times New Roman" w:hAnsi="Times New Roman" w:eastAsia="宋体" w:cs="Times New Roman"/>
                      <w:color w:val="auto"/>
                      <w:sz w:val="21"/>
                      <w:lang w:val="en-US" w:eastAsia="zh-CN"/>
                    </w:rPr>
                    <w:t>集气罩+集中式滤筒除尘”+15m排气筒（DA00</w:t>
                  </w:r>
                  <w:r>
                    <w:rPr>
                      <w:rFonts w:hint="eastAsia" w:cs="Times New Roman"/>
                      <w:color w:val="auto"/>
                      <w:sz w:val="21"/>
                      <w:lang w:val="en-US" w:eastAsia="zh-CN"/>
                    </w:rPr>
                    <w:t>1</w:t>
                  </w:r>
                  <w:r>
                    <w:rPr>
                      <w:rFonts w:hint="default" w:ascii="Times New Roman" w:hAnsi="Times New Roman" w:eastAsia="宋体" w:cs="Times New Roman"/>
                      <w:color w:val="auto"/>
                      <w:sz w:val="21"/>
                      <w:lang w:val="en-US" w:eastAsia="zh-CN"/>
                    </w:rPr>
                    <w:t>）</w:t>
                  </w:r>
                </w:p>
              </w:tc>
              <w:tc>
                <w:tcPr>
                  <w:tcW w:w="2230" w:type="pct"/>
                  <w:tcBorders>
                    <w:top w:val="single" w:color="auto" w:sz="4" w:space="0"/>
                    <w:left w:val="single" w:color="auto" w:sz="4" w:space="0"/>
                    <w:bottom w:val="single" w:color="auto" w:sz="4" w:space="0"/>
                    <w:right w:val="single" w:color="auto" w:sz="4" w:space="0"/>
                  </w:tcBorders>
                  <w:vAlign w:val="center"/>
                </w:tcPr>
                <w:p w14:paraId="17513F5E">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color w:val="auto"/>
                      <w:sz w:val="21"/>
                      <w:lang w:eastAsia="zh-CN"/>
                    </w:rPr>
                    <w:t>腻子粉</w:t>
                  </w:r>
                  <w:r>
                    <w:rPr>
                      <w:rFonts w:hint="default" w:ascii="Times New Roman" w:hAnsi="Times New Roman" w:eastAsia="宋体" w:cs="Times New Roman"/>
                      <w:color w:val="auto"/>
                      <w:sz w:val="21"/>
                    </w:rPr>
                    <w:t>生产线</w:t>
                  </w:r>
                  <w:r>
                    <w:rPr>
                      <w:rFonts w:hint="default" w:ascii="Times New Roman" w:hAnsi="Times New Roman" w:eastAsia="宋体" w:cs="Times New Roman"/>
                      <w:color w:val="auto"/>
                      <w:sz w:val="21"/>
                      <w:lang w:eastAsia="zh-CN"/>
                    </w:rPr>
                    <w:t>投料、配料粉尘设置</w:t>
                  </w:r>
                  <w:r>
                    <w:rPr>
                      <w:rFonts w:hint="default" w:ascii="Times New Roman" w:hAnsi="Times New Roman" w:eastAsia="宋体" w:cs="Times New Roman"/>
                      <w:color w:val="auto"/>
                      <w:sz w:val="21"/>
                      <w:lang w:val="en-US" w:eastAsia="zh-CN"/>
                    </w:rPr>
                    <w:t>1</w:t>
                  </w:r>
                  <w:r>
                    <w:rPr>
                      <w:rFonts w:hint="default" w:ascii="Times New Roman" w:hAnsi="Times New Roman" w:eastAsia="宋体" w:cs="Times New Roman"/>
                      <w:color w:val="auto"/>
                      <w:sz w:val="21"/>
                    </w:rPr>
                    <w:t>套</w:t>
                  </w:r>
                  <w:r>
                    <w:rPr>
                      <w:rFonts w:hint="default" w:ascii="Times New Roman" w:hAnsi="Times New Roman" w:eastAsia="宋体" w:cs="Times New Roman"/>
                      <w:color w:val="auto"/>
                      <w:sz w:val="21"/>
                      <w:lang w:eastAsia="zh-CN"/>
                    </w:rPr>
                    <w:t>“</w:t>
                  </w:r>
                  <w:r>
                    <w:rPr>
                      <w:rFonts w:hint="eastAsia" w:cs="Times New Roman"/>
                      <w:color w:val="auto"/>
                      <w:sz w:val="21"/>
                      <w:lang w:val="en-US" w:eastAsia="zh-CN"/>
                    </w:rPr>
                    <w:t>24个</w:t>
                  </w:r>
                  <w:r>
                    <w:rPr>
                      <w:rFonts w:hint="default" w:ascii="Times New Roman" w:hAnsi="Times New Roman" w:eastAsia="宋体" w:cs="Times New Roman"/>
                      <w:color w:val="auto"/>
                      <w:sz w:val="21"/>
                      <w:lang w:eastAsia="zh-CN"/>
                    </w:rPr>
                    <w:t>集气罩收集</w:t>
                  </w:r>
                  <w:r>
                    <w:rPr>
                      <w:rFonts w:hint="default" w:ascii="Times New Roman" w:hAnsi="Times New Roman" w:eastAsia="宋体" w:cs="Times New Roman"/>
                      <w:color w:val="auto"/>
                      <w:sz w:val="21"/>
                      <w:lang w:val="en-US" w:eastAsia="zh-CN"/>
                    </w:rPr>
                    <w:t>+集中式滤筒除尘</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装置，处理后的废气经15m排气筒外排</w:t>
                  </w:r>
                  <w:r>
                    <w:rPr>
                      <w:rFonts w:hint="default" w:ascii="Times New Roman" w:hAnsi="Times New Roman" w:eastAsia="宋体" w:cs="Times New Roman"/>
                      <w:color w:val="auto"/>
                      <w:sz w:val="21"/>
                      <w:lang w:eastAsia="zh-CN"/>
                    </w:rPr>
                    <w:t>。</w:t>
                  </w:r>
                </w:p>
              </w:tc>
              <w:tc>
                <w:tcPr>
                  <w:tcW w:w="509" w:type="pct"/>
                  <w:tcBorders>
                    <w:top w:val="single" w:color="auto" w:sz="4" w:space="0"/>
                    <w:left w:val="single" w:color="auto" w:sz="4" w:space="0"/>
                    <w:bottom w:val="single" w:color="auto" w:sz="4" w:space="0"/>
                    <w:right w:val="single" w:color="auto" w:sz="4" w:space="0"/>
                  </w:tcBorders>
                  <w:vAlign w:val="center"/>
                </w:tcPr>
                <w:p w14:paraId="5CA1B6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8</w:t>
                  </w:r>
                </w:p>
              </w:tc>
              <w:tc>
                <w:tcPr>
                  <w:tcW w:w="696" w:type="pct"/>
                  <w:tcBorders>
                    <w:left w:val="single" w:color="auto" w:sz="4" w:space="0"/>
                    <w:bottom w:val="single" w:color="auto" w:sz="4" w:space="0"/>
                    <w:right w:val="single" w:color="auto" w:sz="4" w:space="0"/>
                  </w:tcBorders>
                  <w:vAlign w:val="center"/>
                </w:tcPr>
                <w:p w14:paraId="1520BE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现有</w:t>
                  </w:r>
                </w:p>
              </w:tc>
            </w:tr>
            <w:tr w14:paraId="1F5E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444F20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bookmarkStart w:id="6" w:name="OLE_LINK24" w:colFirst="3" w:colLast="3"/>
                  <w:bookmarkStart w:id="7" w:name="_Hlk448857637"/>
                  <w:bookmarkStart w:id="8" w:name="OLE_LINK25" w:colFirst="3" w:colLast="3"/>
                </w:p>
              </w:tc>
              <w:tc>
                <w:tcPr>
                  <w:tcW w:w="303" w:type="pct"/>
                  <w:vMerge w:val="continue"/>
                  <w:tcBorders>
                    <w:left w:val="single" w:color="auto" w:sz="4" w:space="0"/>
                    <w:right w:val="single" w:color="auto" w:sz="4" w:space="0"/>
                  </w:tcBorders>
                  <w:vAlign w:val="center"/>
                </w:tcPr>
                <w:p w14:paraId="6403F8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1003" w:type="pct"/>
                  <w:tcBorders>
                    <w:left w:val="single" w:color="auto" w:sz="4" w:space="0"/>
                    <w:right w:val="single" w:color="auto" w:sz="4" w:space="0"/>
                  </w:tcBorders>
                  <w:vAlign w:val="center"/>
                </w:tcPr>
                <w:p w14:paraId="25A16856">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leftChars="0" w:right="93" w:right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生产车间9个</w:t>
                  </w:r>
                  <w:r>
                    <w:rPr>
                      <w:rFonts w:hint="default" w:ascii="Times New Roman" w:hAnsi="Times New Roman" w:eastAsia="宋体" w:cs="Times New Roman"/>
                      <w:color w:val="auto"/>
                      <w:sz w:val="21"/>
                      <w:lang w:val="en-US" w:eastAsia="zh-CN"/>
                    </w:rPr>
                    <w:t>粉料</w:t>
                  </w:r>
                  <w:r>
                    <w:rPr>
                      <w:rFonts w:hint="eastAsia" w:cs="Times New Roman"/>
                      <w:color w:val="auto"/>
                      <w:sz w:val="21"/>
                      <w:lang w:val="en-US" w:eastAsia="zh-CN"/>
                    </w:rPr>
                    <w:t>存储</w:t>
                  </w:r>
                  <w:r>
                    <w:rPr>
                      <w:rFonts w:hint="default" w:ascii="Times New Roman" w:hAnsi="Times New Roman" w:eastAsia="宋体" w:cs="Times New Roman"/>
                      <w:color w:val="auto"/>
                      <w:sz w:val="21"/>
                      <w:lang w:val="en-US" w:eastAsia="zh-CN"/>
                    </w:rPr>
                    <w:t>罐</w:t>
                  </w:r>
                  <w:r>
                    <w:rPr>
                      <w:rFonts w:hint="eastAsia" w:cs="Times New Roman"/>
                      <w:color w:val="auto"/>
                      <w:sz w:val="21"/>
                      <w:lang w:val="en-US" w:eastAsia="zh-CN"/>
                    </w:rPr>
                    <w:t>脉冲</w:t>
                  </w:r>
                  <w:r>
                    <w:rPr>
                      <w:rFonts w:hint="default" w:ascii="Times New Roman" w:hAnsi="Times New Roman" w:eastAsia="宋体" w:cs="Times New Roman"/>
                      <w:color w:val="auto"/>
                      <w:sz w:val="21"/>
                      <w:lang w:val="en-US" w:eastAsia="zh-CN"/>
                    </w:rPr>
                    <w:t>布袋除尘</w:t>
                  </w:r>
                </w:p>
              </w:tc>
              <w:tc>
                <w:tcPr>
                  <w:tcW w:w="2230" w:type="pct"/>
                  <w:tcBorders>
                    <w:top w:val="single" w:color="auto" w:sz="4" w:space="0"/>
                    <w:left w:val="single" w:color="auto" w:sz="4" w:space="0"/>
                    <w:bottom w:val="single" w:color="auto" w:sz="4" w:space="0"/>
                    <w:right w:val="single" w:color="auto" w:sz="4" w:space="0"/>
                  </w:tcBorders>
                  <w:vAlign w:val="center"/>
                </w:tcPr>
                <w:p w14:paraId="197B463C">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生产车间</w:t>
                  </w:r>
                  <w:r>
                    <w:rPr>
                      <w:rFonts w:hint="eastAsia" w:cs="Times New Roman"/>
                      <w:color w:val="auto"/>
                      <w:sz w:val="21"/>
                      <w:lang w:val="en-US" w:eastAsia="zh-CN"/>
                    </w:rPr>
                    <w:t>9个</w:t>
                  </w:r>
                  <w:r>
                    <w:rPr>
                      <w:rFonts w:hint="default" w:ascii="Times New Roman" w:hAnsi="Times New Roman" w:eastAsia="宋体" w:cs="Times New Roman"/>
                      <w:color w:val="auto"/>
                      <w:sz w:val="21"/>
                      <w:lang w:eastAsia="zh-CN"/>
                    </w:rPr>
                    <w:t>粉料</w:t>
                  </w:r>
                  <w:r>
                    <w:rPr>
                      <w:rFonts w:hint="eastAsia" w:cs="Times New Roman"/>
                      <w:color w:val="auto"/>
                      <w:sz w:val="21"/>
                      <w:lang w:val="en-US" w:eastAsia="zh-CN"/>
                    </w:rPr>
                    <w:t>存储</w:t>
                  </w:r>
                  <w:r>
                    <w:rPr>
                      <w:rFonts w:hint="default" w:ascii="Times New Roman" w:hAnsi="Times New Roman" w:eastAsia="宋体" w:cs="Times New Roman"/>
                      <w:color w:val="auto"/>
                      <w:sz w:val="21"/>
                      <w:lang w:eastAsia="zh-CN"/>
                    </w:rPr>
                    <w:t>罐</w:t>
                  </w:r>
                  <w:r>
                    <w:rPr>
                      <w:rFonts w:hint="eastAsia" w:cs="Times New Roman"/>
                      <w:color w:val="auto"/>
                      <w:sz w:val="21"/>
                      <w:lang w:val="en-US" w:eastAsia="zh-CN"/>
                    </w:rPr>
                    <w:t>顶部设置</w:t>
                  </w:r>
                  <w:r>
                    <w:rPr>
                      <w:rFonts w:hint="default" w:ascii="Times New Roman" w:hAnsi="Times New Roman" w:eastAsia="宋体" w:cs="Times New Roman"/>
                      <w:color w:val="auto"/>
                      <w:sz w:val="21"/>
                      <w:lang w:val="en-US" w:eastAsia="zh-CN"/>
                    </w:rPr>
                    <w:t>脉冲</w:t>
                  </w:r>
                  <w:r>
                    <w:rPr>
                      <w:rFonts w:hint="default" w:ascii="Times New Roman" w:hAnsi="Times New Roman" w:eastAsia="宋体" w:cs="Times New Roman"/>
                      <w:color w:val="auto"/>
                      <w:sz w:val="21"/>
                      <w:lang w:eastAsia="zh-CN"/>
                    </w:rPr>
                    <w:t>布袋进行除尘。</w:t>
                  </w:r>
                </w:p>
              </w:tc>
              <w:tc>
                <w:tcPr>
                  <w:tcW w:w="509" w:type="pct"/>
                  <w:tcBorders>
                    <w:top w:val="single" w:color="auto" w:sz="4" w:space="0"/>
                    <w:left w:val="single" w:color="auto" w:sz="4" w:space="0"/>
                    <w:bottom w:val="single" w:color="auto" w:sz="4" w:space="0"/>
                    <w:right w:val="single" w:color="auto" w:sz="4" w:space="0"/>
                  </w:tcBorders>
                  <w:vAlign w:val="center"/>
                </w:tcPr>
                <w:p w14:paraId="5B620B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696" w:type="pct"/>
                  <w:tcBorders>
                    <w:top w:val="single" w:color="auto" w:sz="4" w:space="0"/>
                    <w:left w:val="single" w:color="auto" w:sz="4" w:space="0"/>
                    <w:bottom w:val="single" w:color="auto" w:sz="4" w:space="0"/>
                    <w:right w:val="single" w:color="auto" w:sz="4" w:space="0"/>
                  </w:tcBorders>
                  <w:vAlign w:val="center"/>
                </w:tcPr>
                <w:p w14:paraId="4557F2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p>
              </w:tc>
            </w:tr>
            <w:tr w14:paraId="284E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1F39E7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303" w:type="pct"/>
                  <w:vMerge w:val="continue"/>
                  <w:tcBorders>
                    <w:left w:val="single" w:color="auto" w:sz="4" w:space="0"/>
                    <w:right w:val="single" w:color="auto" w:sz="4" w:space="0"/>
                  </w:tcBorders>
                  <w:vAlign w:val="center"/>
                </w:tcPr>
                <w:p w14:paraId="117E0A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1003" w:type="pct"/>
                  <w:tcBorders>
                    <w:left w:val="single" w:color="auto" w:sz="4" w:space="0"/>
                    <w:right w:val="single" w:color="auto" w:sz="4" w:space="0"/>
                  </w:tcBorders>
                  <w:vAlign w:val="center"/>
                </w:tcPr>
                <w:p w14:paraId="417AEDCF">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leftChars="0" w:right="93" w:right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2个集气罩+</w:t>
                  </w:r>
                  <w:r>
                    <w:rPr>
                      <w:rFonts w:hint="default" w:ascii="Times New Roman" w:hAnsi="Times New Roman" w:eastAsia="宋体" w:cs="Times New Roman"/>
                      <w:color w:val="auto"/>
                      <w:sz w:val="21"/>
                      <w:lang w:val="en-US" w:eastAsia="zh-CN"/>
                    </w:rPr>
                    <w:t>2台旋风除尘器</w:t>
                  </w:r>
                </w:p>
              </w:tc>
              <w:tc>
                <w:tcPr>
                  <w:tcW w:w="2230" w:type="pct"/>
                  <w:tcBorders>
                    <w:top w:val="single" w:color="auto" w:sz="4" w:space="0"/>
                    <w:left w:val="single" w:color="auto" w:sz="4" w:space="0"/>
                    <w:bottom w:val="single" w:color="auto" w:sz="4" w:space="0"/>
                    <w:right w:val="single" w:color="auto" w:sz="4" w:space="0"/>
                  </w:tcBorders>
                  <w:vAlign w:val="center"/>
                </w:tcPr>
                <w:p w14:paraId="6FCE3840">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腻子粉生产车间</w:t>
                  </w:r>
                  <w:r>
                    <w:rPr>
                      <w:rFonts w:hint="eastAsia" w:cs="Times New Roman"/>
                      <w:color w:val="auto"/>
                      <w:sz w:val="21"/>
                      <w:lang w:val="en-US" w:eastAsia="zh-CN"/>
                    </w:rPr>
                    <w:t>包装口</w:t>
                  </w:r>
                  <w:r>
                    <w:rPr>
                      <w:rFonts w:hint="default" w:ascii="Times New Roman" w:hAnsi="Times New Roman" w:eastAsia="宋体" w:cs="Times New Roman"/>
                      <w:color w:val="auto"/>
                      <w:sz w:val="21"/>
                      <w:lang w:eastAsia="zh-CN"/>
                    </w:rPr>
                    <w:t>设置</w:t>
                  </w:r>
                  <w:r>
                    <w:rPr>
                      <w:rFonts w:hint="eastAsia" w:cs="Times New Roman"/>
                      <w:color w:val="auto"/>
                      <w:sz w:val="21"/>
                      <w:lang w:val="en-US" w:eastAsia="zh-CN"/>
                    </w:rPr>
                    <w:t>2个集气罩收集+</w:t>
                  </w:r>
                  <w:r>
                    <w:rPr>
                      <w:rFonts w:hint="default" w:ascii="Times New Roman" w:hAnsi="Times New Roman" w:eastAsia="宋体" w:cs="Times New Roman"/>
                      <w:color w:val="auto"/>
                      <w:sz w:val="21"/>
                      <w:lang w:val="en-US" w:eastAsia="zh-CN"/>
                    </w:rPr>
                    <w:t>2台</w:t>
                  </w:r>
                  <w:r>
                    <w:rPr>
                      <w:rFonts w:hint="default" w:ascii="Times New Roman" w:hAnsi="Times New Roman" w:eastAsia="宋体" w:cs="Times New Roman"/>
                      <w:color w:val="auto"/>
                      <w:sz w:val="21"/>
                      <w:lang w:eastAsia="zh-CN"/>
                    </w:rPr>
                    <w:t>包装机</w:t>
                  </w:r>
                  <w:r>
                    <w:rPr>
                      <w:rFonts w:hint="default" w:ascii="Times New Roman" w:hAnsi="Times New Roman" w:eastAsia="宋体" w:cs="Times New Roman"/>
                      <w:color w:val="auto"/>
                      <w:sz w:val="21"/>
                      <w:lang w:val="en-US" w:eastAsia="zh-CN"/>
                    </w:rPr>
                    <w:t>旋风除尘系统，收集包装环节产生的粉尘。</w:t>
                  </w:r>
                </w:p>
              </w:tc>
              <w:tc>
                <w:tcPr>
                  <w:tcW w:w="509" w:type="pct"/>
                  <w:tcBorders>
                    <w:top w:val="single" w:color="auto" w:sz="4" w:space="0"/>
                    <w:left w:val="single" w:color="auto" w:sz="4" w:space="0"/>
                    <w:bottom w:val="single" w:color="auto" w:sz="4" w:space="0"/>
                    <w:right w:val="single" w:color="auto" w:sz="4" w:space="0"/>
                  </w:tcBorders>
                  <w:vAlign w:val="center"/>
                </w:tcPr>
                <w:p w14:paraId="383CAF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696" w:type="pct"/>
                  <w:tcBorders>
                    <w:top w:val="single" w:color="auto" w:sz="4" w:space="0"/>
                    <w:left w:val="single" w:color="auto" w:sz="4" w:space="0"/>
                    <w:bottom w:val="single" w:color="auto" w:sz="4" w:space="0"/>
                    <w:right w:val="single" w:color="auto" w:sz="4" w:space="0"/>
                  </w:tcBorders>
                  <w:vAlign w:val="center"/>
                </w:tcPr>
                <w:p w14:paraId="6181F2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p>
              </w:tc>
            </w:tr>
            <w:tr w14:paraId="2680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restart"/>
                  <w:tcBorders>
                    <w:left w:val="single" w:color="auto" w:sz="4" w:space="0"/>
                    <w:right w:val="single" w:color="auto" w:sz="4" w:space="0"/>
                  </w:tcBorders>
                  <w:vAlign w:val="center"/>
                </w:tcPr>
                <w:p w14:paraId="69C7CA0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303" w:type="pct"/>
                  <w:vMerge w:val="restart"/>
                  <w:tcBorders>
                    <w:left w:val="single" w:color="auto" w:sz="4" w:space="0"/>
                    <w:right w:val="single" w:color="auto" w:sz="4" w:space="0"/>
                  </w:tcBorders>
                  <w:vAlign w:val="center"/>
                </w:tcPr>
                <w:p w14:paraId="3EDB915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废水处置措施</w:t>
                  </w:r>
                </w:p>
              </w:tc>
              <w:tc>
                <w:tcPr>
                  <w:tcW w:w="1003" w:type="pct"/>
                  <w:tcBorders>
                    <w:left w:val="single" w:color="auto" w:sz="4" w:space="0"/>
                    <w:right w:val="single" w:color="auto" w:sz="4" w:space="0"/>
                  </w:tcBorders>
                  <w:vAlign w:val="center"/>
                </w:tcPr>
                <w:p w14:paraId="2CD09460">
                  <w:pPr>
                    <w:pStyle w:val="41"/>
                    <w:keepNext w:val="0"/>
                    <w:keepLines w:val="0"/>
                    <w:suppressLineNumbers w:val="0"/>
                    <w:spacing w:before="21" w:beforeAutospacing="0" w:after="0" w:afterAutospacing="0" w:line="240" w:lineRule="auto"/>
                    <w:ind w:left="109" w:leftChars="0" w:right="93" w:right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污水处理站</w:t>
                  </w:r>
                </w:p>
              </w:tc>
              <w:tc>
                <w:tcPr>
                  <w:tcW w:w="2230" w:type="pct"/>
                  <w:tcBorders>
                    <w:top w:val="single" w:color="auto" w:sz="4" w:space="0"/>
                    <w:left w:val="single" w:color="auto" w:sz="4" w:space="0"/>
                    <w:bottom w:val="single" w:color="auto" w:sz="4" w:space="0"/>
                    <w:right w:val="single" w:color="auto" w:sz="4" w:space="0"/>
                  </w:tcBorders>
                  <w:vAlign w:val="center"/>
                </w:tcPr>
                <w:p w14:paraId="4EB611F2">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厂区内设置有</w:t>
                  </w:r>
                  <w:r>
                    <w:rPr>
                      <w:rFonts w:hint="default" w:ascii="Times New Roman" w:hAnsi="Times New Roman" w:eastAsia="宋体" w:cs="Times New Roman"/>
                      <w:color w:val="auto"/>
                      <w:sz w:val="21"/>
                    </w:rPr>
                    <w:t>一套污水处理系统，建筑用房占地约252m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，处理规模50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rPr>
                    <w:t>/t。</w:t>
                  </w:r>
                  <w:r>
                    <w:rPr>
                      <w:rFonts w:hint="default" w:ascii="Times New Roman" w:hAnsi="Times New Roman" w:eastAsia="宋体" w:cs="Times New Roman"/>
                      <w:color w:val="auto"/>
                      <w:sz w:val="21"/>
                      <w:lang w:val="en-US" w:eastAsia="zh-CN"/>
                    </w:rPr>
                    <w:t>处理工艺为“</w:t>
                  </w:r>
                  <w:r>
                    <w:rPr>
                      <w:rFonts w:hint="default" w:ascii="Times New Roman" w:hAnsi="Times New Roman" w:eastAsia="宋体" w:cs="Times New Roman"/>
                      <w:color w:val="auto"/>
                      <w:spacing w:val="-2"/>
                    </w:rPr>
                    <w:t>混凝沉淀</w:t>
                  </w:r>
                  <w:r>
                    <w:rPr>
                      <w:rFonts w:hint="default" w:ascii="Times New Roman" w:hAnsi="Times New Roman" w:eastAsia="宋体" w:cs="Times New Roman"/>
                      <w:color w:val="auto"/>
                    </w:rPr>
                    <w:t>+UASB</w:t>
                  </w:r>
                  <w:r>
                    <w:rPr>
                      <w:rFonts w:hint="default" w:ascii="Times New Roman" w:hAnsi="Times New Roman" w:eastAsia="宋体" w:cs="Times New Roman"/>
                      <w:color w:val="auto"/>
                      <w:spacing w:val="-4"/>
                    </w:rPr>
                    <w:t xml:space="preserve"> </w:t>
                  </w:r>
                  <w:r>
                    <w:rPr>
                      <w:rFonts w:hint="default" w:ascii="Times New Roman" w:hAnsi="Times New Roman" w:eastAsia="宋体" w:cs="Times New Roman"/>
                      <w:color w:val="auto"/>
                      <w:spacing w:val="2"/>
                    </w:rPr>
                    <w:t>反应</w:t>
                  </w:r>
                  <w:r>
                    <w:rPr>
                      <w:rFonts w:hint="default" w:ascii="Times New Roman" w:hAnsi="Times New Roman" w:eastAsia="宋体" w:cs="Times New Roman"/>
                      <w:color w:val="auto"/>
                    </w:rPr>
                    <w:t>+MBR</w:t>
                  </w:r>
                  <w:r>
                    <w:rPr>
                      <w:rFonts w:hint="default" w:ascii="Times New Roman" w:hAnsi="Times New Roman" w:eastAsia="宋体" w:cs="Times New Roman"/>
                      <w:color w:val="auto"/>
                      <w:spacing w:val="2"/>
                    </w:rPr>
                    <w:t xml:space="preserve"> </w:t>
                  </w:r>
                  <w:r>
                    <w:rPr>
                      <w:rFonts w:hint="default" w:ascii="Times New Roman" w:hAnsi="Times New Roman" w:eastAsia="宋体" w:cs="Times New Roman"/>
                      <w:color w:val="auto"/>
                    </w:rPr>
                    <w:t>膜池</w:t>
                  </w:r>
                  <w:r>
                    <w:rPr>
                      <w:rFonts w:hint="default" w:ascii="Times New Roman" w:hAnsi="Times New Roman" w:eastAsia="宋体" w:cs="Times New Roman"/>
                      <w:color w:val="auto"/>
                      <w:sz w:val="21"/>
                      <w:lang w:val="en-US" w:eastAsia="zh-CN"/>
                    </w:rPr>
                    <w:t>”。</w:t>
                  </w:r>
                </w:p>
              </w:tc>
              <w:tc>
                <w:tcPr>
                  <w:tcW w:w="509" w:type="pct"/>
                  <w:tcBorders>
                    <w:top w:val="single" w:color="auto" w:sz="4" w:space="0"/>
                    <w:left w:val="single" w:color="auto" w:sz="4" w:space="0"/>
                    <w:bottom w:val="single" w:color="auto" w:sz="4" w:space="0"/>
                    <w:right w:val="single" w:color="auto" w:sz="4" w:space="0"/>
                  </w:tcBorders>
                  <w:vAlign w:val="center"/>
                </w:tcPr>
                <w:p w14:paraId="4C5739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96" w:type="pct"/>
                  <w:vMerge w:val="restart"/>
                  <w:tcBorders>
                    <w:top w:val="single" w:color="auto" w:sz="4" w:space="0"/>
                    <w:left w:val="single" w:color="auto" w:sz="4" w:space="0"/>
                    <w:right w:val="single" w:color="auto" w:sz="4" w:space="0"/>
                  </w:tcBorders>
                  <w:vAlign w:val="center"/>
                </w:tcPr>
                <w:p w14:paraId="24D4CAB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原项目已建成，纳入原项目环保投资</w:t>
                  </w:r>
                </w:p>
              </w:tc>
            </w:tr>
            <w:tr w14:paraId="04DB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602CA49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303" w:type="pct"/>
                  <w:vMerge w:val="continue"/>
                  <w:tcBorders>
                    <w:left w:val="single" w:color="auto" w:sz="4" w:space="0"/>
                    <w:right w:val="single" w:color="auto" w:sz="4" w:space="0"/>
                  </w:tcBorders>
                  <w:vAlign w:val="center"/>
                </w:tcPr>
                <w:p w14:paraId="538C8EF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p>
              </w:tc>
              <w:tc>
                <w:tcPr>
                  <w:tcW w:w="1003" w:type="pct"/>
                  <w:tcBorders>
                    <w:left w:val="single" w:color="auto" w:sz="4" w:space="0"/>
                    <w:right w:val="single" w:color="auto" w:sz="4" w:space="0"/>
                  </w:tcBorders>
                  <w:vAlign w:val="center"/>
                </w:tcPr>
                <w:p w14:paraId="2862FA3B">
                  <w:pPr>
                    <w:pStyle w:val="41"/>
                    <w:keepNext w:val="0"/>
                    <w:keepLines w:val="0"/>
                    <w:suppressLineNumbers w:val="0"/>
                    <w:spacing w:before="21" w:beforeAutospacing="0" w:after="0" w:afterAutospacing="0" w:line="240" w:lineRule="auto"/>
                    <w:ind w:left="109" w:leftChars="0" w:right="93" w:right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eastAsia="zh-CN"/>
                    </w:rPr>
                    <w:t>化粪池</w:t>
                  </w:r>
                </w:p>
              </w:tc>
              <w:tc>
                <w:tcPr>
                  <w:tcW w:w="2230" w:type="pct"/>
                  <w:tcBorders>
                    <w:top w:val="single" w:color="auto" w:sz="4" w:space="0"/>
                    <w:left w:val="single" w:color="auto" w:sz="4" w:space="0"/>
                    <w:bottom w:val="single" w:color="auto" w:sz="4" w:space="0"/>
                    <w:right w:val="single" w:color="auto" w:sz="4" w:space="0"/>
                  </w:tcBorders>
                  <w:vAlign w:val="center"/>
                </w:tcPr>
                <w:p w14:paraId="7AE33320">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厂区内设置了容积</w:t>
                  </w:r>
                  <w:r>
                    <w:rPr>
                      <w:rFonts w:hint="eastAsia" w:cs="Times New Roman"/>
                      <w:color w:val="auto"/>
                      <w:sz w:val="21"/>
                      <w:lang w:val="en-US" w:eastAsia="zh-CN"/>
                    </w:rPr>
                    <w:t>为20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的化粪池，用于处理办公生活污水。</w:t>
                  </w:r>
                </w:p>
              </w:tc>
              <w:tc>
                <w:tcPr>
                  <w:tcW w:w="509" w:type="pct"/>
                  <w:tcBorders>
                    <w:top w:val="single" w:color="auto" w:sz="4" w:space="0"/>
                    <w:left w:val="single" w:color="auto" w:sz="4" w:space="0"/>
                    <w:bottom w:val="single" w:color="auto" w:sz="4" w:space="0"/>
                    <w:right w:val="single" w:color="auto" w:sz="4" w:space="0"/>
                  </w:tcBorders>
                  <w:vAlign w:val="center"/>
                </w:tcPr>
                <w:p w14:paraId="2E9BCA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96" w:type="pct"/>
                  <w:vMerge w:val="continue"/>
                  <w:tcBorders>
                    <w:left w:val="single" w:color="auto" w:sz="4" w:space="0"/>
                    <w:right w:val="single" w:color="auto" w:sz="4" w:space="0"/>
                  </w:tcBorders>
                  <w:vAlign w:val="center"/>
                </w:tcPr>
                <w:p w14:paraId="76D1E1A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p>
              </w:tc>
            </w:tr>
            <w:tr w14:paraId="7CFA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12421EC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303" w:type="pct"/>
                  <w:vMerge w:val="continue"/>
                  <w:tcBorders>
                    <w:left w:val="single" w:color="auto" w:sz="4" w:space="0"/>
                    <w:right w:val="single" w:color="auto" w:sz="4" w:space="0"/>
                  </w:tcBorders>
                  <w:vAlign w:val="center"/>
                </w:tcPr>
                <w:p w14:paraId="4395620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p>
              </w:tc>
              <w:tc>
                <w:tcPr>
                  <w:tcW w:w="1003" w:type="pct"/>
                  <w:tcBorders>
                    <w:left w:val="single" w:color="auto" w:sz="4" w:space="0"/>
                    <w:right w:val="single" w:color="auto" w:sz="4" w:space="0"/>
                  </w:tcBorders>
                  <w:vAlign w:val="center"/>
                </w:tcPr>
                <w:p w14:paraId="12D0E9BE">
                  <w:pPr>
                    <w:pStyle w:val="41"/>
                    <w:keepNext w:val="0"/>
                    <w:keepLines w:val="0"/>
                    <w:suppressLineNumbers w:val="0"/>
                    <w:spacing w:before="21" w:beforeAutospacing="0" w:after="0" w:afterAutospacing="0" w:line="240" w:lineRule="auto"/>
                    <w:ind w:left="109" w:leftChars="0" w:right="93" w:right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eastAsia="zh-CN"/>
                    </w:rPr>
                    <w:t>隔油池</w:t>
                  </w:r>
                </w:p>
              </w:tc>
              <w:tc>
                <w:tcPr>
                  <w:tcW w:w="2230" w:type="pct"/>
                  <w:tcBorders>
                    <w:top w:val="single" w:color="auto" w:sz="4" w:space="0"/>
                    <w:left w:val="single" w:color="auto" w:sz="4" w:space="0"/>
                    <w:bottom w:val="single" w:color="auto" w:sz="4" w:space="0"/>
                    <w:right w:val="single" w:color="auto" w:sz="4" w:space="0"/>
                  </w:tcBorders>
                  <w:vAlign w:val="center"/>
                </w:tcPr>
                <w:p w14:paraId="5B75B861">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厂区内设置有1个容积</w:t>
                  </w:r>
                  <w:r>
                    <w:rPr>
                      <w:rFonts w:hint="eastAsia" w:cs="Times New Roman"/>
                      <w:color w:val="auto"/>
                      <w:sz w:val="21"/>
                      <w:lang w:val="en-US" w:eastAsia="zh-CN"/>
                    </w:rPr>
                    <w:t>4</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的隔油池，处理食堂产生的含油废水。</w:t>
                  </w:r>
                </w:p>
              </w:tc>
              <w:tc>
                <w:tcPr>
                  <w:tcW w:w="509" w:type="pct"/>
                  <w:tcBorders>
                    <w:top w:val="single" w:color="auto" w:sz="4" w:space="0"/>
                    <w:left w:val="single" w:color="auto" w:sz="4" w:space="0"/>
                    <w:bottom w:val="single" w:color="auto" w:sz="4" w:space="0"/>
                    <w:right w:val="single" w:color="auto" w:sz="4" w:space="0"/>
                  </w:tcBorders>
                  <w:vAlign w:val="center"/>
                </w:tcPr>
                <w:p w14:paraId="68EE0C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96" w:type="pct"/>
                  <w:vMerge w:val="continue"/>
                  <w:tcBorders>
                    <w:left w:val="single" w:color="auto" w:sz="4" w:space="0"/>
                    <w:right w:val="single" w:color="auto" w:sz="4" w:space="0"/>
                  </w:tcBorders>
                  <w:vAlign w:val="center"/>
                </w:tcPr>
                <w:p w14:paraId="460F119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p>
              </w:tc>
            </w:tr>
            <w:tr w14:paraId="079A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19CC4E9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303" w:type="pct"/>
                  <w:vMerge w:val="continue"/>
                  <w:tcBorders>
                    <w:left w:val="single" w:color="auto" w:sz="4" w:space="0"/>
                    <w:right w:val="single" w:color="auto" w:sz="4" w:space="0"/>
                  </w:tcBorders>
                  <w:vAlign w:val="center"/>
                </w:tcPr>
                <w:p w14:paraId="1C35DC3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p>
              </w:tc>
              <w:tc>
                <w:tcPr>
                  <w:tcW w:w="1003" w:type="pct"/>
                  <w:tcBorders>
                    <w:left w:val="single" w:color="auto" w:sz="4" w:space="0"/>
                    <w:right w:val="single" w:color="auto" w:sz="4" w:space="0"/>
                  </w:tcBorders>
                  <w:vAlign w:val="center"/>
                </w:tcPr>
                <w:p w14:paraId="1A66BA20">
                  <w:pPr>
                    <w:pStyle w:val="41"/>
                    <w:keepNext w:val="0"/>
                    <w:keepLines w:val="0"/>
                    <w:suppressLineNumbers w:val="0"/>
                    <w:spacing w:before="21" w:beforeAutospacing="0" w:after="0" w:afterAutospacing="0" w:line="240" w:lineRule="auto"/>
                    <w:ind w:left="109" w:leftChars="0" w:right="93" w:right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eastAsia="zh-CN"/>
                    </w:rPr>
                    <w:t>初期雨水收集池</w:t>
                  </w:r>
                </w:p>
              </w:tc>
              <w:tc>
                <w:tcPr>
                  <w:tcW w:w="2230" w:type="pct"/>
                  <w:tcBorders>
                    <w:top w:val="single" w:color="auto" w:sz="4" w:space="0"/>
                    <w:left w:val="single" w:color="auto" w:sz="4" w:space="0"/>
                    <w:bottom w:val="single" w:color="auto" w:sz="4" w:space="0"/>
                    <w:right w:val="single" w:color="auto" w:sz="4" w:space="0"/>
                  </w:tcBorders>
                  <w:vAlign w:val="center"/>
                </w:tcPr>
                <w:p w14:paraId="0C9DAF99">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val="en-US" w:eastAsia="zh-CN"/>
                    </w:rPr>
                    <w:t>厂区设置容积为</w:t>
                  </w:r>
                  <w:r>
                    <w:rPr>
                      <w:rFonts w:hint="default" w:ascii="Times New Roman" w:hAnsi="Times New Roman" w:eastAsia="宋体" w:cs="Times New Roman"/>
                      <w:color w:val="auto"/>
                      <w:sz w:val="21"/>
                    </w:rPr>
                    <w:t>972m</w:t>
                  </w:r>
                  <w:r>
                    <w:rPr>
                      <w:rFonts w:hint="default" w:ascii="Times New Roman" w:hAnsi="Times New Roman" w:eastAsia="宋体" w:cs="Times New Roman"/>
                      <w:color w:val="auto"/>
                      <w:sz w:val="21"/>
                      <w:vertAlign w:val="superscript"/>
                    </w:rPr>
                    <w:t>3</w:t>
                  </w:r>
                  <w:r>
                    <w:rPr>
                      <w:rFonts w:hint="eastAsia" w:ascii="Times New Roman" w:hAnsi="Times New Roman" w:eastAsia="宋体" w:cs="Times New Roman"/>
                      <w:color w:val="auto"/>
                      <w:sz w:val="21"/>
                      <w:lang w:val="en-US" w:eastAsia="zh-CN"/>
                    </w:rPr>
                    <w:t>的初期雨水收集池</w:t>
                  </w:r>
                  <w:r>
                    <w:rPr>
                      <w:rFonts w:hint="eastAsia" w:cs="Times New Roman"/>
                      <w:color w:val="auto"/>
                      <w:sz w:val="21"/>
                      <w:lang w:val="en-US" w:eastAsia="zh-CN"/>
                    </w:rPr>
                    <w:t>。</w:t>
                  </w:r>
                </w:p>
              </w:tc>
              <w:tc>
                <w:tcPr>
                  <w:tcW w:w="509" w:type="pct"/>
                  <w:tcBorders>
                    <w:top w:val="single" w:color="auto" w:sz="4" w:space="0"/>
                    <w:left w:val="single" w:color="auto" w:sz="4" w:space="0"/>
                    <w:bottom w:val="single" w:color="auto" w:sz="4" w:space="0"/>
                    <w:right w:val="single" w:color="auto" w:sz="4" w:space="0"/>
                  </w:tcBorders>
                  <w:vAlign w:val="center"/>
                </w:tcPr>
                <w:p w14:paraId="2EE834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96" w:type="pct"/>
                  <w:vMerge w:val="continue"/>
                  <w:tcBorders>
                    <w:left w:val="single" w:color="auto" w:sz="4" w:space="0"/>
                    <w:bottom w:val="single" w:color="auto" w:sz="4" w:space="0"/>
                    <w:right w:val="single" w:color="auto" w:sz="4" w:space="0"/>
                  </w:tcBorders>
                  <w:vAlign w:val="center"/>
                </w:tcPr>
                <w:p w14:paraId="6608B5C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p>
              </w:tc>
            </w:tr>
            <w:tr w14:paraId="6BAD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restart"/>
                  <w:tcBorders>
                    <w:top w:val="single" w:color="auto" w:sz="4" w:space="0"/>
                    <w:left w:val="single" w:color="auto" w:sz="4" w:space="0"/>
                    <w:right w:val="single" w:color="auto" w:sz="4" w:space="0"/>
                  </w:tcBorders>
                  <w:vAlign w:val="center"/>
                </w:tcPr>
                <w:p w14:paraId="6C8FC0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303" w:type="pct"/>
                  <w:vMerge w:val="restart"/>
                  <w:tcBorders>
                    <w:top w:val="single" w:color="auto" w:sz="4" w:space="0"/>
                    <w:left w:val="single" w:color="auto" w:sz="4" w:space="0"/>
                    <w:right w:val="single" w:color="auto" w:sz="4" w:space="0"/>
                  </w:tcBorders>
                  <w:vAlign w:val="center"/>
                </w:tcPr>
                <w:p w14:paraId="647ECC3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固废</w:t>
                  </w:r>
                  <w:r>
                    <w:rPr>
                      <w:rFonts w:hint="eastAsia" w:ascii="Times New Roman" w:hAnsi="Times New Roman" w:eastAsia="宋体" w:cs="Times New Roman"/>
                      <w:color w:val="auto"/>
                      <w:lang w:eastAsia="zh-CN"/>
                    </w:rPr>
                    <w:t>处置措施</w:t>
                  </w:r>
                </w:p>
              </w:tc>
              <w:tc>
                <w:tcPr>
                  <w:tcW w:w="1003" w:type="pct"/>
                  <w:tcBorders>
                    <w:top w:val="single" w:color="auto" w:sz="4" w:space="0"/>
                    <w:left w:val="single" w:color="auto" w:sz="4" w:space="0"/>
                    <w:right w:val="single" w:color="auto" w:sz="4" w:space="0"/>
                  </w:tcBorders>
                  <w:vAlign w:val="center"/>
                </w:tcPr>
                <w:p w14:paraId="465999AA">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leftChars="0" w:right="0" w:rightChars="0"/>
                    <w:jc w:val="center"/>
                    <w:textAlignment w:val="auto"/>
                    <w:rPr>
                      <w:rFonts w:hint="default" w:ascii="Times New Roman" w:hAnsi="Times New Roman" w:eastAsia="宋体" w:cs="Times New Roman"/>
                      <w:color w:val="auto"/>
                      <w:sz w:val="21"/>
                      <w:lang w:eastAsia="zh-CN"/>
                    </w:rPr>
                  </w:pPr>
                  <w:r>
                    <w:rPr>
                      <w:rFonts w:hint="eastAsia" w:cs="Times New Roman"/>
                      <w:color w:val="auto"/>
                      <w:sz w:val="21"/>
                      <w:lang w:eastAsia="zh-CN"/>
                    </w:rPr>
                    <w:t>多个生活垃圾桶</w:t>
                  </w:r>
                </w:p>
              </w:tc>
              <w:tc>
                <w:tcPr>
                  <w:tcW w:w="2230" w:type="pct"/>
                  <w:tcBorders>
                    <w:top w:val="single" w:color="auto" w:sz="4" w:space="0"/>
                    <w:left w:val="single" w:color="auto" w:sz="4" w:space="0"/>
                    <w:right w:val="single" w:color="auto" w:sz="4" w:space="0"/>
                  </w:tcBorders>
                  <w:vAlign w:val="center"/>
                </w:tcPr>
                <w:p w14:paraId="60965009">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eastAsia" w:cs="Times New Roman"/>
                      <w:color w:val="auto"/>
                      <w:sz w:val="21"/>
                      <w:lang w:eastAsia="zh-CN"/>
                    </w:rPr>
                    <w:t>厂区内设置多个生活垃圾桶，用于收集产生的生活垃圾。</w:t>
                  </w:r>
                </w:p>
              </w:tc>
              <w:tc>
                <w:tcPr>
                  <w:tcW w:w="509" w:type="pct"/>
                  <w:tcBorders>
                    <w:top w:val="single" w:color="auto" w:sz="4" w:space="0"/>
                    <w:left w:val="single" w:color="auto" w:sz="4" w:space="0"/>
                    <w:right w:val="single" w:color="auto" w:sz="4" w:space="0"/>
                  </w:tcBorders>
                  <w:vAlign w:val="center"/>
                </w:tcPr>
                <w:p w14:paraId="33C9A2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696" w:type="pct"/>
                  <w:tcBorders>
                    <w:top w:val="single" w:color="auto" w:sz="4" w:space="0"/>
                    <w:left w:val="single" w:color="auto" w:sz="4" w:space="0"/>
                    <w:right w:val="single" w:color="auto" w:sz="4" w:space="0"/>
                  </w:tcBorders>
                  <w:vAlign w:val="center"/>
                </w:tcPr>
                <w:p w14:paraId="4804BE0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原项目已建成，纳入原项目环保投资</w:t>
                  </w:r>
                </w:p>
              </w:tc>
            </w:tr>
            <w:tr w14:paraId="6907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5916B8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c>
                <w:tcPr>
                  <w:tcW w:w="303" w:type="pct"/>
                  <w:vMerge w:val="continue"/>
                  <w:tcBorders>
                    <w:left w:val="single" w:color="auto" w:sz="4" w:space="0"/>
                    <w:right w:val="single" w:color="auto" w:sz="4" w:space="0"/>
                  </w:tcBorders>
                  <w:vAlign w:val="center"/>
                </w:tcPr>
                <w:p w14:paraId="2590A3F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eastAsia="zh-CN"/>
                    </w:rPr>
                  </w:pPr>
                </w:p>
              </w:tc>
              <w:tc>
                <w:tcPr>
                  <w:tcW w:w="1003" w:type="pct"/>
                  <w:tcBorders>
                    <w:top w:val="single" w:color="auto" w:sz="4" w:space="0"/>
                    <w:left w:val="single" w:color="auto" w:sz="4" w:space="0"/>
                    <w:right w:val="single" w:color="auto" w:sz="4" w:space="0"/>
                  </w:tcBorders>
                  <w:vAlign w:val="center"/>
                </w:tcPr>
                <w:p w14:paraId="0675EC13">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lang w:eastAsia="zh-CN"/>
                    </w:rPr>
                    <w:t>一般固废</w:t>
                  </w:r>
                  <w:r>
                    <w:rPr>
                      <w:rFonts w:hint="eastAsia" w:cs="Times New Roman"/>
                      <w:color w:val="auto"/>
                      <w:sz w:val="21"/>
                      <w:lang w:val="en-US" w:eastAsia="zh-CN"/>
                    </w:rPr>
                    <w:t>站</w:t>
                  </w:r>
                </w:p>
              </w:tc>
              <w:tc>
                <w:tcPr>
                  <w:tcW w:w="2230" w:type="pct"/>
                  <w:tcBorders>
                    <w:top w:val="single" w:color="auto" w:sz="4" w:space="0"/>
                    <w:left w:val="single" w:color="auto" w:sz="4" w:space="0"/>
                    <w:right w:val="single" w:color="auto" w:sz="4" w:space="0"/>
                  </w:tcBorders>
                  <w:vAlign w:val="center"/>
                </w:tcPr>
                <w:p w14:paraId="6A0F9954">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lang w:eastAsia="zh-CN"/>
                    </w:rPr>
                    <w:t>厂区内已建成</w:t>
                  </w:r>
                  <w:r>
                    <w:rPr>
                      <w:rFonts w:hint="default" w:ascii="Times New Roman" w:hAnsi="Times New Roman" w:eastAsia="宋体" w:cs="Times New Roman"/>
                      <w:color w:val="auto"/>
                      <w:sz w:val="21"/>
                    </w:rPr>
                    <w:t>135m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lang w:eastAsia="zh-CN"/>
                    </w:rPr>
                    <w:t>的一般固废</w:t>
                  </w:r>
                  <w:r>
                    <w:rPr>
                      <w:rFonts w:hint="eastAsia" w:cs="Times New Roman"/>
                      <w:color w:val="auto"/>
                      <w:sz w:val="21"/>
                      <w:lang w:val="en-US" w:eastAsia="zh-CN"/>
                    </w:rPr>
                    <w:t>站</w:t>
                  </w:r>
                  <w:r>
                    <w:rPr>
                      <w:rFonts w:hint="default" w:ascii="Times New Roman" w:hAnsi="Times New Roman" w:eastAsia="宋体" w:cs="Times New Roman"/>
                      <w:color w:val="auto"/>
                      <w:sz w:val="21"/>
                    </w:rPr>
                    <w:t>，独立彩钢板厂房，主要贮存生产中</w:t>
                  </w:r>
                  <w:r>
                    <w:rPr>
                      <w:rFonts w:hint="default" w:ascii="Times New Roman" w:hAnsi="Times New Roman" w:eastAsia="宋体" w:cs="Times New Roman"/>
                      <w:color w:val="auto"/>
                      <w:sz w:val="21"/>
                      <w:lang w:eastAsia="zh-CN"/>
                    </w:rPr>
                    <w:t>废包装材料、包装桶</w:t>
                  </w:r>
                  <w:r>
                    <w:rPr>
                      <w:rFonts w:hint="default" w:ascii="Times New Roman" w:hAnsi="Times New Roman" w:eastAsia="宋体" w:cs="Times New Roman"/>
                      <w:color w:val="auto"/>
                      <w:sz w:val="21"/>
                    </w:rPr>
                    <w:t>等</w:t>
                  </w:r>
                  <w:r>
                    <w:rPr>
                      <w:rFonts w:hint="default" w:ascii="Times New Roman" w:hAnsi="Times New Roman" w:eastAsia="宋体" w:cs="Times New Roman"/>
                      <w:color w:val="auto"/>
                      <w:sz w:val="21"/>
                      <w:lang w:eastAsia="zh-CN"/>
                    </w:rPr>
                    <w:t>一般固体废物</w:t>
                  </w:r>
                  <w:r>
                    <w:rPr>
                      <w:rFonts w:hint="default" w:ascii="Times New Roman" w:hAnsi="Times New Roman" w:eastAsia="宋体" w:cs="Times New Roman"/>
                      <w:color w:val="auto"/>
                      <w:sz w:val="21"/>
                    </w:rPr>
                    <w:t>。</w:t>
                  </w:r>
                </w:p>
              </w:tc>
              <w:tc>
                <w:tcPr>
                  <w:tcW w:w="509" w:type="pct"/>
                  <w:tcBorders>
                    <w:top w:val="single" w:color="auto" w:sz="4" w:space="0"/>
                    <w:left w:val="single" w:color="auto" w:sz="4" w:space="0"/>
                    <w:right w:val="single" w:color="auto" w:sz="4" w:space="0"/>
                  </w:tcBorders>
                  <w:vAlign w:val="center"/>
                </w:tcPr>
                <w:p w14:paraId="74C7992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w:t>
                  </w:r>
                </w:p>
              </w:tc>
              <w:tc>
                <w:tcPr>
                  <w:tcW w:w="696" w:type="pct"/>
                  <w:tcBorders>
                    <w:top w:val="single" w:color="auto" w:sz="4" w:space="0"/>
                    <w:left w:val="single" w:color="auto" w:sz="4" w:space="0"/>
                    <w:right w:val="single" w:color="auto" w:sz="4" w:space="0"/>
                  </w:tcBorders>
                  <w:vAlign w:val="center"/>
                </w:tcPr>
                <w:p w14:paraId="05AD09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原项目已建成，纳入原项目环保投资</w:t>
                  </w:r>
                </w:p>
              </w:tc>
            </w:tr>
            <w:tr w14:paraId="12EE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tcBorders>
                    <w:left w:val="single" w:color="auto" w:sz="4" w:space="0"/>
                    <w:right w:val="single" w:color="auto" w:sz="4" w:space="0"/>
                  </w:tcBorders>
                  <w:vAlign w:val="center"/>
                </w:tcPr>
                <w:p w14:paraId="3D00F1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c>
                <w:tcPr>
                  <w:tcW w:w="303" w:type="pct"/>
                  <w:vMerge w:val="continue"/>
                  <w:tcBorders>
                    <w:left w:val="single" w:color="auto" w:sz="4" w:space="0"/>
                    <w:right w:val="single" w:color="auto" w:sz="4" w:space="0"/>
                  </w:tcBorders>
                  <w:vAlign w:val="center"/>
                </w:tcPr>
                <w:p w14:paraId="1B7CFA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c>
                <w:tcPr>
                  <w:tcW w:w="1003" w:type="pct"/>
                  <w:tcBorders>
                    <w:left w:val="single" w:color="auto" w:sz="4" w:space="0"/>
                    <w:right w:val="single" w:color="auto" w:sz="4" w:space="0"/>
                  </w:tcBorders>
                  <w:vAlign w:val="center"/>
                </w:tcPr>
                <w:p w14:paraId="3548E991">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lang w:eastAsia="zh-CN"/>
                    </w:rPr>
                    <w:t>危废暂存间</w:t>
                  </w:r>
                </w:p>
              </w:tc>
              <w:tc>
                <w:tcPr>
                  <w:tcW w:w="2230" w:type="pct"/>
                  <w:tcBorders>
                    <w:top w:val="single" w:color="auto" w:sz="4" w:space="0"/>
                    <w:left w:val="single" w:color="auto" w:sz="4" w:space="0"/>
                    <w:bottom w:val="single" w:color="auto" w:sz="4" w:space="0"/>
                    <w:right w:val="single" w:color="auto" w:sz="4" w:space="0"/>
                  </w:tcBorders>
                  <w:vAlign w:val="center"/>
                </w:tcPr>
                <w:p w14:paraId="52190954">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lang w:val="en-US" w:eastAsia="zh-CN"/>
                    </w:rPr>
                    <w:t>本次扩建，拟在甲类仓库内隔出1间面积为15</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lang w:val="en-US" w:eastAsia="zh-CN"/>
                    </w:rPr>
                    <w:t>的危险废物暂存间，用于暂存废机油、润滑油等危险废物，危废间严格按照《危险废物贮存污染控制标准》（GB18597-2001）及其修改单要求中相关要求规范设置。</w:t>
                  </w:r>
                </w:p>
              </w:tc>
              <w:tc>
                <w:tcPr>
                  <w:tcW w:w="509" w:type="pct"/>
                  <w:tcBorders>
                    <w:top w:val="single" w:color="auto" w:sz="4" w:space="0"/>
                    <w:left w:val="single" w:color="auto" w:sz="4" w:space="0"/>
                    <w:bottom w:val="single" w:color="auto" w:sz="4" w:space="0"/>
                    <w:right w:val="single" w:color="auto" w:sz="4" w:space="0"/>
                  </w:tcBorders>
                  <w:vAlign w:val="center"/>
                </w:tcPr>
                <w:p w14:paraId="4CE228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696" w:type="pct"/>
                  <w:tcBorders>
                    <w:top w:val="single" w:color="auto" w:sz="4" w:space="0"/>
                    <w:left w:val="single" w:color="auto" w:sz="4" w:space="0"/>
                    <w:bottom w:val="single" w:color="auto" w:sz="4" w:space="0"/>
                    <w:right w:val="single" w:color="auto" w:sz="4" w:space="0"/>
                  </w:tcBorders>
                  <w:vAlign w:val="center"/>
                </w:tcPr>
                <w:p w14:paraId="70ED81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p>
              </w:tc>
            </w:tr>
            <w:tr w14:paraId="6EAB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tcBorders>
                    <w:left w:val="single" w:color="auto" w:sz="4" w:space="0"/>
                    <w:right w:val="single" w:color="auto" w:sz="4" w:space="0"/>
                  </w:tcBorders>
                  <w:vAlign w:val="center"/>
                </w:tcPr>
                <w:p w14:paraId="670D9E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306" w:type="pct"/>
                  <w:gridSpan w:val="2"/>
                  <w:tcBorders>
                    <w:left w:val="single" w:color="auto" w:sz="4" w:space="0"/>
                    <w:right w:val="single" w:color="auto" w:sz="4" w:space="0"/>
                  </w:tcBorders>
                  <w:vAlign w:val="center"/>
                </w:tcPr>
                <w:p w14:paraId="7B7152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2230" w:type="pct"/>
                  <w:tcBorders>
                    <w:top w:val="single" w:color="auto" w:sz="4" w:space="0"/>
                    <w:left w:val="single" w:color="auto" w:sz="4" w:space="0"/>
                    <w:bottom w:val="single" w:color="auto" w:sz="4" w:space="0"/>
                    <w:right w:val="single" w:color="auto" w:sz="4" w:space="0"/>
                  </w:tcBorders>
                  <w:vAlign w:val="center"/>
                </w:tcPr>
                <w:p w14:paraId="7FA2EEB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合理布局、厂房隔声</w:t>
                  </w:r>
                </w:p>
              </w:tc>
              <w:tc>
                <w:tcPr>
                  <w:tcW w:w="509" w:type="pct"/>
                  <w:tcBorders>
                    <w:top w:val="single" w:color="auto" w:sz="4" w:space="0"/>
                    <w:left w:val="single" w:color="auto" w:sz="4" w:space="0"/>
                    <w:bottom w:val="single" w:color="auto" w:sz="4" w:space="0"/>
                    <w:right w:val="single" w:color="auto" w:sz="4" w:space="0"/>
                  </w:tcBorders>
                  <w:vAlign w:val="center"/>
                </w:tcPr>
                <w:p w14:paraId="3C1935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96" w:type="pct"/>
                  <w:tcBorders>
                    <w:top w:val="single" w:color="auto" w:sz="4" w:space="0"/>
                    <w:left w:val="single" w:color="auto" w:sz="4" w:space="0"/>
                    <w:bottom w:val="single" w:color="auto" w:sz="4" w:space="0"/>
                    <w:right w:val="single" w:color="auto" w:sz="4" w:space="0"/>
                  </w:tcBorders>
                  <w:vAlign w:val="center"/>
                </w:tcPr>
                <w:p w14:paraId="142043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原项目已建成</w:t>
                  </w:r>
                </w:p>
              </w:tc>
            </w:tr>
            <w:tr w14:paraId="5FC5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tcBorders>
                    <w:left w:val="single" w:color="auto" w:sz="4" w:space="0"/>
                    <w:right w:val="single" w:color="auto" w:sz="4" w:space="0"/>
                  </w:tcBorders>
                  <w:vAlign w:val="center"/>
                </w:tcPr>
                <w:p w14:paraId="117B20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p>
              </w:tc>
              <w:tc>
                <w:tcPr>
                  <w:tcW w:w="3537" w:type="pct"/>
                  <w:gridSpan w:val="3"/>
                  <w:tcBorders>
                    <w:left w:val="single" w:color="auto" w:sz="4" w:space="0"/>
                    <w:right w:val="single" w:color="auto" w:sz="4" w:space="0"/>
                  </w:tcBorders>
                  <w:vAlign w:val="center"/>
                </w:tcPr>
                <w:p w14:paraId="1F45D8D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合计</w:t>
                  </w:r>
                </w:p>
              </w:tc>
              <w:tc>
                <w:tcPr>
                  <w:tcW w:w="509" w:type="pct"/>
                  <w:tcBorders>
                    <w:top w:val="single" w:color="auto" w:sz="4" w:space="0"/>
                    <w:left w:val="single" w:color="auto" w:sz="4" w:space="0"/>
                    <w:bottom w:val="single" w:color="auto" w:sz="4" w:space="0"/>
                    <w:right w:val="single" w:color="auto" w:sz="4" w:space="0"/>
                  </w:tcBorders>
                  <w:vAlign w:val="center"/>
                </w:tcPr>
                <w:p w14:paraId="6EE7D6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32</w:t>
                  </w:r>
                </w:p>
              </w:tc>
              <w:tc>
                <w:tcPr>
                  <w:tcW w:w="696" w:type="pct"/>
                  <w:tcBorders>
                    <w:top w:val="single" w:color="auto" w:sz="4" w:space="0"/>
                    <w:left w:val="single" w:color="auto" w:sz="4" w:space="0"/>
                    <w:bottom w:val="single" w:color="auto" w:sz="4" w:space="0"/>
                    <w:right w:val="single" w:color="auto" w:sz="4" w:space="0"/>
                  </w:tcBorders>
                  <w:vAlign w:val="center"/>
                </w:tcPr>
                <w:p w14:paraId="25B22C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r>
            <w:bookmarkEnd w:id="6"/>
            <w:bookmarkEnd w:id="7"/>
            <w:bookmarkEnd w:id="8"/>
          </w:tbl>
          <w:p w14:paraId="7890D3D2">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14、物料平衡</w:t>
            </w:r>
          </w:p>
          <w:p w14:paraId="6CCEE01D">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扩建完成后，</w:t>
            </w:r>
            <w:r>
              <w:rPr>
                <w:rFonts w:hint="default" w:ascii="Times New Roman" w:hAnsi="Times New Roman" w:eastAsia="宋体" w:cs="Times New Roman"/>
                <w:color w:val="auto"/>
                <w:sz w:val="24"/>
                <w:szCs w:val="24"/>
                <w:lang w:val="en-US" w:eastAsia="zh-CN"/>
              </w:rPr>
              <w:t>全厂生产腻子粉产品120000吨/年，水性涂料100000吨/年。本项目的产品为水性涂料和腻子粉两个系统，水性涂料分为乳胶漆系列和砂壁系列，水性涂料的生产过程均是将原料、溶剂（水）和助剂通过混合、搅拌过程通过调整不同原料配方和物料比例，生产出不同的产品；腻子粉生产线则是将原料进行干式搅拌混合后，成为产品；全厂</w:t>
            </w:r>
            <w:r>
              <w:rPr>
                <w:rFonts w:hint="eastAsia" w:ascii="Times New Roman" w:hAnsi="Times New Roman" w:eastAsia="宋体" w:cs="Times New Roman"/>
                <w:color w:val="auto"/>
                <w:sz w:val="24"/>
                <w:szCs w:val="24"/>
                <w:lang w:val="en-US" w:eastAsia="zh-CN"/>
              </w:rPr>
              <w:t>有</w:t>
            </w:r>
            <w:r>
              <w:rPr>
                <w:rFonts w:hint="default" w:ascii="Times New Roman" w:hAnsi="Times New Roman" w:eastAsia="宋体" w:cs="Times New Roman"/>
                <w:color w:val="auto"/>
                <w:sz w:val="24"/>
                <w:szCs w:val="24"/>
                <w:lang w:val="en-US" w:eastAsia="zh-CN"/>
              </w:rPr>
              <w:t>2条乳胶漆生产线，</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条砂壁生产线</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2条腻子粉生产线</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物料平衡情况见表2-12、2-13。</w:t>
            </w:r>
          </w:p>
          <w:p w14:paraId="0A37AAE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12</w:t>
            </w:r>
            <w:r>
              <w:rPr>
                <w:rFonts w:hint="default"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水性</w:t>
            </w:r>
            <w:r>
              <w:rPr>
                <w:rFonts w:hint="default" w:ascii="Times New Roman" w:hAnsi="Times New Roman" w:eastAsia="宋体" w:cs="Times New Roman"/>
                <w:b/>
                <w:bCs/>
                <w:color w:val="auto"/>
                <w:sz w:val="21"/>
                <w:szCs w:val="21"/>
              </w:rPr>
              <w:t>涂料生产过程中的物料平衡表</w:t>
            </w:r>
          </w:p>
          <w:tbl>
            <w:tblPr>
              <w:tblStyle w:val="28"/>
              <w:tblW w:w="83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6"/>
              <w:gridCol w:w="1156"/>
              <w:gridCol w:w="1156"/>
              <w:gridCol w:w="1303"/>
              <w:gridCol w:w="1156"/>
              <w:gridCol w:w="1156"/>
              <w:gridCol w:w="1303"/>
            </w:tblGrid>
            <w:tr w14:paraId="76B81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94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生产线</w:t>
                  </w:r>
                </w:p>
              </w:tc>
              <w:tc>
                <w:tcPr>
                  <w:tcW w:w="21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9999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投入</w:t>
                  </w:r>
                </w:p>
              </w:tc>
              <w:tc>
                <w:tcPr>
                  <w:tcW w:w="21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BBE5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w:t>
                  </w:r>
                </w:p>
              </w:tc>
            </w:tr>
            <w:tr w14:paraId="26C40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13C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85C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CAC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物料名称</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42B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FA5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57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物料名称</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320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r>
            <w:tr w14:paraId="488CA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F682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乳胶漆生产</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085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C1E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金红石钛白粉</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0DD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3802.5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70A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4DF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水性乳胶漆产品</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110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75000</w:t>
                  </w:r>
                </w:p>
              </w:tc>
            </w:tr>
            <w:tr w14:paraId="794E6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4E18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1B3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BC0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重质碳酸钙</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F36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24435.47</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FD6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1AF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砂壁涂料</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242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25000</w:t>
                  </w:r>
                </w:p>
              </w:tc>
            </w:tr>
            <w:tr w14:paraId="3D138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94C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3A6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5C8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高岭土</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524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7608.055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DF3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4F9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有组织排放粉尘</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A72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0.018</w:t>
                  </w:r>
                </w:p>
              </w:tc>
            </w:tr>
            <w:tr w14:paraId="76384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18AD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7B5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97F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醋丙乳液</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80E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2936.25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C4B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1FB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无组织排放粉尘</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6E0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2.66</w:t>
                  </w:r>
                </w:p>
              </w:tc>
            </w:tr>
            <w:tr w14:paraId="0D6F1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186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856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ADE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苯乙烯</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丙烯酸聚合乳液</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11C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7973.174</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0A0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8C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污水处理系统污泥</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ECA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r>
            <w:tr w14:paraId="2FEF4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FCA9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4A2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95A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过滤自来水</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1B6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26906.55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113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19C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有组织挥发性有机废气</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F0D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0.069</w:t>
                  </w:r>
                </w:p>
              </w:tc>
            </w:tr>
            <w:tr w14:paraId="4E0B0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9834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96F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001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成膜助剂（十二碳酸酯）</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9A8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596.75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D80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9B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无组织挥发性有机废气</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FF6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0.058</w:t>
                  </w:r>
                </w:p>
              </w:tc>
            </w:tr>
            <w:tr w14:paraId="21614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3A7C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963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5A0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增稠剂（羟乙基纤维素）</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CC0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250</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294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EBC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除尘器粉尘</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5AD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1.822</w:t>
                  </w:r>
                </w:p>
              </w:tc>
            </w:tr>
            <w:tr w14:paraId="5886C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CD9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97C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930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分散剂（聚丙烯酸钠盐）</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1C6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250</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FFA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716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无组织氨</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BC1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0.175</w:t>
                  </w:r>
                </w:p>
              </w:tc>
            </w:tr>
            <w:tr w14:paraId="05A09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616D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8CE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1D8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消泡剂（矿物油）</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310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165.5</w:t>
                  </w:r>
                </w:p>
              </w:tc>
              <w:tc>
                <w:tcPr>
                  <w:tcW w:w="215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B3C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8D4A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62B4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F8A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546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防冻剂（丙二醇）</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5AB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86.25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814F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6577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F487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砂壁产品生产</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428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CF8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白砂</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9F3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16103.75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AA5A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490A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753E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C96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32A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苯丙乳液</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A3A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3591.7266</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D89B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D9F9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57E1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AC7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0CC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重质碳酸钙</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699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2182.6564</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857B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1777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431E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CAA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632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钛白粉</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C2A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184.75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371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6E5F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1737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11F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911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过滤水</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B66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2400.51</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AEEC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C23A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7E3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79B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0D0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成膜助剂（十二碳醇酯）</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BCF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9B51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9611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E595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B3A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44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增稠剂（羟乙基纤维素）</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962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33.76</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F4AF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940D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F2C3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4AC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411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氨水（</w:t>
                  </w:r>
                  <w:r>
                    <w:rPr>
                      <w:rFonts w:hint="default" w:ascii="Times New Roman" w:hAnsi="Times New Roman" w:eastAsia="宋体" w:cs="Times New Roman"/>
                      <w:i w:val="0"/>
                      <w:iCs w:val="0"/>
                      <w:color w:val="000000"/>
                      <w:kern w:val="0"/>
                      <w:sz w:val="21"/>
                      <w:szCs w:val="21"/>
                      <w:u w:val="none"/>
                      <w:lang w:val="en-US" w:eastAsia="zh-CN" w:bidi="ar"/>
                    </w:rPr>
                    <w:t>25%</w:t>
                  </w:r>
                  <w:r>
                    <w:rPr>
                      <w:rFonts w:hint="eastAsia" w:ascii="宋体" w:hAnsi="宋体" w:eastAsia="宋体" w:cs="宋体"/>
                      <w:i w:val="0"/>
                      <w:iCs w:val="0"/>
                      <w:color w:val="000000"/>
                      <w:kern w:val="0"/>
                      <w:sz w:val="21"/>
                      <w:szCs w:val="21"/>
                      <w:u w:val="none"/>
                      <w:lang w:val="en-US" w:eastAsia="zh-CN" w:bidi="ar"/>
                    </w:rPr>
                    <w:t>）</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F33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43D0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FB5F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6B93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8BB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E81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防冻剂（丙二醇）</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B5D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182.9</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DEFA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2DAF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BEC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6D6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318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分散剂（聚丙烯酸钠盐）</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75D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3EE8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FAF5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6A7C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A9E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2B1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铁红</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A1A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EB2A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D095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23F1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918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7FB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F91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1EAB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A4FD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89E8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E0D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97C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DC1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4EE6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5414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44DD1">
                  <w:pPr>
                    <w:keepNext w:val="0"/>
                    <w:keepLines w:val="0"/>
                    <w:suppressLineNumbers w:val="0"/>
                    <w:spacing w:before="0" w:beforeAutospacing="0" w:after="0" w:afterAutospacing="0"/>
                    <w:ind w:left="0" w:right="0"/>
                    <w:rPr>
                      <w:rFonts w:hint="eastAsia" w:ascii="宋体" w:hAnsi="宋体" w:eastAsia="宋体" w:cs="宋体"/>
                      <w:i w:val="0"/>
                      <w:iCs w:val="0"/>
                      <w:color w:val="000000"/>
                      <w:sz w:val="24"/>
                      <w:szCs w:val="24"/>
                      <w:u w:val="none"/>
                    </w:rPr>
                  </w:pPr>
                </w:p>
              </w:tc>
              <w:tc>
                <w:tcPr>
                  <w:tcW w:w="13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29F8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D11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100016.802</w:t>
                  </w:r>
                </w:p>
              </w:tc>
              <w:tc>
                <w:tcPr>
                  <w:tcW w:w="13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E538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623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100016.802</w:t>
                  </w:r>
                </w:p>
              </w:tc>
            </w:tr>
          </w:tbl>
          <w:p w14:paraId="3BB055A2">
            <w:pPr>
              <w:pStyle w:val="69"/>
              <w:keepNext w:val="0"/>
              <w:keepLines w:val="0"/>
              <w:suppressLineNumbers w:val="0"/>
              <w:adjustRightInd/>
              <w:spacing w:before="0" w:beforeAutospacing="0" w:after="0" w:afterAutospacing="0" w:line="240" w:lineRule="auto"/>
              <w:ind w:left="0" w:right="0"/>
              <w:jc w:val="center"/>
              <w:rPr>
                <w:rFonts w:hint="default"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表2-1</w:t>
            </w:r>
            <w:r>
              <w:rPr>
                <w:rFonts w:hint="eastAsia" w:cs="Times New Roman"/>
                <w:b/>
                <w:bCs/>
                <w:color w:val="auto"/>
                <w:spacing w:val="0"/>
                <w:w w:val="100"/>
                <w:position w:val="0"/>
                <w:sz w:val="21"/>
                <w:szCs w:val="21"/>
                <w:highlight w:val="none"/>
                <w:lang w:val="en-US" w:eastAsia="zh-CN"/>
              </w:rPr>
              <w:t>4</w:t>
            </w:r>
            <w:r>
              <w:rPr>
                <w:rFonts w:hint="eastAsia" w:ascii="Times New Roman" w:hAnsi="Times New Roman" w:eastAsia="宋体" w:cs="Times New Roman"/>
                <w:b/>
                <w:bCs/>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olor w:val="auto"/>
                <w:spacing w:val="0"/>
                <w:w w:val="100"/>
                <w:position w:val="0"/>
                <w:sz w:val="21"/>
                <w:szCs w:val="21"/>
                <w:highlight w:val="none"/>
                <w:lang w:val="en-US" w:eastAsia="zh-CN"/>
              </w:rPr>
              <w:t>腻子粉生产过程中的物料平衡表</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40"/>
              <w:gridCol w:w="1342"/>
              <w:gridCol w:w="1512"/>
              <w:gridCol w:w="1340"/>
              <w:gridCol w:w="1342"/>
              <w:gridCol w:w="1512"/>
            </w:tblGrid>
            <w:tr w14:paraId="53F51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25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EB5D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投入</w:t>
                  </w: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DDA9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w:t>
                  </w:r>
                </w:p>
              </w:tc>
            </w:tr>
            <w:tr w14:paraId="6A873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132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38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物料名称</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113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A3B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E83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物料名称</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0FA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r>
            <w:tr w14:paraId="55BEE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F8D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D60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水泥</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FF5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34627.457</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0AA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B9D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腻子粉</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4C0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120000</w:t>
                  </w:r>
                </w:p>
              </w:tc>
            </w:tr>
            <w:tr w14:paraId="24518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361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95B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白砂</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D3F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59800.3</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BB0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F8F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有组织排放粉尘</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05D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r>
            <w:tr w14:paraId="6682E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3F9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F1F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碳酸钙</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4F2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24047.61</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172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4D7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无组织排放粉尘</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83B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1.573</w:t>
                  </w:r>
                </w:p>
              </w:tc>
            </w:tr>
            <w:tr w14:paraId="0CAE3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637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C12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纤维素</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A20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2029.36</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38D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ED8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除尘器粉尘</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9B4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455.997</w:t>
                  </w:r>
                </w:p>
              </w:tc>
            </w:tr>
            <w:tr w14:paraId="7303A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3AE5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59C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F65A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1A5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390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密闭车间自然沉粉尘</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79E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42.557</w:t>
                  </w:r>
                </w:p>
              </w:tc>
            </w:tr>
            <w:tr w14:paraId="67D71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5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DA02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670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120504.727</w:t>
                  </w:r>
                </w:p>
              </w:tc>
              <w:tc>
                <w:tcPr>
                  <w:tcW w:w="15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5FE3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41D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120504.727</w:t>
                  </w:r>
                </w:p>
              </w:tc>
            </w:tr>
          </w:tbl>
          <w:p w14:paraId="73A4A5D9">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15、水量平衡</w:t>
            </w:r>
          </w:p>
          <w:p w14:paraId="38DF9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在运营期间</w:t>
            </w:r>
            <w:r>
              <w:rPr>
                <w:rFonts w:hint="default" w:ascii="Times New Roman" w:hAnsi="Times New Roman" w:eastAsia="宋体" w:cs="Times New Roman"/>
                <w:color w:val="auto"/>
                <w:sz w:val="24"/>
                <w:szCs w:val="24"/>
                <w:lang w:val="en-US" w:eastAsia="zh-CN"/>
              </w:rPr>
              <w:t>，生产工艺中不</w:t>
            </w:r>
            <w:r>
              <w:rPr>
                <w:rFonts w:hint="eastAsia" w:cs="Times New Roman"/>
                <w:color w:val="auto"/>
                <w:sz w:val="24"/>
                <w:szCs w:val="24"/>
                <w:lang w:val="en-US" w:eastAsia="zh-CN"/>
              </w:rPr>
              <w:t>产生工艺</w:t>
            </w:r>
            <w:r>
              <w:rPr>
                <w:rFonts w:hint="default" w:ascii="Times New Roman" w:hAnsi="Times New Roman" w:eastAsia="宋体" w:cs="Times New Roman"/>
                <w:color w:val="auto"/>
                <w:sz w:val="24"/>
                <w:szCs w:val="24"/>
                <w:lang w:val="en-US" w:eastAsia="zh-CN"/>
              </w:rPr>
              <w:t>废水；在正常生产过程中产生的废水主要为水过滤器的反冲洗水、乳胶漆包装机冲洗水、车间设备、缸体的清洗水，实验室清洗水和生活污水。</w:t>
            </w:r>
          </w:p>
          <w:p w14:paraId="46A90F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生活污水</w:t>
            </w:r>
          </w:p>
          <w:p w14:paraId="152A91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①办公生活用水</w:t>
            </w:r>
          </w:p>
          <w:p w14:paraId="5DBE00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项目建成后，全厂人员共 </w:t>
            </w:r>
            <w:r>
              <w:rPr>
                <w:rFonts w:hint="eastAsia" w:ascii="Times New Roman" w:hAnsi="Times New Roman" w:eastAsia="宋体" w:cs="Times New Roman"/>
                <w:color w:val="auto"/>
                <w:sz w:val="24"/>
                <w:szCs w:val="24"/>
                <w:lang w:val="en-US" w:eastAsia="zh-CN"/>
              </w:rPr>
              <w:t>150</w:t>
            </w:r>
            <w:r>
              <w:rPr>
                <w:rFonts w:hint="default" w:ascii="Times New Roman" w:hAnsi="Times New Roman" w:eastAsia="宋体" w:cs="Times New Roman"/>
                <w:color w:val="auto"/>
                <w:sz w:val="24"/>
                <w:szCs w:val="24"/>
                <w:lang w:val="en-US" w:eastAsia="zh-CN"/>
              </w:rPr>
              <w:t xml:space="preserve"> 人，厂内设置有办公室、食堂和淋浴间</w:t>
            </w:r>
            <w:r>
              <w:rPr>
                <w:rFonts w:hint="eastAsia" w:ascii="Times New Roman" w:hAnsi="Times New Roman" w:eastAsia="宋体" w:cs="Times New Roman"/>
                <w:color w:val="auto"/>
                <w:sz w:val="24"/>
                <w:szCs w:val="24"/>
                <w:lang w:val="en-US" w:eastAsia="zh-CN"/>
              </w:rPr>
              <w:t>、不设置宿舍，</w:t>
            </w:r>
            <w:r>
              <w:rPr>
                <w:rFonts w:hint="default" w:ascii="Times New Roman" w:hAnsi="Times New Roman" w:eastAsia="宋体" w:cs="Times New Roman"/>
                <w:color w:val="auto"/>
                <w:sz w:val="24"/>
                <w:szCs w:val="24"/>
                <w:lang w:val="en-US" w:eastAsia="zh-CN"/>
              </w:rPr>
              <w:t>办公生活用水根据《云南省地方标准用水定额》（DB53/T168-2019）城镇居民用水量按100L/人.d计，则用水量为</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产污系数按0.8计，则废水产生量为</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/d，主要污染因子为COD、BOD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、SS、氨氮。</w:t>
            </w:r>
          </w:p>
          <w:p w14:paraId="544C4D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②食堂用水</w:t>
            </w:r>
          </w:p>
          <w:p w14:paraId="786962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项目建成后，</w:t>
            </w:r>
            <w:r>
              <w:rPr>
                <w:rFonts w:hint="eastAsia" w:ascii="Times New Roman" w:hAnsi="Times New Roman" w:eastAsia="宋体" w:cs="Times New Roman"/>
                <w:color w:val="auto"/>
                <w:sz w:val="24"/>
                <w:szCs w:val="24"/>
                <w:lang w:val="en-US" w:eastAsia="zh-CN"/>
              </w:rPr>
              <w:t>食堂就餐人数150人，</w:t>
            </w:r>
            <w:r>
              <w:rPr>
                <w:rFonts w:hint="default" w:ascii="Times New Roman" w:hAnsi="Times New Roman" w:eastAsia="宋体" w:cs="Times New Roman"/>
                <w:color w:val="auto"/>
                <w:sz w:val="24"/>
                <w:szCs w:val="24"/>
                <w:lang w:val="en-US" w:eastAsia="zh-CN"/>
              </w:rPr>
              <w:t>食堂用水定额按20L/（人·d）计算，则项目食堂用水量为</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/d。食堂废水的产生量按用水量的80%计算，则食堂废水的产生量约为</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p>
          <w:p w14:paraId="0F183FEA">
            <w:pPr>
              <w:pStyle w:val="12"/>
              <w:keepNext w:val="0"/>
              <w:keepLines w:val="0"/>
              <w:suppressLineNumbers w:val="0"/>
              <w:spacing w:beforeAutospacing="0" w:afterAutospacing="0"/>
              <w:ind w:left="0" w:firstLine="480" w:firstLineChars="200"/>
              <w:rPr>
                <w:rFonts w:hint="default"/>
                <w:color w:val="auto"/>
                <w:lang w:val="en-US" w:eastAsia="zh-CN"/>
              </w:rPr>
            </w:pPr>
            <w:r>
              <w:rPr>
                <w:rFonts w:hint="eastAsia" w:ascii="Times New Roman" w:hAnsi="Times New Roman" w:eastAsia="宋体" w:cs="Times New Roman"/>
                <w:color w:val="auto"/>
                <w:sz w:val="24"/>
                <w:szCs w:val="24"/>
                <w:lang w:val="en-US" w:eastAsia="zh-CN"/>
              </w:rPr>
              <w:t>综上可知，项目生活污水产生量为</w:t>
            </w:r>
            <w:r>
              <w:rPr>
                <w:rFonts w:hint="eastAsia" w:cs="Times New Roman"/>
                <w:color w:val="auto"/>
                <w:sz w:val="24"/>
                <w:szCs w:val="24"/>
                <w:lang w:val="en-US" w:eastAsia="zh-CN"/>
              </w:rPr>
              <w:t>14.4</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cs="Times New Roman"/>
                <w:color w:val="auto"/>
                <w:sz w:val="24"/>
                <w:szCs w:val="24"/>
                <w:lang w:val="en-US" w:eastAsia="zh-CN"/>
              </w:rPr>
              <w:t>。</w:t>
            </w:r>
          </w:p>
          <w:p w14:paraId="054329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（2）生产用水</w:t>
            </w:r>
          </w:p>
          <w:p w14:paraId="3F0641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水过滤器清洗水</w:t>
            </w:r>
            <w:r>
              <w:rPr>
                <w:rFonts w:hint="eastAsia" w:ascii="Times New Roman" w:hAnsi="Times New Roman" w:eastAsia="宋体" w:cs="Times New Roman"/>
                <w:color w:val="auto"/>
                <w:sz w:val="24"/>
                <w:lang w:eastAsia="zh-CN"/>
              </w:rPr>
              <w:t>（W</w:t>
            </w:r>
            <w:r>
              <w:rPr>
                <w:rFonts w:hint="eastAsia" w:cs="Times New Roman"/>
                <w:color w:val="auto"/>
                <w:sz w:val="24"/>
                <w:lang w:val="en-US" w:eastAsia="zh-CN"/>
              </w:rPr>
              <w:t>1</w:t>
            </w:r>
            <w:r>
              <w:rPr>
                <w:rFonts w:hint="eastAsia" w:ascii="Times New Roman" w:hAnsi="Times New Roman" w:eastAsia="宋体" w:cs="Times New Roman"/>
                <w:color w:val="auto"/>
                <w:sz w:val="24"/>
                <w:lang w:eastAsia="zh-CN"/>
              </w:rPr>
              <w:t>）</w:t>
            </w:r>
          </w:p>
          <w:p w14:paraId="74BEE1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项目水性涂料生产期间，</w:t>
            </w:r>
            <w:r>
              <w:rPr>
                <w:rFonts w:hint="default" w:ascii="Times New Roman" w:hAnsi="Times New Roman" w:eastAsia="宋体" w:cs="Times New Roman"/>
                <w:color w:val="auto"/>
                <w:sz w:val="24"/>
                <w:szCs w:val="24"/>
                <w:lang w:val="en-US" w:eastAsia="zh-CN"/>
              </w:rPr>
              <w:t>水是做为涂料的溶剂使用，</w:t>
            </w:r>
            <w:r>
              <w:rPr>
                <w:rFonts w:hint="eastAsia" w:ascii="Times New Roman" w:hAnsi="Times New Roman" w:eastAsia="宋体" w:cs="Times New Roman"/>
                <w:color w:val="auto"/>
                <w:sz w:val="24"/>
                <w:szCs w:val="24"/>
                <w:lang w:val="en-US" w:eastAsia="zh-CN"/>
              </w:rPr>
              <w:t>对水的质量有一定的要求</w:t>
            </w:r>
            <w:r>
              <w:rPr>
                <w:rFonts w:hint="default" w:ascii="Times New Roman" w:hAnsi="Times New Roman" w:eastAsia="宋体" w:cs="Times New Roman"/>
                <w:color w:val="auto"/>
                <w:sz w:val="24"/>
                <w:szCs w:val="24"/>
                <w:lang w:val="en-US" w:eastAsia="zh-CN"/>
              </w:rPr>
              <w:t>；因此在将水用于生产混合工序</w:t>
            </w:r>
            <w:r>
              <w:rPr>
                <w:rFonts w:hint="eastAsia" w:ascii="Times New Roman" w:hAnsi="Times New Roman" w:eastAsia="宋体" w:cs="Times New Roman"/>
                <w:color w:val="auto"/>
                <w:sz w:val="24"/>
                <w:szCs w:val="24"/>
                <w:lang w:val="en-US" w:eastAsia="zh-CN"/>
              </w:rPr>
              <w:t>前</w:t>
            </w:r>
            <w:r>
              <w:rPr>
                <w:rFonts w:hint="default" w:ascii="Times New Roman" w:hAnsi="Times New Roman" w:eastAsia="宋体" w:cs="Times New Roman"/>
                <w:color w:val="auto"/>
                <w:sz w:val="24"/>
                <w:szCs w:val="24"/>
                <w:lang w:val="en-US" w:eastAsia="zh-CN"/>
              </w:rPr>
              <w:t>，需对生产用水进行一定过滤；本项目使用滤布对自来水进行过滤，过滤后的水用于全厂。在过滤过程中，水中的杂质留在滤布上；每天生产结束后均需要对滤布和金属滤网进行反冲洗，以保证过滤装置的正常使用；</w:t>
            </w:r>
            <w:r>
              <w:rPr>
                <w:rFonts w:hint="eastAsia" w:ascii="Times New Roman" w:hAnsi="Times New Roman" w:eastAsia="宋体" w:cs="Times New Roman"/>
                <w:color w:val="auto"/>
                <w:sz w:val="24"/>
                <w:szCs w:val="24"/>
                <w:lang w:val="en-US" w:eastAsia="zh-CN"/>
              </w:rPr>
              <w:t>根据建设单位运行经验，</w:t>
            </w:r>
            <w:r>
              <w:rPr>
                <w:rFonts w:hint="default" w:ascii="Times New Roman" w:hAnsi="Times New Roman" w:eastAsia="宋体" w:cs="Times New Roman"/>
                <w:color w:val="auto"/>
                <w:sz w:val="24"/>
                <w:szCs w:val="24"/>
                <w:lang w:val="en-US" w:eastAsia="zh-CN"/>
              </w:rPr>
              <w:t>水过滤器清洗水</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/d，产生的冲洗废水量约为</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 xml:space="preserve"> 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/d；水过滤器的反冲洗废水中主要污染物为SS</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经沉淀池沉淀后，</w:t>
            </w:r>
            <w:r>
              <w:rPr>
                <w:rFonts w:hint="eastAsia" w:ascii="Times New Roman" w:hAnsi="Times New Roman" w:eastAsia="宋体" w:cs="Times New Roman"/>
                <w:color w:val="auto"/>
                <w:sz w:val="24"/>
                <w:szCs w:val="24"/>
                <w:lang w:val="en-US" w:eastAsia="zh-CN"/>
              </w:rPr>
              <w:t>进入自建污水处理系统。</w:t>
            </w:r>
          </w:p>
          <w:p w14:paraId="6FCB3B6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0" w:right="0" w:rightChars="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t>检测废水</w:t>
            </w:r>
            <w:r>
              <w:rPr>
                <w:rFonts w:hint="eastAsia" w:ascii="Times New Roman" w:hAnsi="Times New Roman" w:eastAsia="宋体" w:cs="Times New Roman"/>
                <w:color w:val="auto"/>
                <w:sz w:val="24"/>
                <w:lang w:eastAsia="zh-CN"/>
              </w:rPr>
              <w:t>（W</w:t>
            </w:r>
            <w:r>
              <w:rPr>
                <w:rFonts w:hint="eastAsia" w:cs="Times New Roman"/>
                <w:color w:val="auto"/>
                <w:sz w:val="24"/>
                <w:lang w:val="en-US" w:eastAsia="zh-CN"/>
              </w:rPr>
              <w:t>2</w:t>
            </w:r>
            <w:r>
              <w:rPr>
                <w:rFonts w:hint="eastAsia" w:ascii="Times New Roman" w:hAnsi="Times New Roman" w:eastAsia="宋体" w:cs="Times New Roman"/>
                <w:color w:val="auto"/>
                <w:sz w:val="24"/>
                <w:lang w:eastAsia="zh-CN"/>
              </w:rPr>
              <w:t>）</w:t>
            </w:r>
          </w:p>
          <w:p w14:paraId="2E44DD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生产线设置有原料和产品的检测室，对原料和产品的质量进行控制，大多检测使用仪器进行，</w:t>
            </w:r>
            <w:r>
              <w:rPr>
                <w:rFonts w:hint="eastAsia" w:cs="Times New Roman"/>
                <w:color w:val="auto"/>
                <w:sz w:val="24"/>
                <w:szCs w:val="24"/>
                <w:lang w:val="en-US" w:eastAsia="zh-CN"/>
              </w:rPr>
              <w:t>根据建设单位运行经验，</w:t>
            </w:r>
            <w:r>
              <w:rPr>
                <w:rFonts w:hint="default" w:ascii="Times New Roman" w:hAnsi="Times New Roman" w:eastAsia="宋体" w:cs="Times New Roman"/>
                <w:color w:val="auto"/>
                <w:sz w:val="24"/>
                <w:szCs w:val="24"/>
                <w:lang w:val="en-US" w:eastAsia="zh-CN"/>
              </w:rPr>
              <w:t>检测室清洁用水和仪器清洗水用量按</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/d核算，污水产生量约为</w:t>
            </w:r>
            <w:r>
              <w:rPr>
                <w:rFonts w:hint="eastAsia" w:cs="Times New Roman"/>
                <w:color w:val="auto"/>
                <w:sz w:val="24"/>
                <w:szCs w:val="24"/>
                <w:lang w:val="en-US" w:eastAsia="zh-CN"/>
              </w:rPr>
              <w:t>0.8</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；水中污染物原料、产品外，还有一定的测试溶剂；因本项目污水处理系统在前工序已考虑进行PH值调整和混凝处理，因此检测废水直接进入污水处理系统。</w:t>
            </w:r>
          </w:p>
          <w:p w14:paraId="7A45B232">
            <w:pPr>
              <w:pStyle w:val="39"/>
              <w:ind w:firstLine="496"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③乳胶漆过滤器冲洗水（W3）</w:t>
            </w:r>
          </w:p>
          <w:p w14:paraId="43513C3A">
            <w:pPr>
              <w:pStyle w:val="39"/>
              <w:keepNext w:val="0"/>
              <w:keepLines w:val="0"/>
              <w:pageBreakBefore w:val="0"/>
              <w:widowControl w:val="0"/>
              <w:kinsoku/>
              <w:wordWrap/>
              <w:overflowPunct/>
              <w:topLinePunct w:val="0"/>
              <w:autoSpaceDE/>
              <w:autoSpaceDN/>
              <w:bidi w:val="0"/>
              <w:adjustRightInd/>
              <w:snapToGrid w:val="0"/>
              <w:ind w:firstLine="496"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乳胶漆成品混合后，为保证质量需进行一道金属滤网对产品进行过滤，乳胶漆成品过滤器反冲洗水的主要污染物为涂料，污染因子为</w:t>
            </w:r>
            <w:r>
              <w:rPr>
                <w:rFonts w:hint="eastAsia" w:ascii="Times New Roman" w:hAnsi="Times New Roman" w:cs="Times New Roman"/>
                <w:color w:val="auto"/>
                <w:sz w:val="24"/>
                <w:lang w:val="en-US" w:eastAsia="zh-CN"/>
              </w:rPr>
              <w:t>pH、</w:t>
            </w:r>
            <w:r>
              <w:rPr>
                <w:rFonts w:hint="default" w:ascii="Times New Roman" w:hAnsi="Times New Roman" w:eastAsia="宋体" w:cs="Times New Roman"/>
                <w:color w:val="auto"/>
                <w:sz w:val="24"/>
                <w:lang w:val="en-US" w:eastAsia="zh-CN"/>
              </w:rPr>
              <w:t>COD、SS、</w:t>
            </w:r>
            <w:r>
              <w:rPr>
                <w:rFonts w:hint="eastAsia" w:ascii="Times New Roman" w:hAnsi="Times New Roman" w:cs="Times New Roman"/>
                <w:color w:val="auto"/>
                <w:sz w:val="24"/>
                <w:lang w:val="en-US" w:eastAsia="zh-CN"/>
              </w:rPr>
              <w:t>色度</w:t>
            </w:r>
            <w:r>
              <w:rPr>
                <w:rFonts w:hint="default" w:ascii="Times New Roman" w:hAnsi="Times New Roman" w:eastAsia="宋体" w:cs="Times New Roman"/>
                <w:color w:val="auto"/>
                <w:sz w:val="24"/>
                <w:lang w:val="en-US" w:eastAsia="zh-CN"/>
              </w:rPr>
              <w:t>、石油类；</w:t>
            </w:r>
            <w:r>
              <w:rPr>
                <w:rFonts w:hint="eastAsia" w:cs="Times New Roman"/>
                <w:color w:val="auto"/>
                <w:sz w:val="24"/>
                <w:szCs w:val="24"/>
                <w:lang w:val="en-US" w:eastAsia="zh-CN"/>
              </w:rPr>
              <w:t>根据建设单位运行经验，</w:t>
            </w:r>
            <w:r>
              <w:rPr>
                <w:rFonts w:hint="eastAsia" w:ascii="Times New Roman" w:hAnsi="Times New Roman" w:eastAsia="宋体" w:cs="Times New Roman"/>
                <w:color w:val="auto"/>
                <w:sz w:val="24"/>
                <w:lang w:eastAsia="zh-CN"/>
              </w:rPr>
              <w:t>乳胶漆过滤器冲洗水</w:t>
            </w:r>
            <w:r>
              <w:rPr>
                <w:rFonts w:hint="eastAsia" w:ascii="Times New Roman" w:hAnsi="Times New Roman" w:cs="Times New Roman"/>
                <w:color w:val="auto"/>
                <w:sz w:val="24"/>
                <w:lang w:eastAsia="zh-CN"/>
              </w:rPr>
              <w:t>用量为</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lang w:val="en-US" w:eastAsia="zh-CN"/>
              </w:rPr>
              <w:t>产生的冲洗废水量约为</w:t>
            </w:r>
            <w:r>
              <w:rPr>
                <w:rFonts w:hint="eastAsia" w:ascii="Times New Roman" w:hAnsi="Times New Roman" w:eastAsia="宋体" w:cs="Times New Roman"/>
                <w:color w:val="auto"/>
                <w:sz w:val="24"/>
                <w:lang w:val="en-US" w:eastAsia="zh-CN"/>
              </w:rPr>
              <w:t>2.4</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/d；过滤装置的冲洗水</w:t>
            </w:r>
            <w:r>
              <w:rPr>
                <w:rFonts w:hint="eastAsia" w:ascii="Times New Roman" w:hAnsi="Times New Roman" w:cs="Times New Roman"/>
                <w:color w:val="auto"/>
                <w:sz w:val="24"/>
                <w:lang w:val="en-US" w:eastAsia="zh-CN"/>
              </w:rPr>
              <w:t>进入</w:t>
            </w:r>
            <w:r>
              <w:rPr>
                <w:rFonts w:hint="default" w:ascii="Times New Roman" w:hAnsi="Times New Roman" w:eastAsia="宋体" w:cs="Times New Roman"/>
                <w:color w:val="auto"/>
                <w:sz w:val="24"/>
                <w:lang w:val="en-US" w:eastAsia="zh-CN"/>
              </w:rPr>
              <w:t>全部进入</w:t>
            </w:r>
            <w:r>
              <w:rPr>
                <w:rFonts w:hint="eastAsia" w:ascii="Times New Roman" w:hAnsi="Times New Roman" w:eastAsia="宋体" w:cs="Times New Roman"/>
                <w:color w:val="auto"/>
                <w:sz w:val="24"/>
                <w:lang w:val="en-US" w:eastAsia="zh-CN"/>
              </w:rPr>
              <w:t>自建</w:t>
            </w:r>
            <w:r>
              <w:rPr>
                <w:rFonts w:hint="default" w:ascii="Times New Roman" w:hAnsi="Times New Roman" w:eastAsia="宋体" w:cs="Times New Roman"/>
                <w:color w:val="auto"/>
                <w:sz w:val="24"/>
                <w:lang w:val="en-US" w:eastAsia="zh-CN"/>
              </w:rPr>
              <w:t>污水处理系统。</w:t>
            </w:r>
          </w:p>
          <w:p w14:paraId="12E9E843">
            <w:pPr>
              <w:pStyle w:val="39"/>
              <w:ind w:firstLine="496"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④</w:t>
            </w:r>
            <w:r>
              <w:rPr>
                <w:rFonts w:hint="default" w:ascii="Times New Roman" w:hAnsi="Times New Roman" w:eastAsia="宋体" w:cs="Times New Roman"/>
                <w:color w:val="auto"/>
                <w:sz w:val="24"/>
                <w:szCs w:val="24"/>
              </w:rPr>
              <w:t>乳胶漆包装包装机清洗水</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W</w:t>
            </w:r>
            <w:r>
              <w:rPr>
                <w:rFonts w:hint="eastAsia" w:ascii="Times New Roman" w:hAnsi="Times New Roman"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p>
          <w:p w14:paraId="66139A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default"/>
                <w:color w:val="auto"/>
                <w:sz w:val="24"/>
                <w:szCs w:val="24"/>
              </w:rPr>
            </w:pPr>
            <w:r>
              <w:rPr>
                <w:rFonts w:hint="default"/>
                <w:color w:val="auto"/>
                <w:spacing w:val="-1"/>
                <w:sz w:val="24"/>
                <w:szCs w:val="24"/>
              </w:rPr>
              <w:t>乳胶漆成品包装机每天生产结束后需对出料嘴及管道进行冲洗，</w:t>
            </w:r>
            <w:r>
              <w:rPr>
                <w:rFonts w:hint="eastAsia" w:cs="Times New Roman"/>
                <w:color w:val="auto"/>
                <w:sz w:val="24"/>
                <w:szCs w:val="24"/>
                <w:lang w:val="en-US" w:eastAsia="zh-CN"/>
              </w:rPr>
              <w:t>根据建设单位运行经验，</w:t>
            </w:r>
            <w:r>
              <w:rPr>
                <w:rFonts w:hint="default" w:ascii="Times New Roman" w:eastAsia="Times New Roman"/>
                <w:color w:val="auto"/>
                <w:spacing w:val="-12"/>
                <w:sz w:val="24"/>
                <w:szCs w:val="24"/>
              </w:rPr>
              <w:t xml:space="preserve">2 </w:t>
            </w:r>
            <w:r>
              <w:rPr>
                <w:rFonts w:hint="default"/>
                <w:color w:val="auto"/>
                <w:spacing w:val="-3"/>
                <w:sz w:val="24"/>
                <w:szCs w:val="24"/>
              </w:rPr>
              <w:t>套乳胶生</w:t>
            </w:r>
            <w:r>
              <w:rPr>
                <w:rFonts w:hint="default"/>
                <w:color w:val="auto"/>
                <w:spacing w:val="-6"/>
                <w:sz w:val="24"/>
                <w:szCs w:val="24"/>
              </w:rPr>
              <w:t>产线的冲洗用水量约为</w:t>
            </w:r>
            <w:r>
              <w:rPr>
                <w:rFonts w:hint="default" w:ascii="Times New Roman" w:eastAsia="Times New Roman"/>
                <w:color w:val="auto"/>
                <w:sz w:val="24"/>
                <w:szCs w:val="24"/>
              </w:rPr>
              <w:t>4m</w:t>
            </w:r>
            <w:r>
              <w:rPr>
                <w:rFonts w:hint="eastAsia" w:ascii="Times New Roman" w:eastAsia="宋体"/>
                <w:color w:val="auto"/>
                <w:sz w:val="24"/>
                <w:szCs w:val="24"/>
                <w:vertAlign w:val="superscript"/>
                <w:lang w:val="en-US" w:eastAsia="zh-CN"/>
              </w:rPr>
              <w:t>3</w:t>
            </w:r>
            <w:r>
              <w:rPr>
                <w:rFonts w:hint="default" w:ascii="Times New Roman" w:eastAsia="Times New Roman"/>
                <w:color w:val="auto"/>
                <w:sz w:val="24"/>
                <w:szCs w:val="24"/>
              </w:rPr>
              <w:t>/d</w:t>
            </w:r>
            <w:r>
              <w:rPr>
                <w:rFonts w:hint="default"/>
                <w:color w:val="auto"/>
                <w:spacing w:val="-10"/>
                <w:sz w:val="24"/>
                <w:szCs w:val="24"/>
              </w:rPr>
              <w:t xml:space="preserve">，将产生约 </w:t>
            </w:r>
            <w:r>
              <w:rPr>
                <w:rFonts w:hint="default" w:ascii="Times New Roman" w:eastAsia="Times New Roman"/>
                <w:color w:val="auto"/>
                <w:sz w:val="24"/>
                <w:szCs w:val="24"/>
              </w:rPr>
              <w:t>3.7 m</w:t>
            </w:r>
            <w:r>
              <w:rPr>
                <w:rFonts w:hint="eastAsia" w:ascii="Times New Roman" w:eastAsia="宋体"/>
                <w:color w:val="auto"/>
                <w:sz w:val="24"/>
                <w:szCs w:val="24"/>
                <w:vertAlign w:val="superscript"/>
                <w:lang w:val="en-US" w:eastAsia="zh-CN"/>
              </w:rPr>
              <w:t>3</w:t>
            </w:r>
            <w:r>
              <w:rPr>
                <w:rFonts w:hint="default" w:ascii="Times New Roman" w:eastAsia="Times New Roman"/>
                <w:color w:val="auto"/>
                <w:sz w:val="24"/>
                <w:szCs w:val="24"/>
              </w:rPr>
              <w:t xml:space="preserve">/d </w:t>
            </w:r>
            <w:r>
              <w:rPr>
                <w:rFonts w:hint="default"/>
                <w:color w:val="auto"/>
                <w:sz w:val="24"/>
                <w:szCs w:val="24"/>
              </w:rPr>
              <w:t>的冲洗废水，废水中因含有生</w:t>
            </w:r>
            <w:r>
              <w:rPr>
                <w:rFonts w:hint="default"/>
                <w:color w:val="auto"/>
                <w:spacing w:val="-5"/>
                <w:sz w:val="24"/>
                <w:szCs w:val="24"/>
              </w:rPr>
              <w:t>产的涂料，水中污染物主要</w:t>
            </w:r>
            <w:r>
              <w:rPr>
                <w:rFonts w:hint="eastAsia" w:ascii="Times New Roman" w:hAnsi="Times New Roman" w:cs="Times New Roman"/>
                <w:color w:val="auto"/>
                <w:sz w:val="24"/>
                <w:lang w:val="en-US" w:eastAsia="zh-CN"/>
              </w:rPr>
              <w:t>pH、</w:t>
            </w:r>
            <w:r>
              <w:rPr>
                <w:rFonts w:hint="default" w:ascii="Times New Roman" w:hAnsi="Times New Roman" w:eastAsia="宋体" w:cs="Times New Roman"/>
                <w:color w:val="auto"/>
                <w:sz w:val="24"/>
                <w:lang w:val="en-US" w:eastAsia="zh-CN"/>
              </w:rPr>
              <w:t>COD、SS、</w:t>
            </w:r>
            <w:r>
              <w:rPr>
                <w:rFonts w:hint="eastAsia" w:ascii="Times New Roman" w:hAnsi="Times New Roman" w:cs="Times New Roman"/>
                <w:color w:val="auto"/>
                <w:sz w:val="24"/>
                <w:lang w:val="en-US" w:eastAsia="zh-CN"/>
              </w:rPr>
              <w:t>色度</w:t>
            </w:r>
            <w:r>
              <w:rPr>
                <w:rFonts w:hint="default" w:ascii="Times New Roman" w:hAnsi="Times New Roman" w:eastAsia="宋体" w:cs="Times New Roman"/>
                <w:color w:val="auto"/>
                <w:sz w:val="24"/>
                <w:lang w:val="en-US" w:eastAsia="zh-CN"/>
              </w:rPr>
              <w:t>、石油类</w:t>
            </w:r>
            <w:r>
              <w:rPr>
                <w:rFonts w:hint="default"/>
                <w:color w:val="auto"/>
                <w:sz w:val="24"/>
                <w:szCs w:val="24"/>
              </w:rPr>
              <w:t>；冲洗废水</w:t>
            </w:r>
            <w:r>
              <w:rPr>
                <w:rFonts w:hint="eastAsia"/>
                <w:color w:val="auto"/>
                <w:sz w:val="24"/>
                <w:szCs w:val="24"/>
                <w:lang w:eastAsia="zh-CN"/>
              </w:rPr>
              <w:t>进入自建污水处理系统</w:t>
            </w:r>
            <w:r>
              <w:rPr>
                <w:rFonts w:hint="default"/>
                <w:color w:val="auto"/>
                <w:sz w:val="24"/>
                <w:szCs w:val="24"/>
              </w:rPr>
              <w:t>进行处理。</w:t>
            </w:r>
          </w:p>
          <w:p w14:paraId="4B6A97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lang w:val="en-US" w:eastAsia="zh-CN"/>
              </w:rPr>
              <w:t>乳胶漆生产线洗缸废水（W5）</w:t>
            </w:r>
          </w:p>
          <w:p w14:paraId="32E593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乳胶漆生产线在产品种类不更改的生产过程中，为保证生产罐内涂料不挂壁和沉积在罐中，每周末清洗一次。如下星期生产的为同一体系产品，因其档次相同，配方近似，相同原料占 90%以上，兼容性强，故同系列产品洗罐水可回用在任一品种生产中，不会影响产品质量则存放于罐中做为下一批次配方用水。</w:t>
            </w:r>
            <w:r>
              <w:rPr>
                <w:rFonts w:hint="eastAsia" w:ascii="Times New Roman" w:hAnsi="Times New Roman" w:eastAsia="宋体" w:cs="Times New Roman"/>
                <w:color w:val="auto"/>
                <w:sz w:val="24"/>
                <w:szCs w:val="24"/>
                <w:lang w:val="en-US" w:eastAsia="zh-CN"/>
              </w:rPr>
              <w:t>若</w:t>
            </w:r>
            <w:r>
              <w:rPr>
                <w:rFonts w:hint="default" w:ascii="Times New Roman" w:hAnsi="Times New Roman" w:eastAsia="宋体" w:cs="Times New Roman"/>
                <w:color w:val="auto"/>
                <w:sz w:val="24"/>
                <w:szCs w:val="24"/>
                <w:lang w:val="en-US" w:eastAsia="zh-CN"/>
              </w:rPr>
              <w:t>下一星期生产的不是同一系列产品，为保证产品的质量，冲罐水全部进入污水处理系统进行处理。废水中因含有生产的涂料，水中污染物主要</w:t>
            </w:r>
            <w:r>
              <w:rPr>
                <w:rFonts w:hint="eastAsia" w:ascii="Times New Roman" w:hAnsi="Times New Roman" w:cs="Times New Roman"/>
                <w:color w:val="auto"/>
                <w:sz w:val="24"/>
                <w:lang w:val="en-US" w:eastAsia="zh-CN"/>
              </w:rPr>
              <w:t>pH、</w:t>
            </w:r>
            <w:r>
              <w:rPr>
                <w:rFonts w:hint="default" w:ascii="Times New Roman" w:hAnsi="Times New Roman" w:eastAsia="宋体" w:cs="Times New Roman"/>
                <w:color w:val="auto"/>
                <w:sz w:val="24"/>
                <w:lang w:val="en-US" w:eastAsia="zh-CN"/>
              </w:rPr>
              <w:t>COD、SS、</w:t>
            </w:r>
            <w:r>
              <w:rPr>
                <w:rFonts w:hint="eastAsia" w:ascii="Times New Roman" w:hAnsi="Times New Roman" w:cs="Times New Roman"/>
                <w:color w:val="auto"/>
                <w:sz w:val="24"/>
                <w:lang w:val="en-US" w:eastAsia="zh-CN"/>
              </w:rPr>
              <w:t>色度</w:t>
            </w:r>
            <w:r>
              <w:rPr>
                <w:rFonts w:hint="default" w:ascii="Times New Roman" w:hAnsi="Times New Roman" w:eastAsia="宋体" w:cs="Times New Roman"/>
                <w:color w:val="auto"/>
                <w:sz w:val="24"/>
                <w:lang w:val="en-US" w:eastAsia="zh-CN"/>
              </w:rPr>
              <w:t>、石油类</w:t>
            </w:r>
            <w:r>
              <w:rPr>
                <w:rFonts w:hint="default" w:ascii="Times New Roman" w:hAnsi="Times New Roman" w:eastAsia="宋体" w:cs="Times New Roman"/>
                <w:color w:val="auto"/>
                <w:sz w:val="24"/>
                <w:szCs w:val="24"/>
                <w:lang w:val="en-US" w:eastAsia="zh-CN"/>
              </w:rPr>
              <w:t>；冲洗废水全部进入废水处理系统进行处理。</w:t>
            </w:r>
            <w:r>
              <w:rPr>
                <w:rFonts w:hint="eastAsia" w:ascii="Times New Roman" w:hAnsi="Times New Roman" w:eastAsia="宋体" w:cs="Times New Roman"/>
                <w:color w:val="auto"/>
                <w:sz w:val="24"/>
                <w:szCs w:val="24"/>
                <w:lang w:val="en-US" w:eastAsia="zh-CN"/>
              </w:rPr>
              <w:t>根据建设单位运行经验，</w:t>
            </w:r>
            <w:r>
              <w:rPr>
                <w:rFonts w:hint="default" w:ascii="Times New Roman" w:hAnsi="Times New Roman" w:eastAsia="宋体" w:cs="Times New Roman"/>
                <w:color w:val="auto"/>
                <w:sz w:val="24"/>
                <w:szCs w:val="24"/>
                <w:lang w:val="en-US" w:eastAsia="zh-CN"/>
              </w:rPr>
              <w:t>2套乳胶生产线的洗缸用水量约为7m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/d，将产生约6.3 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 的冲洗废水</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乳胶漆生产线洗缸废水</w:t>
            </w:r>
            <w:r>
              <w:rPr>
                <w:rFonts w:hint="eastAsia" w:cs="Times New Roman"/>
                <w:color w:val="auto"/>
                <w:sz w:val="24"/>
                <w:szCs w:val="24"/>
                <w:lang w:val="en-US" w:eastAsia="zh-CN"/>
              </w:rPr>
              <w:t>进入自建污水处理系统进行处理。</w:t>
            </w:r>
          </w:p>
          <w:p w14:paraId="4E982B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lang w:val="en-US" w:eastAsia="zh-CN"/>
              </w:rPr>
              <w:t>车间设备和罐体外表面</w:t>
            </w:r>
            <w:r>
              <w:rPr>
                <w:rFonts w:hint="eastAsia" w:ascii="Times New Roman" w:hAnsi="Times New Roman" w:eastAsia="宋体" w:cs="Times New Roman"/>
                <w:color w:val="auto"/>
                <w:sz w:val="24"/>
                <w:szCs w:val="24"/>
                <w:lang w:val="en-US" w:eastAsia="zh-CN"/>
              </w:rPr>
              <w:t>清洁废水</w:t>
            </w:r>
            <w:r>
              <w:rPr>
                <w:rFonts w:hint="default" w:ascii="Times New Roman" w:hAnsi="Times New Roman" w:eastAsia="宋体" w:cs="Times New Roman"/>
                <w:color w:val="auto"/>
                <w:sz w:val="24"/>
                <w:szCs w:val="24"/>
                <w:lang w:val="en-US" w:eastAsia="zh-CN"/>
              </w:rPr>
              <w:t>（W6）</w:t>
            </w:r>
          </w:p>
          <w:p w14:paraId="48589B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生产车间的地面、设备、罐体表面需进行清洗；车间内的地板清洗方式为使用拖布进行清洁，设备和罐体采用抹布擦洗；废水中的污染物为生产设备和各罐体表面外泄的一些生产原料、助剂和产品，</w:t>
            </w:r>
            <w:r>
              <w:rPr>
                <w:rFonts w:hint="eastAsia" w:ascii="Times New Roman" w:hAnsi="Times New Roman" w:eastAsia="宋体" w:cs="Times New Roman"/>
                <w:color w:val="auto"/>
                <w:sz w:val="24"/>
                <w:szCs w:val="24"/>
                <w:lang w:val="en-US" w:eastAsia="zh-CN"/>
              </w:rPr>
              <w:t>根据建设单位长期运行经验，</w:t>
            </w:r>
            <w:r>
              <w:rPr>
                <w:rFonts w:hint="default" w:ascii="Times New Roman" w:hAnsi="Times New Roman" w:eastAsia="宋体" w:cs="Times New Roman"/>
                <w:color w:val="auto"/>
                <w:sz w:val="24"/>
                <w:szCs w:val="24"/>
                <w:lang w:val="en-US" w:eastAsia="zh-CN"/>
              </w:rPr>
              <w:t>清洁用水量约为5m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/d，将产生约4 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/d的</w:t>
            </w:r>
            <w:r>
              <w:rPr>
                <w:rFonts w:hint="eastAsia" w:ascii="Times New Roman" w:hAnsi="Times New Roman" w:eastAsia="宋体" w:cs="Times New Roman"/>
                <w:color w:val="auto"/>
                <w:sz w:val="24"/>
                <w:szCs w:val="24"/>
                <w:lang w:val="en-US" w:eastAsia="zh-CN"/>
              </w:rPr>
              <w:t>清洁</w:t>
            </w:r>
            <w:r>
              <w:rPr>
                <w:rFonts w:hint="default" w:ascii="Times New Roman" w:hAnsi="Times New Roman" w:eastAsia="宋体" w:cs="Times New Roman"/>
                <w:color w:val="auto"/>
                <w:sz w:val="24"/>
                <w:szCs w:val="24"/>
                <w:lang w:val="en-US" w:eastAsia="zh-CN"/>
              </w:rPr>
              <w:t>废水，废水中因含有生产的原料、助剂和涂料产品，水中污染物主要</w:t>
            </w:r>
            <w:r>
              <w:rPr>
                <w:rFonts w:hint="eastAsia" w:ascii="Times New Roman" w:hAnsi="Times New Roman" w:cs="Times New Roman"/>
                <w:color w:val="auto"/>
                <w:sz w:val="24"/>
                <w:lang w:val="en-US" w:eastAsia="zh-CN"/>
              </w:rPr>
              <w:t>pH、</w:t>
            </w:r>
            <w:r>
              <w:rPr>
                <w:rFonts w:hint="default" w:ascii="Times New Roman" w:hAnsi="Times New Roman" w:eastAsia="宋体" w:cs="Times New Roman"/>
                <w:color w:val="auto"/>
                <w:sz w:val="24"/>
                <w:lang w:val="en-US" w:eastAsia="zh-CN"/>
              </w:rPr>
              <w:t>COD、SS、</w:t>
            </w:r>
            <w:r>
              <w:rPr>
                <w:rFonts w:hint="eastAsia" w:ascii="Times New Roman" w:hAnsi="Times New Roman" w:cs="Times New Roman"/>
                <w:color w:val="auto"/>
                <w:sz w:val="24"/>
                <w:lang w:val="en-US" w:eastAsia="zh-CN"/>
              </w:rPr>
              <w:t>色度</w:t>
            </w:r>
            <w:r>
              <w:rPr>
                <w:rFonts w:hint="default" w:ascii="Times New Roman" w:hAnsi="Times New Roman" w:eastAsia="宋体" w:cs="Times New Roman"/>
                <w:color w:val="auto"/>
                <w:sz w:val="24"/>
                <w:lang w:val="en-US" w:eastAsia="zh-CN"/>
              </w:rPr>
              <w:t>、石油类</w:t>
            </w:r>
            <w:r>
              <w:rPr>
                <w:rFonts w:hint="default" w:ascii="Times New Roman" w:hAnsi="Times New Roman" w:eastAsia="宋体" w:cs="Times New Roman"/>
                <w:color w:val="auto"/>
                <w:sz w:val="24"/>
                <w:szCs w:val="24"/>
                <w:lang w:val="en-US" w:eastAsia="zh-CN"/>
              </w:rPr>
              <w:t>；清洁废水</w:t>
            </w:r>
            <w:r>
              <w:rPr>
                <w:rFonts w:hint="eastAsia" w:cs="Times New Roman"/>
                <w:color w:val="auto"/>
                <w:sz w:val="24"/>
                <w:szCs w:val="24"/>
                <w:lang w:val="en-US" w:eastAsia="zh-CN"/>
              </w:rPr>
              <w:t>进入自建污水处理系统进行处理。</w:t>
            </w:r>
          </w:p>
          <w:p w14:paraId="53B442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⑦</w:t>
            </w:r>
            <w:r>
              <w:rPr>
                <w:rFonts w:hint="default" w:ascii="Times New Roman" w:hAnsi="Times New Roman" w:eastAsia="宋体" w:cs="Times New Roman"/>
                <w:color w:val="auto"/>
                <w:sz w:val="24"/>
                <w:szCs w:val="24"/>
                <w:lang w:val="en-US" w:eastAsia="zh-CN"/>
              </w:rPr>
              <w:t>砂壁车间清洗水（W7）</w:t>
            </w:r>
          </w:p>
          <w:p w14:paraId="6C2A07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砂壁成品包装机每天生产结束后需对出料嘴及管道进行冲洗，</w:t>
            </w:r>
            <w:r>
              <w:rPr>
                <w:rFonts w:hint="eastAsia" w:cs="Times New Roman"/>
                <w:color w:val="auto"/>
                <w:sz w:val="24"/>
                <w:szCs w:val="24"/>
                <w:lang w:val="en-US" w:eastAsia="zh-CN"/>
              </w:rPr>
              <w:t>根据建设单位的运行经验，</w:t>
            </w:r>
            <w:r>
              <w:rPr>
                <w:rFonts w:hint="default" w:ascii="Times New Roman" w:hAnsi="Times New Roman" w:eastAsia="宋体" w:cs="Times New Roman"/>
                <w:color w:val="auto"/>
                <w:sz w:val="24"/>
                <w:szCs w:val="24"/>
                <w:lang w:val="en-US" w:eastAsia="zh-CN"/>
              </w:rPr>
              <w:t>1 套砂壁生产线的冲洗用水量约为 1.5m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/d，将产生约1.</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 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 的冲洗废水，废水中因含有生产的涂料，水中污染物主要</w:t>
            </w:r>
            <w:r>
              <w:rPr>
                <w:rFonts w:hint="eastAsia" w:ascii="Times New Roman" w:hAnsi="Times New Roman" w:cs="Times New Roman"/>
                <w:color w:val="auto"/>
                <w:sz w:val="24"/>
                <w:lang w:val="en-US" w:eastAsia="zh-CN"/>
              </w:rPr>
              <w:t>pH、</w:t>
            </w:r>
            <w:r>
              <w:rPr>
                <w:rFonts w:hint="default" w:ascii="Times New Roman" w:hAnsi="Times New Roman" w:eastAsia="宋体" w:cs="Times New Roman"/>
                <w:color w:val="auto"/>
                <w:sz w:val="24"/>
                <w:lang w:val="en-US" w:eastAsia="zh-CN"/>
              </w:rPr>
              <w:t>COD、SS、</w:t>
            </w:r>
            <w:r>
              <w:rPr>
                <w:rFonts w:hint="eastAsia" w:ascii="Times New Roman" w:hAnsi="Times New Roman" w:cs="Times New Roman"/>
                <w:color w:val="auto"/>
                <w:sz w:val="24"/>
                <w:lang w:val="en-US" w:eastAsia="zh-CN"/>
              </w:rPr>
              <w:t>色度</w:t>
            </w:r>
            <w:r>
              <w:rPr>
                <w:rFonts w:hint="default" w:ascii="Times New Roman" w:hAnsi="Times New Roman" w:eastAsia="宋体" w:cs="Times New Roman"/>
                <w:color w:val="auto"/>
                <w:sz w:val="24"/>
                <w:lang w:val="en-US" w:eastAsia="zh-CN"/>
              </w:rPr>
              <w:t>、石油类</w:t>
            </w:r>
            <w:r>
              <w:rPr>
                <w:rFonts w:hint="default" w:ascii="Times New Roman" w:hAnsi="Times New Roman" w:eastAsia="宋体" w:cs="Times New Roman"/>
                <w:color w:val="auto"/>
                <w:sz w:val="24"/>
                <w:szCs w:val="24"/>
                <w:lang w:val="en-US" w:eastAsia="zh-CN"/>
              </w:rPr>
              <w:t>；冲洗废水</w:t>
            </w:r>
            <w:r>
              <w:rPr>
                <w:rFonts w:hint="eastAsia" w:cs="Times New Roman"/>
                <w:color w:val="auto"/>
                <w:sz w:val="24"/>
                <w:szCs w:val="24"/>
                <w:lang w:val="en-US" w:eastAsia="zh-CN"/>
              </w:rPr>
              <w:t>进入自建污水处理系统进行处理。</w:t>
            </w:r>
          </w:p>
          <w:p w14:paraId="62D64C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综上可知，</w:t>
            </w:r>
            <w:r>
              <w:rPr>
                <w:rFonts w:hint="eastAsia" w:cs="Times New Roman"/>
                <w:color w:val="auto"/>
                <w:sz w:val="24"/>
                <w:szCs w:val="24"/>
                <w:lang w:val="en-US" w:eastAsia="zh-CN"/>
              </w:rPr>
              <w:t>生产过程中，清洗废水产生量为20.15m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w:t>
            </w:r>
            <w:r>
              <w:rPr>
                <w:rFonts w:hint="eastAsia" w:cs="Times New Roman"/>
                <w:color w:val="auto"/>
                <w:sz w:val="24"/>
                <w:szCs w:val="24"/>
                <w:lang w:val="en-US" w:eastAsia="zh-CN"/>
              </w:rPr>
              <w:t>。</w:t>
            </w:r>
          </w:p>
          <w:p w14:paraId="2DDBDA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⑧产品用水</w:t>
            </w:r>
          </w:p>
          <w:p w14:paraId="39DD83A4">
            <w:pPr>
              <w:pStyle w:val="19"/>
              <w:keepNext w:val="0"/>
              <w:keepLines w:val="0"/>
              <w:pageBreakBefore w:val="0"/>
              <w:widowControl w:val="0"/>
              <w:suppressLineNumbers w:val="0"/>
              <w:kinsoku/>
              <w:wordWrap/>
              <w:overflowPunct/>
              <w:topLinePunct w:val="0"/>
              <w:autoSpaceDE/>
              <w:autoSpaceDN/>
              <w:bidi w:val="0"/>
              <w:snapToGrid w:val="0"/>
              <w:spacing w:before="0" w:beforeAutospacing="0" w:afterAutospacing="0" w:line="360" w:lineRule="auto"/>
              <w:ind w:left="0" w:leftChars="0" w:right="0" w:firstLine="480" w:firstLineChars="200"/>
              <w:textAlignment w:val="auto"/>
              <w:rPr>
                <w:rFonts w:hint="default"/>
                <w:lang w:val="en-US" w:eastAsia="zh-CN"/>
              </w:rPr>
            </w:pPr>
            <w:r>
              <w:rPr>
                <w:rFonts w:hint="eastAsia" w:cs="Times New Roman"/>
                <w:color w:val="auto"/>
                <w:sz w:val="24"/>
                <w:szCs w:val="24"/>
                <w:lang w:val="en-US" w:eastAsia="zh-CN"/>
              </w:rPr>
              <w:t>根据物料平衡，进入砂壁产品的水量为2400.51m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a，8.73m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d；进入乳胶漆的水量为26906.25m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a，107.625m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d。</w:t>
            </w:r>
          </w:p>
          <w:p w14:paraId="50F83E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⑨</w:t>
            </w:r>
            <w:r>
              <w:rPr>
                <w:rFonts w:hint="eastAsia" w:ascii="Times New Roman" w:hAnsi="Times New Roman" w:eastAsia="宋体" w:cs="Times New Roman"/>
                <w:b w:val="0"/>
                <w:bCs w:val="0"/>
                <w:color w:val="auto"/>
                <w:sz w:val="24"/>
                <w:szCs w:val="24"/>
                <w:lang w:val="en-US" w:eastAsia="zh-CN"/>
              </w:rPr>
              <w:t>初期雨水</w:t>
            </w:r>
          </w:p>
          <w:p w14:paraId="309567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项目厂区内设置1个容积为976m</w:t>
            </w:r>
            <w:r>
              <w:rPr>
                <w:rFonts w:hint="eastAsia"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w:t>
            </w:r>
            <w:r>
              <w:rPr>
                <w:rFonts w:hint="eastAsia" w:cs="Times New Roman"/>
                <w:color w:val="auto"/>
                <w:sz w:val="24"/>
                <w:szCs w:val="24"/>
                <w:lang w:val="en-US" w:eastAsia="zh-CN"/>
              </w:rPr>
              <w:t>初期雨水收集沉淀池，用于收集全厂初期雨水</w:t>
            </w:r>
            <w:r>
              <w:rPr>
                <w:rFonts w:hint="eastAsia" w:ascii="Times New Roman" w:hAnsi="Times New Roman" w:cs="Times New Roman"/>
                <w:color w:val="auto"/>
                <w:sz w:val="24"/>
                <w:lang w:val="en-US" w:eastAsia="zh-CN"/>
              </w:rPr>
              <w:t>。</w:t>
            </w:r>
          </w:p>
          <w:p w14:paraId="0AF8F112">
            <w:pPr>
              <w:pStyle w:val="10"/>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项目采用最大暴雨的前15分钟雨量为初期雨水量，</w:t>
            </w:r>
            <w:r>
              <w:rPr>
                <w:rFonts w:hint="eastAsia" w:ascii="Times New Roman" w:hAnsi="Times New Roman" w:cs="Times New Roman"/>
                <w:color w:val="auto"/>
                <w:sz w:val="24"/>
                <w:szCs w:val="24"/>
                <w:lang w:val="en-US" w:eastAsia="zh-CN"/>
              </w:rPr>
              <w:t>初期雨水量</w:t>
            </w:r>
            <w:r>
              <w:rPr>
                <w:rFonts w:hint="default" w:ascii="Times New Roman" w:hAnsi="Times New Roman" w:eastAsia="宋体" w:cs="Times New Roman"/>
                <w:color w:val="auto"/>
                <w:sz w:val="24"/>
                <w:szCs w:val="24"/>
              </w:rPr>
              <w:t>参照《建筑与小区雨水利用工程技术规范》（GB50400-2006）</w:t>
            </w:r>
            <w:r>
              <w:rPr>
                <w:rFonts w:hint="eastAsia" w:ascii="Times New Roman" w:hAnsi="Times New Roman" w:eastAsia="宋体" w:cs="Times New Roman"/>
                <w:color w:val="auto"/>
                <w:sz w:val="24"/>
                <w:szCs w:val="24"/>
                <w:lang w:val="en-US" w:eastAsia="zh-CN"/>
              </w:rPr>
              <w:t>公式计算</w:t>
            </w:r>
            <w:r>
              <w:rPr>
                <w:rFonts w:hint="default" w:ascii="Times New Roman" w:hAnsi="Times New Roman" w:eastAsia="宋体" w:cs="Times New Roman"/>
                <w:color w:val="auto"/>
                <w:sz w:val="24"/>
                <w:szCs w:val="24"/>
              </w:rPr>
              <w:t>，估算公式如下：</w:t>
            </w:r>
          </w:p>
          <w:p w14:paraId="397F879B">
            <w:pPr>
              <w:pStyle w:val="106"/>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481" w:leftChars="229" w:right="0" w:firstLine="2040" w:firstLineChars="85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Wi=S×Q×ψ×10</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×1/4</w:t>
            </w:r>
          </w:p>
          <w:p w14:paraId="70908A1D">
            <w:pPr>
              <w:pStyle w:val="106"/>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481" w:leftChars="229" w:right="0" w:firstLine="1560" w:firstLineChars="65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式中Wi——</w:t>
            </w:r>
            <w:r>
              <w:rPr>
                <w:rFonts w:hint="eastAsia" w:cs="Times New Roman"/>
                <w:color w:val="auto"/>
                <w:sz w:val="24"/>
                <w:szCs w:val="24"/>
                <w:lang w:val="en-US" w:eastAsia="zh-CN"/>
              </w:rPr>
              <w:t>地表径流量</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265C755D">
            <w:pPr>
              <w:pStyle w:val="106"/>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2640" w:firstLineChars="11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Q——降雨量（mm）</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rPr>
              <w:t>项目所在</w:t>
            </w:r>
            <w:r>
              <w:rPr>
                <w:rFonts w:hint="eastAsia" w:ascii="Times New Roman" w:hAnsi="Times New Roman" w:eastAsia="宋体" w:cs="Times New Roman"/>
                <w:color w:val="auto"/>
                <w:sz w:val="24"/>
                <w:lang w:val="en-US" w:eastAsia="zh-CN"/>
              </w:rPr>
              <w:t>富明县</w:t>
            </w:r>
            <w:r>
              <w:rPr>
                <w:rFonts w:hint="eastAsia" w:cs="Times New Roman"/>
                <w:color w:val="auto"/>
                <w:sz w:val="24"/>
                <w:szCs w:val="24"/>
                <w:lang w:eastAsia="zh-CN"/>
              </w:rPr>
              <w:t>小时最大暴雨量取</w:t>
            </w:r>
            <w:r>
              <w:rPr>
                <w:rFonts w:hint="eastAsia" w:cs="Times New Roman"/>
                <w:color w:val="auto"/>
                <w:sz w:val="24"/>
                <w:szCs w:val="24"/>
                <w:lang w:val="en-US" w:eastAsia="zh-CN"/>
              </w:rPr>
              <w:t>为46.5</w:t>
            </w:r>
            <w:r>
              <w:rPr>
                <w:rFonts w:hint="eastAsia" w:cs="Times New Roman"/>
                <w:color w:val="auto"/>
                <w:sz w:val="24"/>
                <w:szCs w:val="24"/>
                <w:lang w:eastAsia="zh-CN"/>
              </w:rPr>
              <w:t>mm</w:t>
            </w:r>
            <w:r>
              <w:rPr>
                <w:rFonts w:hint="eastAsia" w:cs="Times New Roman"/>
                <w:color w:val="auto"/>
                <w:sz w:val="24"/>
                <w:szCs w:val="24"/>
                <w:lang w:val="en-US" w:eastAsia="zh-CN"/>
              </w:rPr>
              <w:t>。</w:t>
            </w:r>
          </w:p>
          <w:p w14:paraId="3F30FFE3">
            <w:pPr>
              <w:pStyle w:val="106"/>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2640" w:firstLineChars="11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S——汇水面积（m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汇水面积约</w:t>
            </w:r>
            <w:r>
              <w:rPr>
                <w:rFonts w:hint="eastAsia" w:cs="Times New Roman"/>
                <w:color w:val="auto"/>
                <w:sz w:val="24"/>
                <w:szCs w:val="24"/>
                <w:lang w:val="en-US" w:eastAsia="zh-CN"/>
              </w:rPr>
              <w:t>20000</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2</w:t>
            </w:r>
          </w:p>
          <w:p w14:paraId="693E6B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rPr>
              <w:t>Ψ</w:t>
            </w:r>
            <w:r>
              <w:rPr>
                <w:rFonts w:hint="default" w:ascii="Times New Roman" w:hAnsi="Times New Roman" w:eastAsia="宋体" w:cs="Times New Roman"/>
                <w:color w:val="auto"/>
                <w:sz w:val="24"/>
                <w:szCs w:val="24"/>
                <w:lang w:eastAsia="zh-CN"/>
              </w:rPr>
              <w:t>——为径流系数（取</w:t>
            </w:r>
            <w:r>
              <w:rPr>
                <w:rFonts w:hint="default"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lang w:eastAsia="zh-CN"/>
              </w:rPr>
              <w:t>）</w:t>
            </w:r>
          </w:p>
          <w:p w14:paraId="08C8D6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snapToGrid w:val="0"/>
                <w:color w:val="auto"/>
                <w:kern w:val="0"/>
                <w:sz w:val="24"/>
                <w:szCs w:val="24"/>
                <w:lang w:eastAsia="zh-CN"/>
              </w:rPr>
            </w:pPr>
            <w:r>
              <w:rPr>
                <w:rFonts w:hint="default" w:ascii="Times New Roman" w:hAnsi="Times New Roman" w:eastAsia="宋体" w:cs="Times New Roman"/>
                <w:color w:val="auto"/>
                <w:sz w:val="24"/>
                <w:szCs w:val="24"/>
              </w:rPr>
              <w:t>根据以上计算方法计算项目</w:t>
            </w:r>
            <w:r>
              <w:rPr>
                <w:rFonts w:hint="eastAsia" w:cs="Times New Roman"/>
                <w:color w:val="auto"/>
                <w:sz w:val="24"/>
                <w:szCs w:val="24"/>
                <w:lang w:val="en-US" w:eastAsia="zh-CN"/>
              </w:rPr>
              <w:t>扩建后全厂</w:t>
            </w:r>
            <w:r>
              <w:rPr>
                <w:rFonts w:hint="default" w:ascii="Times New Roman" w:hAnsi="Times New Roman" w:eastAsia="宋体" w:cs="Times New Roman"/>
                <w:color w:val="auto"/>
                <w:sz w:val="24"/>
                <w:szCs w:val="24"/>
              </w:rPr>
              <w:t>区</w:t>
            </w:r>
            <w:r>
              <w:rPr>
                <w:rFonts w:hint="eastAsia" w:cs="Times New Roman"/>
                <w:color w:val="auto"/>
                <w:sz w:val="24"/>
                <w:szCs w:val="24"/>
                <w:lang w:val="en-US" w:eastAsia="zh-CN"/>
              </w:rPr>
              <w:t>初期雨水量</w:t>
            </w:r>
            <w:r>
              <w:rPr>
                <w:rFonts w:hint="default" w:ascii="Times New Roman" w:hAnsi="Times New Roman" w:eastAsia="宋体" w:cs="Times New Roman"/>
                <w:color w:val="auto"/>
                <w:sz w:val="24"/>
                <w:szCs w:val="24"/>
              </w:rPr>
              <w:t>为</w:t>
            </w:r>
            <w:r>
              <w:rPr>
                <w:rFonts w:hint="eastAsia" w:cs="Times New Roman"/>
                <w:color w:val="auto"/>
                <w:sz w:val="24"/>
                <w:szCs w:val="24"/>
                <w:lang w:val="en-US" w:eastAsia="zh-CN"/>
              </w:rPr>
              <w:t>209</w:t>
            </w:r>
            <w:r>
              <w:rPr>
                <w:rFonts w:hint="default" w:ascii="Times New Roman" w:hAnsi="Times New Roman" w:eastAsia="宋体" w:cs="Times New Roman"/>
                <w:color w:val="auto"/>
                <w:sz w:val="24"/>
                <w:szCs w:val="24"/>
              </w:rPr>
              <w:t>m³</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次</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4.77</w:t>
            </w:r>
            <w:r>
              <w:rPr>
                <w:rFonts w:hint="default" w:ascii="Times New Roman" w:hAnsi="Times New Roman" w:eastAsia="宋体" w:cs="Times New Roman"/>
                <w:color w:val="auto"/>
                <w:sz w:val="24"/>
                <w:szCs w:val="24"/>
              </w:rPr>
              <w:t>m³</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d、</w:t>
            </w:r>
            <w:r>
              <w:rPr>
                <w:rFonts w:hint="eastAsia" w:cs="Times New Roman"/>
                <w:color w:val="auto"/>
                <w:sz w:val="24"/>
                <w:szCs w:val="24"/>
                <w:lang w:val="en-US" w:eastAsia="zh-CN"/>
              </w:rPr>
              <w:t>1740</w:t>
            </w:r>
            <w:r>
              <w:rPr>
                <w:rFonts w:hint="default" w:ascii="Times New Roman" w:hAnsi="Times New Roman" w:eastAsia="宋体" w:cs="Times New Roman"/>
                <w:color w:val="auto"/>
                <w:sz w:val="24"/>
                <w:szCs w:val="24"/>
              </w:rPr>
              <w:t>m³</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雨天按</w:t>
            </w:r>
            <w:r>
              <w:rPr>
                <w:rFonts w:hint="eastAsia" w:ascii="Times New Roman" w:hAnsi="Times New Roman" w:eastAsia="宋体" w:cs="Times New Roman"/>
                <w:color w:val="auto"/>
                <w:sz w:val="24"/>
                <w:szCs w:val="24"/>
                <w:lang w:val="en-US" w:eastAsia="zh-CN"/>
              </w:rPr>
              <w:t>126</w:t>
            </w:r>
            <w:r>
              <w:rPr>
                <w:rFonts w:hint="default" w:ascii="Times New Roman" w:hAnsi="Times New Roman" w:eastAsia="宋体" w:cs="Times New Roman"/>
                <w:color w:val="auto"/>
                <w:sz w:val="24"/>
                <w:szCs w:val="24"/>
                <w:lang w:val="en-US" w:eastAsia="zh-CN"/>
              </w:rPr>
              <w:t>天计算</w:t>
            </w:r>
            <w:r>
              <w:rPr>
                <w:rFonts w:hint="eastAsia" w:cs="Times New Roman"/>
                <w:color w:val="auto"/>
                <w:sz w:val="24"/>
                <w:szCs w:val="24"/>
                <w:lang w:val="en-US" w:eastAsia="zh-CN"/>
              </w:rPr>
              <w:t>，考虑存在连续降雨天数，初期雨水收集次数按80次计</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p>
          <w:p w14:paraId="63FD0D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zh-CN"/>
              </w:rPr>
              <w:t>项目在</w:t>
            </w:r>
            <w:r>
              <w:rPr>
                <w:rFonts w:hint="eastAsia" w:cs="Times New Roman"/>
                <w:color w:val="auto"/>
                <w:sz w:val="24"/>
                <w:szCs w:val="24"/>
                <w:lang w:val="en-US" w:eastAsia="zh-CN"/>
              </w:rPr>
              <w:t>厂区南侧</w:t>
            </w:r>
            <w:r>
              <w:rPr>
                <w:rFonts w:hint="default" w:ascii="Times New Roman" w:hAnsi="Times New Roman" w:eastAsia="宋体" w:cs="Times New Roman"/>
                <w:color w:val="auto"/>
                <w:sz w:val="24"/>
                <w:szCs w:val="24"/>
                <w:lang w:val="zh-CN" w:eastAsia="zh-CN"/>
              </w:rPr>
              <w:t>建设</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个初期雨水</w:t>
            </w:r>
            <w:r>
              <w:rPr>
                <w:rFonts w:hint="default" w:ascii="Times New Roman" w:hAnsi="Times New Roman" w:eastAsia="宋体" w:cs="Times New Roman"/>
                <w:color w:val="auto"/>
                <w:sz w:val="24"/>
                <w:szCs w:val="24"/>
                <w:lang w:val="en-US" w:eastAsia="zh-CN"/>
              </w:rPr>
              <w:t>三级沉淀</w:t>
            </w:r>
            <w:r>
              <w:rPr>
                <w:rFonts w:hint="default" w:ascii="Times New Roman" w:hAnsi="Times New Roman" w:eastAsia="宋体" w:cs="Times New Roman"/>
                <w:color w:val="auto"/>
                <w:sz w:val="24"/>
                <w:szCs w:val="24"/>
                <w:lang w:val="zh-CN" w:eastAsia="zh-CN"/>
              </w:rPr>
              <w:t>池，</w:t>
            </w:r>
            <w:r>
              <w:rPr>
                <w:rFonts w:hint="default" w:ascii="Times New Roman" w:hAnsi="Times New Roman" w:eastAsia="宋体" w:cs="Times New Roman"/>
                <w:color w:val="auto"/>
                <w:sz w:val="24"/>
                <w:szCs w:val="24"/>
                <w:lang w:val="en-US" w:eastAsia="zh-CN"/>
              </w:rPr>
              <w:t>总容积约为</w:t>
            </w:r>
            <w:r>
              <w:rPr>
                <w:rFonts w:hint="eastAsia" w:ascii="Times New Roman" w:hAnsi="Times New Roman" w:eastAsia="宋体" w:cs="Times New Roman"/>
                <w:color w:val="auto"/>
                <w:sz w:val="24"/>
                <w:szCs w:val="24"/>
                <w:lang w:val="en-US" w:eastAsia="zh-CN"/>
              </w:rPr>
              <w:t>976</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lang w:val="zh-CN" w:eastAsia="zh-CN"/>
              </w:rPr>
              <w:t>设置控制阀门，前15min的初期雨水经</w:t>
            </w:r>
            <w:r>
              <w:rPr>
                <w:rFonts w:hint="eastAsia" w:cs="Times New Roman"/>
                <w:color w:val="auto"/>
                <w:sz w:val="24"/>
                <w:szCs w:val="24"/>
                <w:lang w:val="en-US" w:eastAsia="zh-CN"/>
              </w:rPr>
              <w:t>沉淀</w:t>
            </w:r>
            <w:r>
              <w:rPr>
                <w:rFonts w:hint="default" w:ascii="Times New Roman" w:hAnsi="Times New Roman" w:eastAsia="宋体" w:cs="Times New Roman"/>
                <w:color w:val="auto"/>
                <w:sz w:val="24"/>
                <w:szCs w:val="24"/>
                <w:lang w:val="zh-CN" w:eastAsia="zh-CN"/>
              </w:rPr>
              <w:t>后</w:t>
            </w:r>
            <w:r>
              <w:rPr>
                <w:rFonts w:hint="eastAsia" w:cs="Times New Roman"/>
                <w:color w:val="auto"/>
                <w:sz w:val="24"/>
                <w:szCs w:val="24"/>
                <w:lang w:val="en-US" w:eastAsia="zh-CN"/>
              </w:rPr>
              <w:t>排入园区污水管网，</w:t>
            </w:r>
            <w:r>
              <w:rPr>
                <w:rFonts w:hint="default" w:ascii="Times New Roman" w:hAnsi="Times New Roman" w:eastAsia="宋体" w:cs="Times New Roman"/>
                <w:color w:val="auto"/>
                <w:sz w:val="24"/>
                <w:szCs w:val="24"/>
                <w:lang w:val="zh-CN" w:eastAsia="zh-CN"/>
              </w:rPr>
              <w:t>15min</w:t>
            </w:r>
            <w:r>
              <w:rPr>
                <w:rFonts w:hint="eastAsia" w:ascii="Times New Roman" w:hAnsi="Times New Roman" w:eastAsia="宋体" w:cs="Times New Roman"/>
                <w:color w:val="auto"/>
                <w:sz w:val="24"/>
                <w:szCs w:val="24"/>
                <w:lang w:val="en-US" w:eastAsia="zh-CN"/>
              </w:rPr>
              <w:t>后的雨水进入园区雨水管网</w:t>
            </w:r>
            <w:r>
              <w:rPr>
                <w:rFonts w:hint="default" w:ascii="Times New Roman" w:hAnsi="Times New Roman" w:eastAsia="宋体" w:cs="Times New Roman"/>
                <w:color w:val="auto"/>
                <w:sz w:val="24"/>
                <w:szCs w:val="24"/>
                <w:vertAlign w:val="baseline"/>
                <w:lang w:eastAsia="zh-CN"/>
              </w:rPr>
              <w:t>。</w:t>
            </w:r>
          </w:p>
          <w:p w14:paraId="3F2B1B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本项目生活污水经隔油池</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化粪池预处理后，</w:t>
            </w:r>
            <w:r>
              <w:rPr>
                <w:rFonts w:hint="eastAsia" w:cs="Times New Roman"/>
                <w:color w:val="auto"/>
                <w:sz w:val="24"/>
                <w:szCs w:val="24"/>
                <w:lang w:val="en-US" w:eastAsia="zh-CN"/>
              </w:rPr>
              <w:t>同生产</w:t>
            </w:r>
            <w:r>
              <w:rPr>
                <w:rFonts w:hint="eastAsia" w:ascii="Times New Roman" w:hAnsi="Times New Roman" w:eastAsia="宋体" w:cs="Times New Roman"/>
                <w:color w:val="auto"/>
                <w:sz w:val="24"/>
                <w:szCs w:val="24"/>
                <w:lang w:val="en-US" w:eastAsia="zh-CN"/>
              </w:rPr>
              <w:t>废水一同进入自建的污水处理系统进行处理</w:t>
            </w:r>
            <w:r>
              <w:rPr>
                <w:rFonts w:hint="eastAsia" w:cs="Times New Roman"/>
                <w:color w:val="auto"/>
                <w:sz w:val="24"/>
                <w:szCs w:val="24"/>
                <w:lang w:val="en-US" w:eastAsia="zh-CN"/>
              </w:rPr>
              <w:t>，处理达《污水排入城镇下水道水质标准》（GB/T131962-2015）表1中A级标准后进入园区污水管网。</w:t>
            </w:r>
            <w:r>
              <w:rPr>
                <w:rFonts w:hint="default" w:ascii="Times New Roman" w:hAnsi="Times New Roman" w:eastAsia="宋体" w:cs="Times New Roman"/>
                <w:color w:val="auto"/>
                <w:sz w:val="24"/>
                <w:szCs w:val="24"/>
                <w:lang w:val="en-US" w:eastAsia="zh-CN"/>
              </w:rPr>
              <w:t>项目水量平衡详见图2-4。</w:t>
            </w:r>
          </w:p>
          <w:p w14:paraId="7DD175ED">
            <w:pPr>
              <w:pStyle w:val="12"/>
              <w:keepNext w:val="0"/>
              <w:keepLines w:val="0"/>
              <w:suppressLineNumbers w:val="0"/>
              <w:spacing w:beforeAutospacing="0" w:afterAutospacing="0"/>
              <w:ind w:left="0"/>
              <w:rPr>
                <w:rFonts w:hint="default"/>
                <w:lang w:val="en-US" w:eastAsia="zh-CN"/>
              </w:rPr>
            </w:pPr>
            <w:r>
              <w:rPr>
                <w:rFonts w:hint="default"/>
                <w:lang w:val="en-US" w:eastAsia="zh-CN"/>
              </w:rPr>
              <w:object>
                <v:shape id="_x0000_i1025" o:spt="75" type="#_x0000_t75" style="height:421.55pt;width:343.1pt;" o:ole="t" filled="f" o:preferrelative="t" stroked="f" coordsize="21600,21600">
                  <v:path/>
                  <v:fill on="f" focussize="0,0"/>
                  <v:stroke on="f"/>
                  <v:imagedata r:id="rId24" o:title=""/>
                  <o:lock v:ext="edit" aspectratio="f"/>
                  <w10:wrap type="none"/>
                  <w10:anchorlock/>
                </v:shape>
                <o:OLEObject Type="Embed" ProgID="Visio.Drawing.15" ShapeID="_x0000_i1025" DrawAspect="Content" ObjectID="_1468075725" r:id="rId23">
                  <o:LockedField>false</o:LockedField>
                </o:OLEObject>
              </w:object>
            </w:r>
          </w:p>
          <w:p w14:paraId="385EFB75">
            <w:pPr>
              <w:pStyle w:val="37"/>
              <w:keepNext/>
              <w:keepLines/>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textAlignment w:val="auto"/>
              <w:rPr>
                <w:rFonts w:hint="default" w:ascii="Times New Roman" w:hAnsi="Times New Roman" w:eastAsia="宋体" w:cs="Times New Roman"/>
                <w:color w:val="auto"/>
                <w:sz w:val="24"/>
                <w:szCs w:val="24"/>
                <w:lang w:val="en-US" w:eastAsia="zh-CN"/>
              </w:rPr>
            </w:pPr>
            <w:r>
              <w:rPr>
                <w:rFonts w:hint="eastAsia" w:hAnsi="Times New Roman" w:cs="Times New Roman"/>
                <w:b/>
                <w:bCs/>
                <w:color w:val="auto"/>
                <w:sz w:val="21"/>
                <w:szCs w:val="24"/>
                <w:lang w:eastAsia="zh-CN"/>
              </w:rPr>
              <w:t>图</w:t>
            </w:r>
            <w:r>
              <w:rPr>
                <w:rFonts w:hint="default" w:ascii="Times New Roman" w:hAnsi="Times New Roman" w:eastAsia="宋体" w:cs="Times New Roman"/>
                <w:b/>
                <w:bCs/>
                <w:color w:val="auto"/>
                <w:sz w:val="21"/>
                <w:szCs w:val="24"/>
                <w:lang w:val="en-US" w:eastAsia="zh-CN"/>
              </w:rPr>
              <w:t>2</w:t>
            </w:r>
            <w:r>
              <w:rPr>
                <w:rFonts w:hint="default" w:ascii="Times New Roman" w:hAnsi="Times New Roman" w:eastAsia="宋体" w:cs="Times New Roman"/>
                <w:b/>
                <w:bCs/>
                <w:color w:val="auto"/>
                <w:sz w:val="21"/>
                <w:szCs w:val="24"/>
              </w:rPr>
              <w:t>-</w:t>
            </w:r>
            <w:r>
              <w:rPr>
                <w:rFonts w:hint="eastAsia" w:hAnsi="Times New Roman" w:cs="Times New Roman"/>
                <w:b/>
                <w:bCs/>
                <w:color w:val="auto"/>
                <w:sz w:val="21"/>
                <w:szCs w:val="24"/>
                <w:lang w:val="en-US" w:eastAsia="zh-CN"/>
              </w:rPr>
              <w:t>1</w:t>
            </w:r>
            <w:r>
              <w:rPr>
                <w:rFonts w:hint="default" w:ascii="Times New Roman" w:hAnsi="Times New Roman" w:eastAsia="宋体" w:cs="Times New Roman"/>
                <w:b/>
                <w:bCs/>
                <w:color w:val="auto"/>
                <w:sz w:val="21"/>
                <w:szCs w:val="24"/>
                <w:lang w:val="en-US" w:eastAsia="zh-CN"/>
              </w:rPr>
              <w:t xml:space="preserve"> </w:t>
            </w:r>
            <w:r>
              <w:rPr>
                <w:rFonts w:hint="default" w:ascii="Times New Roman" w:hAnsi="Times New Roman" w:eastAsia="宋体" w:cs="Times New Roman"/>
                <w:b/>
                <w:bCs/>
                <w:color w:val="auto"/>
                <w:sz w:val="21"/>
                <w:szCs w:val="24"/>
              </w:rPr>
              <w:t xml:space="preserve"> </w:t>
            </w:r>
            <w:r>
              <w:rPr>
                <w:rFonts w:hint="eastAsia" w:cs="Times New Roman"/>
                <w:b/>
                <w:bCs/>
                <w:color w:val="auto"/>
                <w:sz w:val="21"/>
                <w:szCs w:val="24"/>
                <w:lang w:eastAsia="zh-CN"/>
              </w:rPr>
              <w:t>厂区</w:t>
            </w:r>
            <w:r>
              <w:rPr>
                <w:rFonts w:hint="default" w:ascii="Times New Roman" w:hAnsi="Times New Roman" w:eastAsia="宋体" w:cs="Times New Roman"/>
                <w:b/>
                <w:bCs/>
                <w:color w:val="auto"/>
                <w:sz w:val="21"/>
                <w:szCs w:val="24"/>
              </w:rPr>
              <w:t>水平衡图</w:t>
            </w:r>
            <w:r>
              <w:rPr>
                <w:rFonts w:hint="eastAsia" w:cs="Times New Roman"/>
                <w:b/>
                <w:bCs/>
                <w:color w:val="auto"/>
                <w:sz w:val="21"/>
                <w:szCs w:val="24"/>
                <w:lang w:val="en-US" w:eastAsia="zh-CN"/>
              </w:rPr>
              <w:t xml:space="preserve">   单位：m</w:t>
            </w:r>
            <w:r>
              <w:rPr>
                <w:rFonts w:hint="eastAsia" w:cs="Times New Roman"/>
                <w:b/>
                <w:bCs/>
                <w:color w:val="auto"/>
                <w:sz w:val="21"/>
                <w:szCs w:val="24"/>
                <w:vertAlign w:val="superscript"/>
                <w:lang w:val="en-US" w:eastAsia="zh-CN"/>
              </w:rPr>
              <w:t>3</w:t>
            </w:r>
            <w:r>
              <w:rPr>
                <w:rFonts w:hint="eastAsia" w:ascii="Times New Roman" w:hAnsi="Times New Roman" w:eastAsia="宋体" w:cs="Times New Roman"/>
                <w:b/>
                <w:bCs/>
                <w:color w:val="auto"/>
                <w:sz w:val="21"/>
                <w:szCs w:val="24"/>
                <w:lang w:val="en-US" w:eastAsia="zh-CN"/>
              </w:rPr>
              <w:t xml:space="preserve">/d  </w:t>
            </w:r>
          </w:p>
        </w:tc>
      </w:tr>
      <w:tr w14:paraId="7B307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0" w:hRule="atLeast"/>
          <w:jc w:val="center"/>
        </w:trPr>
        <w:tc>
          <w:tcPr>
            <w:tcW w:w="448" w:type="dxa"/>
            <w:noWrap w:val="0"/>
            <w:vAlign w:val="center"/>
          </w:tcPr>
          <w:p w14:paraId="702A3D70">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工艺流程和产排污环节</w:t>
            </w:r>
          </w:p>
        </w:tc>
        <w:tc>
          <w:tcPr>
            <w:tcW w:w="8612" w:type="dxa"/>
            <w:noWrap w:val="0"/>
            <w:vAlign w:val="top"/>
          </w:tcPr>
          <w:p w14:paraId="697D15C1">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主要流程简述（图示）：</w:t>
            </w:r>
          </w:p>
          <w:p w14:paraId="54A23013">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一、施工期工艺流程</w:t>
            </w:r>
          </w:p>
          <w:p w14:paraId="7633A5F6">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1、工艺流程简述</w:t>
            </w:r>
          </w:p>
          <w:p w14:paraId="21B3F2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w:t>
            </w:r>
            <w:r>
              <w:rPr>
                <w:rFonts w:hint="eastAsia" w:cs="Times New Roman"/>
                <w:color w:val="auto"/>
                <w:sz w:val="24"/>
                <w:szCs w:val="24"/>
                <w:lang w:eastAsia="zh-CN"/>
              </w:rPr>
              <w:t>为扩建项目，</w:t>
            </w:r>
            <w:r>
              <w:rPr>
                <w:rFonts w:hint="eastAsia" w:cs="Times New Roman"/>
                <w:color w:val="auto"/>
                <w:sz w:val="24"/>
                <w:szCs w:val="24"/>
                <w:lang w:val="en-US" w:eastAsia="zh-CN"/>
              </w:rPr>
              <w:t>依托</w:t>
            </w:r>
            <w:r>
              <w:rPr>
                <w:rFonts w:hint="eastAsia" w:ascii="Times New Roman" w:hAnsi="Times New Roman" w:eastAsia="宋体" w:cs="Times New Roman"/>
                <w:color w:val="auto"/>
                <w:sz w:val="24"/>
                <w:szCs w:val="24"/>
                <w:lang w:val="en-US" w:eastAsia="zh-CN"/>
              </w:rPr>
              <w:t>原有生产线进行扩建，</w:t>
            </w:r>
            <w:r>
              <w:rPr>
                <w:rFonts w:hint="default" w:ascii="Times New Roman" w:hAnsi="Times New Roman" w:eastAsia="宋体" w:cs="Times New Roman"/>
                <w:color w:val="auto"/>
                <w:sz w:val="24"/>
                <w:szCs w:val="24"/>
                <w:lang w:val="en-US" w:eastAsia="zh-CN"/>
              </w:rPr>
              <w:t>主体建筑均已建成，施工期主要进行生产线技术改进，设备更新、设备增加</w:t>
            </w:r>
            <w:r>
              <w:rPr>
                <w:rFonts w:hint="eastAsia" w:ascii="Times New Roman" w:hAnsi="Times New Roman" w:eastAsia="宋体" w:cs="Times New Roman"/>
                <w:color w:val="auto"/>
                <w:sz w:val="24"/>
                <w:szCs w:val="24"/>
                <w:lang w:val="en-US" w:eastAsia="zh-CN"/>
              </w:rPr>
              <w:t>、环保设施完善</w:t>
            </w:r>
            <w:r>
              <w:rPr>
                <w:rFonts w:hint="default" w:ascii="Times New Roman" w:hAnsi="Times New Roman" w:eastAsia="宋体" w:cs="Times New Roman"/>
                <w:color w:val="auto"/>
                <w:sz w:val="24"/>
                <w:szCs w:val="24"/>
                <w:lang w:val="en-US" w:eastAsia="zh-CN"/>
              </w:rPr>
              <w:t>等。</w:t>
            </w:r>
          </w:p>
          <w:p w14:paraId="21CDAB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项目施工期施工人员为</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人，聘用当地居民进行施工，项目区不设施工营地，施工人员不在项目区食宿</w:t>
            </w:r>
            <w:r>
              <w:rPr>
                <w:rFonts w:hint="default" w:ascii="Times New Roman" w:hAnsi="Times New Roman" w:eastAsia="宋体" w:cs="Times New Roman"/>
                <w:color w:val="auto"/>
                <w:sz w:val="24"/>
                <w:szCs w:val="24"/>
              </w:rPr>
              <w:t>。</w:t>
            </w:r>
          </w:p>
          <w:p w14:paraId="0B4F5304">
            <w:pPr>
              <w:pStyle w:val="19"/>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420" w:leftChars="200" w:right="0" w:firstLine="0" w:firstLine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项目施工期工艺流程图</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p w14:paraId="21E531E7">
            <w:pPr>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6" o:spt="75" type="#_x0000_t75" style="height:82.4pt;width:338.75pt;" o:ole="t" filled="f" o:preferrelative="t" stroked="f" coordsize="21600,21600">
                  <v:path/>
                  <v:fill on="f" focussize="0,0"/>
                  <v:stroke on="f"/>
                  <v:imagedata r:id="rId26" o:title=""/>
                  <o:lock v:ext="edit" aspectratio="t"/>
                  <w10:wrap type="none"/>
                  <w10:anchorlock/>
                </v:shape>
                <o:OLEObject Type="Embed" ProgID="Visio.Drawing.11" ShapeID="_x0000_i1026" DrawAspect="Content" ObjectID="_1468075726" r:id="rId25">
                  <o:LockedField>false</o:LockedField>
                </o:OLEObject>
              </w:object>
            </w:r>
          </w:p>
          <w:p w14:paraId="10DABBEF">
            <w:pPr>
              <w:pStyle w:val="1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2"/>
                <w:szCs w:val="22"/>
              </w:rPr>
              <w:t>图</w:t>
            </w:r>
            <w:r>
              <w:rPr>
                <w:rFonts w:hint="default" w:ascii="Times New Roman" w:hAnsi="Times New Roman" w:eastAsia="宋体" w:cs="Times New Roman"/>
                <w:b/>
                <w:bCs/>
                <w:color w:val="auto"/>
                <w:sz w:val="22"/>
                <w:szCs w:val="22"/>
                <w:lang w:val="en-US" w:eastAsia="zh-CN"/>
              </w:rPr>
              <w:t>2-</w:t>
            </w:r>
            <w:r>
              <w:rPr>
                <w:rFonts w:hint="eastAsia" w:ascii="Times New Roman" w:hAnsi="Times New Roman" w:cs="Times New Roman"/>
                <w:b/>
                <w:bCs/>
                <w:color w:val="auto"/>
                <w:sz w:val="22"/>
                <w:szCs w:val="22"/>
                <w:lang w:val="en-US" w:eastAsia="zh-CN"/>
              </w:rPr>
              <w:t>2</w:t>
            </w:r>
            <w:r>
              <w:rPr>
                <w:rFonts w:hint="default" w:ascii="Times New Roman" w:hAnsi="Times New Roman" w:eastAsia="宋体" w:cs="Times New Roman"/>
                <w:b/>
                <w:bCs/>
                <w:color w:val="auto"/>
                <w:sz w:val="22"/>
                <w:szCs w:val="22"/>
              </w:rPr>
              <w:t xml:space="preserve">  施工</w:t>
            </w:r>
            <w:r>
              <w:rPr>
                <w:rFonts w:hint="default" w:ascii="Times New Roman" w:hAnsi="Times New Roman" w:eastAsia="宋体" w:cs="Times New Roman"/>
                <w:b/>
                <w:bCs/>
                <w:color w:val="auto"/>
                <w:sz w:val="22"/>
                <w:szCs w:val="22"/>
                <w:lang w:eastAsia="zh-CN"/>
              </w:rPr>
              <w:t>期工艺</w:t>
            </w:r>
            <w:r>
              <w:rPr>
                <w:rFonts w:hint="default" w:ascii="Times New Roman" w:hAnsi="Times New Roman" w:eastAsia="宋体" w:cs="Times New Roman"/>
                <w:b/>
                <w:bCs/>
                <w:color w:val="auto"/>
                <w:sz w:val="22"/>
                <w:szCs w:val="22"/>
              </w:rPr>
              <w:t>流程图</w:t>
            </w:r>
          </w:p>
          <w:p w14:paraId="1EFD333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baseline"/>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2、施工期产污环节简介</w:t>
            </w:r>
          </w:p>
          <w:p w14:paraId="0D0AB9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项目施工期主要在现有厂房内进行设备的安装及环保工程建设，主要产生的污染物为施工废水、扬尘、固废、噪声等。</w:t>
            </w:r>
          </w:p>
          <w:p w14:paraId="289EA8E9">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二、运营期工艺流程</w:t>
            </w:r>
          </w:p>
          <w:p w14:paraId="27D73391">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rPr>
            </w:pPr>
            <w:r>
              <w:rPr>
                <w:rFonts w:hint="eastAsia" w:cs="Times New Roman"/>
                <w:color w:val="auto"/>
                <w:lang w:eastAsia="zh-CN"/>
              </w:rPr>
              <w:t>厂区内共</w:t>
            </w:r>
            <w:r>
              <w:rPr>
                <w:rFonts w:hint="eastAsia" w:cs="Times New Roman"/>
                <w:color w:val="auto"/>
                <w:lang w:val="en-US" w:eastAsia="zh-CN"/>
              </w:rPr>
              <w:t>设置</w:t>
            </w:r>
            <w:r>
              <w:rPr>
                <w:rFonts w:hint="eastAsia" w:cs="Times New Roman"/>
                <w:color w:val="auto"/>
                <w:lang w:eastAsia="zh-CN"/>
              </w:rPr>
              <w:t>有</w:t>
            </w:r>
            <w:r>
              <w:rPr>
                <w:rFonts w:hint="eastAsia" w:cs="Times New Roman"/>
                <w:color w:val="auto"/>
                <w:lang w:val="en-US" w:eastAsia="zh-CN"/>
              </w:rPr>
              <w:t>5</w:t>
            </w:r>
            <w:r>
              <w:rPr>
                <w:rFonts w:hint="default" w:ascii="Times New Roman" w:hAnsi="Times New Roman" w:eastAsia="宋体" w:cs="Times New Roman"/>
                <w:color w:val="auto"/>
              </w:rPr>
              <w:t>条生产线（</w:t>
            </w:r>
            <w:r>
              <w:rPr>
                <w:rFonts w:hint="eastAsia" w:cs="Times New Roman"/>
                <w:color w:val="auto"/>
                <w:lang w:val="en-US" w:eastAsia="zh-CN"/>
              </w:rPr>
              <w:t>2</w:t>
            </w:r>
            <w:r>
              <w:rPr>
                <w:rFonts w:hint="default" w:ascii="Times New Roman" w:hAnsi="Times New Roman" w:eastAsia="宋体" w:cs="Times New Roman"/>
                <w:color w:val="auto"/>
              </w:rPr>
              <w:t>条</w:t>
            </w:r>
            <w:r>
              <w:rPr>
                <w:rFonts w:hint="eastAsia" w:cs="Times New Roman"/>
                <w:color w:val="auto"/>
                <w:lang w:eastAsia="zh-CN"/>
              </w:rPr>
              <w:t>乳胶漆</w:t>
            </w:r>
            <w:r>
              <w:rPr>
                <w:rFonts w:hint="default" w:ascii="Times New Roman" w:hAnsi="Times New Roman" w:eastAsia="宋体" w:cs="Times New Roman"/>
                <w:color w:val="auto"/>
              </w:rPr>
              <w:t>生产线、1条</w:t>
            </w:r>
            <w:r>
              <w:rPr>
                <w:rFonts w:hint="eastAsia" w:cs="Times New Roman"/>
                <w:color w:val="auto"/>
                <w:lang w:eastAsia="zh-CN"/>
              </w:rPr>
              <w:t>砂壁产品</w:t>
            </w:r>
            <w:r>
              <w:rPr>
                <w:rFonts w:hint="default" w:ascii="Times New Roman" w:hAnsi="Times New Roman" w:eastAsia="宋体" w:cs="Times New Roman"/>
                <w:color w:val="auto"/>
              </w:rPr>
              <w:t>生产线、</w:t>
            </w:r>
            <w:r>
              <w:rPr>
                <w:rFonts w:hint="eastAsia" w:cs="Times New Roman"/>
                <w:color w:val="auto"/>
                <w:lang w:val="en-US" w:eastAsia="zh-CN"/>
              </w:rPr>
              <w:t>2</w:t>
            </w:r>
            <w:r>
              <w:rPr>
                <w:rFonts w:hint="eastAsia" w:cs="Times New Roman"/>
                <w:color w:val="auto"/>
                <w:lang w:eastAsia="zh-CN"/>
              </w:rPr>
              <w:t>腻子粉</w:t>
            </w:r>
            <w:r>
              <w:rPr>
                <w:rFonts w:hint="default" w:ascii="Times New Roman" w:hAnsi="Times New Roman" w:eastAsia="宋体" w:cs="Times New Roman"/>
                <w:color w:val="auto"/>
              </w:rPr>
              <w:t>生产线），年产</w:t>
            </w:r>
            <w:r>
              <w:rPr>
                <w:rFonts w:hint="eastAsia" w:cs="Times New Roman"/>
                <w:color w:val="auto"/>
                <w:lang w:eastAsia="zh-CN"/>
              </w:rPr>
              <w:t>乳胶漆</w:t>
            </w:r>
            <w:r>
              <w:rPr>
                <w:rFonts w:hint="eastAsia" w:cs="Times New Roman"/>
                <w:color w:val="auto"/>
                <w:lang w:val="en-US" w:eastAsia="zh-CN"/>
              </w:rPr>
              <w:t>75000</w:t>
            </w:r>
            <w:r>
              <w:rPr>
                <w:rFonts w:hint="default" w:ascii="Times New Roman" w:hAnsi="Times New Roman" w:eastAsia="宋体" w:cs="Times New Roman"/>
                <w:color w:val="auto"/>
              </w:rPr>
              <w:t>吨、</w:t>
            </w:r>
            <w:r>
              <w:rPr>
                <w:rFonts w:hint="eastAsia" w:cs="Times New Roman"/>
                <w:color w:val="auto"/>
                <w:lang w:eastAsia="zh-CN"/>
              </w:rPr>
              <w:t>砂壁产品</w:t>
            </w: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00</w:t>
            </w:r>
            <w:r>
              <w:rPr>
                <w:rFonts w:hint="eastAsia" w:cs="Times New Roman"/>
                <w:color w:val="auto"/>
                <w:lang w:val="en-US" w:eastAsia="zh-CN"/>
              </w:rPr>
              <w:t>0</w:t>
            </w:r>
            <w:r>
              <w:rPr>
                <w:rFonts w:hint="default" w:ascii="Times New Roman" w:hAnsi="Times New Roman" w:eastAsia="宋体" w:cs="Times New Roman"/>
                <w:color w:val="auto"/>
              </w:rPr>
              <w:t>吨、</w:t>
            </w:r>
            <w:r>
              <w:rPr>
                <w:rFonts w:hint="eastAsia" w:cs="Times New Roman"/>
                <w:color w:val="auto"/>
                <w:lang w:eastAsia="zh-CN"/>
              </w:rPr>
              <w:t>腻子粉</w:t>
            </w:r>
            <w:r>
              <w:rPr>
                <w:rFonts w:hint="eastAsia" w:cs="Times New Roman"/>
                <w:color w:val="auto"/>
                <w:lang w:val="en-US" w:eastAsia="zh-CN"/>
              </w:rPr>
              <w:t>120000</w:t>
            </w:r>
            <w:r>
              <w:rPr>
                <w:rFonts w:hint="default" w:ascii="Times New Roman" w:hAnsi="Times New Roman" w:eastAsia="宋体" w:cs="Times New Roman"/>
                <w:color w:val="auto"/>
              </w:rPr>
              <w:t>吨。</w:t>
            </w:r>
          </w:p>
          <w:p w14:paraId="47853B8C">
            <w:pPr>
              <w:pStyle w:val="69"/>
              <w:keepNext w:val="0"/>
              <w:keepLines w:val="0"/>
              <w:pageBreakBefore w:val="0"/>
              <w:widowControl w:val="0"/>
              <w:suppressLineNumbers w:val="0"/>
              <w:kinsoku/>
              <w:wordWrap/>
              <w:overflowPunct/>
              <w:topLinePunct w:val="0"/>
              <w:bidi w:val="0"/>
              <w:adjustRightInd/>
              <w:snapToGrid w:val="0"/>
              <w:spacing w:before="0" w:beforeAutospacing="0" w:after="0" w:afterAutospacing="0"/>
              <w:ind w:left="0" w:right="0"/>
              <w:textAlignment w:val="auto"/>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1、</w:t>
            </w:r>
            <w:r>
              <w:rPr>
                <w:rFonts w:hint="eastAsia" w:cs="Times New Roman"/>
                <w:b/>
                <w:bCs/>
                <w:color w:val="auto"/>
                <w:spacing w:val="0"/>
                <w:w w:val="100"/>
                <w:position w:val="0"/>
                <w:sz w:val="24"/>
                <w:szCs w:val="24"/>
                <w:highlight w:val="none"/>
                <w:lang w:val="en-US" w:eastAsia="zh-CN"/>
              </w:rPr>
              <w:t>乳胶漆</w:t>
            </w:r>
            <w:r>
              <w:rPr>
                <w:rFonts w:hint="default" w:ascii="Times New Roman" w:hAnsi="Times New Roman" w:eastAsia="宋体" w:cs="Times New Roman"/>
                <w:b/>
                <w:bCs/>
                <w:color w:val="auto"/>
                <w:spacing w:val="0"/>
                <w:w w:val="100"/>
                <w:position w:val="0"/>
                <w:sz w:val="24"/>
                <w:szCs w:val="24"/>
                <w:highlight w:val="none"/>
                <w:lang w:val="en-US" w:eastAsia="zh-CN"/>
              </w:rPr>
              <w:t>生产工艺</w:t>
            </w:r>
          </w:p>
          <w:p w14:paraId="35A03901">
            <w:pPr>
              <w:pStyle w:val="82"/>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Chars="200"/>
              <w:jc w:val="left"/>
              <w:textAlignment w:val="auto"/>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①</w:t>
            </w:r>
            <w:r>
              <w:rPr>
                <w:rFonts w:hint="default" w:ascii="Times New Roman" w:hAnsi="Times New Roman" w:eastAsia="宋体" w:cs="Times New Roman"/>
                <w:b w:val="0"/>
                <w:bCs w:val="0"/>
                <w:color w:val="auto"/>
                <w:sz w:val="24"/>
                <w:vertAlign w:val="baseline"/>
                <w:lang w:val="en-US" w:eastAsia="zh-CN"/>
              </w:rPr>
              <w:t>原材料检验</w:t>
            </w:r>
          </w:p>
          <w:p w14:paraId="5154A69E">
            <w:pPr>
              <w:pStyle w:val="82"/>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Chars="200"/>
              <w:jc w:val="left"/>
              <w:textAlignment w:val="auto"/>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对原材料进行投料前的检验，保证投入的原料符合生产要求。</w:t>
            </w:r>
          </w:p>
          <w:p w14:paraId="2E458E44">
            <w:pPr>
              <w:pStyle w:val="82"/>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Chars="200"/>
              <w:jc w:val="left"/>
              <w:textAlignment w:val="auto"/>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②</w:t>
            </w:r>
            <w:r>
              <w:rPr>
                <w:rFonts w:hint="default" w:ascii="Times New Roman" w:hAnsi="Times New Roman" w:eastAsia="宋体" w:cs="Times New Roman"/>
                <w:b w:val="0"/>
                <w:bCs w:val="0"/>
                <w:color w:val="auto"/>
                <w:sz w:val="24"/>
                <w:vertAlign w:val="baseline"/>
                <w:lang w:val="en-US" w:eastAsia="zh-CN"/>
              </w:rPr>
              <w:t>上料</w:t>
            </w:r>
          </w:p>
          <w:p w14:paraId="76845A10">
            <w:pPr>
              <w:pStyle w:val="82"/>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Chars="200"/>
              <w:jc w:val="left"/>
              <w:textAlignment w:val="auto"/>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自来水经过过滤器过滤后，用泵抽至储水罐中；增稠剂、分散剂用泵抽至助剂罐中；醋丙乳液、苯丙乳液用泵抽至乳液罐中；碳酸钙、钛白粉、高岭土人工加入漏斗形的投料糟中；</w:t>
            </w:r>
          </w:p>
          <w:p w14:paraId="5F9A5C55">
            <w:pPr>
              <w:pStyle w:val="82"/>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Chars="200"/>
              <w:jc w:val="left"/>
              <w:textAlignment w:val="auto"/>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③</w:t>
            </w:r>
            <w:r>
              <w:rPr>
                <w:rFonts w:hint="default" w:ascii="Times New Roman" w:hAnsi="Times New Roman" w:eastAsia="宋体" w:cs="Times New Roman"/>
                <w:b w:val="0"/>
                <w:bCs w:val="0"/>
                <w:color w:val="auto"/>
                <w:sz w:val="24"/>
                <w:vertAlign w:val="baseline"/>
                <w:lang w:val="en-US" w:eastAsia="zh-CN"/>
              </w:rPr>
              <w:t>预混</w:t>
            </w:r>
          </w:p>
          <w:p w14:paraId="73009C1A">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预混/分散工艺过程在预混缸中根据不同产品品牌进行不同配方的预混。首先将储水罐中的水用泵抽至称量罐，按照配方称量后，进入预混罐，预混罐开启搅拌；将增稠剂、分散剂用泵抽至称重罐，称量后加入预混罐；预混罐开始高速搅拌，抽风机从粉料投料槽下部将碳酸钙、钛白粉、高岭土吸入预混罐，高速搅拌分散15分钟；</w:t>
            </w:r>
          </w:p>
          <w:p w14:paraId="47332196">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④</w:t>
            </w:r>
            <w:r>
              <w:rPr>
                <w:rFonts w:hint="default" w:ascii="Times New Roman" w:hAnsi="Times New Roman" w:eastAsia="宋体" w:cs="Times New Roman"/>
                <w:b w:val="0"/>
                <w:bCs w:val="0"/>
                <w:color w:val="auto"/>
                <w:sz w:val="24"/>
                <w:vertAlign w:val="baseline"/>
                <w:lang w:val="en-US" w:eastAsia="zh-CN"/>
              </w:rPr>
              <w:t>调稀</w:t>
            </w:r>
          </w:p>
          <w:p w14:paraId="3A65C778">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预混后，经检测，合格的预混浆用泵抽至调稀罐，开启调稀搅拌；将醋丙乳液、苯丙乳液罐中的乳液用泵抽至称量罐，按照配方称量后，进入调稀罐；将消泡剂、成膜剂、调稀水用泵抽至称量罐，称量后进入调稀罐；调稀罐低速搅拌10分钟；</w:t>
            </w:r>
          </w:p>
          <w:p w14:paraId="37741591">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⑤</w:t>
            </w:r>
            <w:r>
              <w:rPr>
                <w:rFonts w:hint="default" w:ascii="Times New Roman" w:hAnsi="Times New Roman" w:eastAsia="宋体" w:cs="Times New Roman"/>
                <w:b w:val="0"/>
                <w:bCs w:val="0"/>
                <w:color w:val="auto"/>
                <w:sz w:val="24"/>
                <w:vertAlign w:val="baseline"/>
                <w:lang w:val="en-US" w:eastAsia="zh-CN"/>
              </w:rPr>
              <w:t>过滤</w:t>
            </w:r>
          </w:p>
          <w:p w14:paraId="477ED0C4">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调稀后，经检测，合格的调稀浆通过缸底底阀进入成品过滤器，经过过滤器过滤后，过隔膜泵，进入到包装机进行罐装，送入不同包装机进行包装后进入产品库区存放。过滤器过滤出来的一些未搅拌完全的颗粒产品，返回搅拌工序。</w:t>
            </w:r>
          </w:p>
          <w:p w14:paraId="5DD29AC7">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⑥</w:t>
            </w:r>
            <w:r>
              <w:rPr>
                <w:rFonts w:hint="default" w:ascii="Times New Roman" w:hAnsi="Times New Roman" w:eastAsia="宋体" w:cs="Times New Roman"/>
                <w:b w:val="0"/>
                <w:bCs w:val="0"/>
                <w:color w:val="auto"/>
                <w:sz w:val="24"/>
                <w:vertAlign w:val="baseline"/>
                <w:lang w:val="en-US" w:eastAsia="zh-CN"/>
              </w:rPr>
              <w:t>包装</w:t>
            </w:r>
          </w:p>
          <w:p w14:paraId="074AD8DD">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自预混/分散完成后的产品通过隔膜泵送入包装机进行包装，包装前，拉缸采用平台或电动葫芦升高，包装采用自流方式，定量采用动态电子称进行，包装后产品送至库区存放。</w:t>
            </w:r>
          </w:p>
          <w:p w14:paraId="4B029180">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不合格产品：若检测不合格，则继续添加原料进行调整，直到检测合格为止，再进行下一工序。</w:t>
            </w:r>
          </w:p>
          <w:p w14:paraId="10A14061">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⑦</w:t>
            </w:r>
            <w:r>
              <w:rPr>
                <w:rFonts w:hint="default" w:ascii="Times New Roman" w:hAnsi="Times New Roman" w:eastAsia="宋体" w:cs="Times New Roman"/>
                <w:b w:val="0"/>
                <w:bCs w:val="0"/>
                <w:color w:val="auto"/>
                <w:sz w:val="24"/>
                <w:vertAlign w:val="baseline"/>
                <w:lang w:val="en-US" w:eastAsia="zh-CN"/>
              </w:rPr>
              <w:t>检测</w:t>
            </w:r>
          </w:p>
          <w:p w14:paraId="20096804">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以上每一步骤都需要取样并送检测室检验，以保证产品的合格率，检测室设置于车间内。</w:t>
            </w:r>
          </w:p>
          <w:p w14:paraId="425B338B">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水性乳胶漆</w:t>
            </w:r>
            <w:r>
              <w:rPr>
                <w:rFonts w:hint="eastAsia" w:ascii="Times New Roman" w:hAnsi="Times New Roman" w:eastAsia="宋体" w:cs="Times New Roman"/>
                <w:b w:val="0"/>
                <w:bCs w:val="0"/>
                <w:color w:val="auto"/>
                <w:sz w:val="24"/>
                <w:vertAlign w:val="baseline"/>
                <w:lang w:val="en-US" w:eastAsia="zh-CN"/>
              </w:rPr>
              <w:t>生产线设置1个投料间，</w:t>
            </w:r>
            <w:r>
              <w:rPr>
                <w:rFonts w:hint="default" w:ascii="Times New Roman" w:hAnsi="Times New Roman" w:eastAsia="宋体" w:cs="Times New Roman"/>
                <w:b w:val="0"/>
                <w:bCs w:val="0"/>
                <w:color w:val="auto"/>
                <w:sz w:val="24"/>
                <w:vertAlign w:val="baseline"/>
                <w:lang w:val="en-US" w:eastAsia="zh-CN"/>
              </w:rPr>
              <w:t>在投料口上设置</w:t>
            </w:r>
            <w:r>
              <w:rPr>
                <w:rFonts w:hint="eastAsia" w:ascii="Times New Roman" w:hAnsi="Times New Roman" w:eastAsia="宋体" w:cs="Times New Roman"/>
                <w:b w:val="0"/>
                <w:bCs w:val="0"/>
                <w:color w:val="auto"/>
                <w:sz w:val="24"/>
                <w:vertAlign w:val="baseline"/>
                <w:lang w:val="en-US" w:eastAsia="zh-CN"/>
              </w:rPr>
              <w:t>集气罩</w:t>
            </w:r>
            <w:r>
              <w:rPr>
                <w:rFonts w:hint="default" w:ascii="Times New Roman" w:hAnsi="Times New Roman" w:eastAsia="宋体" w:cs="Times New Roman"/>
                <w:b w:val="0"/>
                <w:bCs w:val="0"/>
                <w:color w:val="auto"/>
                <w:sz w:val="24"/>
                <w:vertAlign w:val="baseline"/>
                <w:lang w:val="en-US" w:eastAsia="zh-CN"/>
              </w:rPr>
              <w:t>，投料口</w:t>
            </w:r>
            <w:r>
              <w:rPr>
                <w:rFonts w:hint="eastAsia" w:ascii="Times New Roman" w:hAnsi="Times New Roman" w:eastAsia="宋体" w:cs="Times New Roman"/>
                <w:b w:val="0"/>
                <w:bCs w:val="0"/>
                <w:color w:val="auto"/>
                <w:sz w:val="24"/>
                <w:vertAlign w:val="baseline"/>
                <w:lang w:val="en-US" w:eastAsia="zh-CN"/>
              </w:rPr>
              <w:t>产生的颗粒物</w:t>
            </w:r>
            <w:r>
              <w:rPr>
                <w:rFonts w:hint="default" w:ascii="Times New Roman" w:hAnsi="Times New Roman" w:eastAsia="宋体" w:cs="Times New Roman"/>
                <w:b w:val="0"/>
                <w:bCs w:val="0"/>
                <w:color w:val="auto"/>
                <w:sz w:val="24"/>
                <w:vertAlign w:val="baseline"/>
                <w:lang w:val="en-US" w:eastAsia="zh-CN"/>
              </w:rPr>
              <w:t>气进入一套布袋处理装置进行处理后，经1根15m高排气筒外排。</w:t>
            </w:r>
            <w:r>
              <w:rPr>
                <w:rFonts w:hint="eastAsia" w:ascii="Times New Roman" w:hAnsi="Times New Roman" w:eastAsia="宋体" w:cs="Times New Roman"/>
                <w:b w:val="0"/>
                <w:bCs w:val="0"/>
                <w:color w:val="auto"/>
                <w:sz w:val="24"/>
                <w:vertAlign w:val="baseline"/>
                <w:lang w:val="en-US" w:eastAsia="zh-CN"/>
              </w:rPr>
              <w:t>助剂通过管道采用空气压力打到搅拌罐内，防冻剂为丙二醇，在拆分、输送环节有部分挥发性有机废气产生，在密闭的投料间自然扩散。</w:t>
            </w:r>
          </w:p>
          <w:p w14:paraId="7CDAFDED">
            <w:pPr>
              <w:pStyle w:val="82"/>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drawing>
                <wp:inline distT="0" distB="0" distL="114300" distR="114300">
                  <wp:extent cx="5330190" cy="3662680"/>
                  <wp:effectExtent l="0" t="0" r="3810" b="13970"/>
                  <wp:docPr id="3" name="图片 3" descr="乳胶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乳胶漆"/>
                          <pic:cNvPicPr>
                            <a:picLocks noChangeAspect="1"/>
                          </pic:cNvPicPr>
                        </pic:nvPicPr>
                        <pic:blipFill>
                          <a:blip r:embed="rId27"/>
                          <a:stretch>
                            <a:fillRect/>
                          </a:stretch>
                        </pic:blipFill>
                        <pic:spPr>
                          <a:xfrm>
                            <a:off x="0" y="0"/>
                            <a:ext cx="5330190" cy="3662680"/>
                          </a:xfrm>
                          <a:prstGeom prst="rect">
                            <a:avLst/>
                          </a:prstGeom>
                        </pic:spPr>
                      </pic:pic>
                    </a:graphicData>
                  </a:graphic>
                </wp:inline>
              </w:drawing>
            </w:r>
          </w:p>
          <w:p w14:paraId="5BA69150">
            <w:pPr>
              <w:pStyle w:val="82"/>
              <w:keepNext w:val="0"/>
              <w:keepLines w:val="0"/>
              <w:suppressLineNumbers w:val="0"/>
              <w:spacing w:before="0" w:beforeAutospacing="0" w:after="0" w:afterAutospacing="0" w:line="360" w:lineRule="auto"/>
              <w:ind w:left="0" w:right="0" w:firstLineChars="20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图2-</w:t>
            </w:r>
            <w:r>
              <w:rPr>
                <w:rFonts w:hint="eastAsia" w:ascii="Times New Roman" w:hAnsi="Times New Roman" w:eastAsia="宋体" w:cs="Times New Roman"/>
                <w:b/>
                <w:bCs/>
                <w:color w:val="auto"/>
                <w:sz w:val="21"/>
                <w:szCs w:val="21"/>
                <w:vertAlign w:val="baseline"/>
                <w:lang w:val="en-US" w:eastAsia="zh-CN"/>
              </w:rPr>
              <w:t>3</w:t>
            </w:r>
            <w:r>
              <w:rPr>
                <w:rFonts w:hint="default"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乳胶漆生产</w:t>
            </w:r>
            <w:r>
              <w:rPr>
                <w:rFonts w:hint="default" w:ascii="Times New Roman" w:hAnsi="Times New Roman" w:eastAsia="宋体" w:cs="Times New Roman"/>
                <w:b/>
                <w:bCs/>
                <w:color w:val="auto"/>
                <w:sz w:val="21"/>
                <w:szCs w:val="21"/>
                <w:vertAlign w:val="baseline"/>
                <w:lang w:val="en-US" w:eastAsia="zh-CN"/>
              </w:rPr>
              <w:t>工艺流程图</w:t>
            </w:r>
          </w:p>
          <w:p w14:paraId="34BAAA8A">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eastAsia="zh-CN"/>
              </w:rPr>
              <w:t>砂壁产品</w:t>
            </w:r>
            <w:r>
              <w:rPr>
                <w:rFonts w:hint="default" w:ascii="Times New Roman" w:hAnsi="Times New Roman" w:eastAsia="宋体" w:cs="Times New Roman"/>
                <w:bCs/>
                <w:color w:val="auto"/>
                <w:sz w:val="24"/>
                <w:lang w:eastAsia="zh-CN"/>
              </w:rPr>
              <w:t>生产工艺</w:t>
            </w:r>
          </w:p>
          <w:p w14:paraId="486EA76D">
            <w:pPr>
              <w:pStyle w:val="82"/>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lang w:eastAsia="zh-CN"/>
              </w:rPr>
              <w:fldChar w:fldCharType="begin"/>
            </w:r>
            <w:r>
              <w:rPr>
                <w:rFonts w:hint="default" w:ascii="Times New Roman" w:hAnsi="Times New Roman" w:eastAsia="宋体" w:cs="Times New Roman"/>
                <w:b w:val="0"/>
                <w:bCs/>
                <w:color w:val="auto"/>
                <w:sz w:val="24"/>
                <w:lang w:eastAsia="zh-CN"/>
              </w:rPr>
              <w:instrText xml:space="preserve"> HYPERLINK "http://baike.baidu.com/view/4137445.htm" \h </w:instrText>
            </w:r>
            <w:r>
              <w:rPr>
                <w:rFonts w:hint="default" w:ascii="Times New Roman" w:hAnsi="Times New Roman" w:eastAsia="宋体" w:cs="Times New Roman"/>
                <w:b w:val="0"/>
                <w:bCs/>
                <w:color w:val="auto"/>
                <w:sz w:val="24"/>
                <w:lang w:eastAsia="zh-CN"/>
              </w:rPr>
              <w:fldChar w:fldCharType="separate"/>
            </w:r>
            <w:r>
              <w:rPr>
                <w:rFonts w:hint="default" w:ascii="Times New Roman" w:hAnsi="Times New Roman" w:eastAsia="宋体" w:cs="Times New Roman"/>
                <w:b w:val="0"/>
                <w:bCs/>
                <w:color w:val="auto"/>
                <w:sz w:val="24"/>
                <w:lang w:eastAsia="zh-CN"/>
              </w:rPr>
              <w:t>砂壁漆是</w:t>
            </w:r>
            <w:r>
              <w:rPr>
                <w:rFonts w:hint="default" w:ascii="Times New Roman" w:hAnsi="Times New Roman" w:eastAsia="宋体" w:cs="Times New Roman"/>
                <w:b w:val="0"/>
                <w:bCs/>
                <w:color w:val="auto"/>
                <w:sz w:val="24"/>
                <w:lang w:eastAsia="zh-CN"/>
              </w:rPr>
              <w:fldChar w:fldCharType="end"/>
            </w:r>
            <w:r>
              <w:rPr>
                <w:rFonts w:hint="default" w:ascii="Times New Roman" w:hAnsi="Times New Roman" w:eastAsia="宋体" w:cs="Times New Roman"/>
                <w:b w:val="0"/>
                <w:bCs/>
                <w:color w:val="auto"/>
                <w:sz w:val="24"/>
                <w:lang w:eastAsia="zh-CN"/>
              </w:rPr>
              <w:t xml:space="preserve">以水性丙烯酸粘合剂及其它助剂生产而成，属于弹性质感涂料的一种，具有优异的耐候性，耐紫外线、耐老化，让墙体历久长新。特别设计的粘度结构，柔韧性佳，能桥连细小的墙体裂缝。耐洗刷，厚浆涂层更有效保护建筑物，砂壁百变状质感装饰效果。其生产工艺流程与水性乳胶漆生产工艺流程基本是相同的，只是砂壁会根据市场订单， 通过原料白砂或是色浆进行调色，产品不局限于白色系产品；其产品的粘度要高于乳胶漆。工艺流程及污染物产生节点见图 </w:t>
            </w:r>
            <w:r>
              <w:rPr>
                <w:rFonts w:hint="eastAsia" w:ascii="Times New Roman" w:hAnsi="Times New Roman" w:eastAsia="宋体" w:cs="Times New Roman"/>
                <w:b w:val="0"/>
                <w:bCs/>
                <w:color w:val="auto"/>
                <w:sz w:val="24"/>
                <w:lang w:val="en-US" w:eastAsia="zh-CN"/>
              </w:rPr>
              <w:t>2-4</w:t>
            </w:r>
            <w:r>
              <w:rPr>
                <w:rFonts w:hint="default" w:ascii="Times New Roman" w:hAnsi="Times New Roman" w:eastAsia="宋体" w:cs="Times New Roman"/>
                <w:b w:val="0"/>
                <w:bCs/>
                <w:color w:val="auto"/>
                <w:sz w:val="24"/>
                <w:lang w:eastAsia="zh-CN"/>
              </w:rPr>
              <w:t>。</w:t>
            </w:r>
          </w:p>
          <w:p w14:paraId="16668E7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5324475" cy="4203700"/>
                  <wp:effectExtent l="0" t="0" r="9525" b="6350"/>
                  <wp:docPr id="7" name="图片 7" descr="砂壁产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砂壁产品"/>
                          <pic:cNvPicPr>
                            <a:picLocks noChangeAspect="1"/>
                          </pic:cNvPicPr>
                        </pic:nvPicPr>
                        <pic:blipFill>
                          <a:blip r:embed="rId28"/>
                          <a:stretch>
                            <a:fillRect/>
                          </a:stretch>
                        </pic:blipFill>
                        <pic:spPr>
                          <a:xfrm>
                            <a:off x="0" y="0"/>
                            <a:ext cx="5324475" cy="4203700"/>
                          </a:xfrm>
                          <a:prstGeom prst="rect">
                            <a:avLst/>
                          </a:prstGeom>
                        </pic:spPr>
                      </pic:pic>
                    </a:graphicData>
                  </a:graphic>
                </wp:inline>
              </w:drawing>
            </w:r>
          </w:p>
          <w:p w14:paraId="28F5BBC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砂壁产品</w:t>
            </w:r>
            <w:r>
              <w:rPr>
                <w:rFonts w:hint="default" w:ascii="Times New Roman" w:hAnsi="Times New Roman" w:eastAsia="宋体" w:cs="Times New Roman"/>
                <w:b/>
                <w:bCs/>
                <w:color w:val="auto"/>
                <w:sz w:val="24"/>
                <w:szCs w:val="24"/>
              </w:rPr>
              <w:t>生产工艺流程图</w:t>
            </w:r>
          </w:p>
          <w:p w14:paraId="0D97FE67">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w:t>
            </w:r>
            <w:r>
              <w:rPr>
                <w:rFonts w:hint="eastAsia" w:cs="Times New Roman"/>
                <w:b/>
                <w:color w:val="auto"/>
                <w:sz w:val="24"/>
                <w:szCs w:val="24"/>
                <w:lang w:eastAsia="zh-CN"/>
              </w:rPr>
              <w:t>腻子粉</w:t>
            </w:r>
            <w:r>
              <w:rPr>
                <w:rFonts w:hint="default" w:ascii="Times New Roman" w:hAnsi="Times New Roman" w:eastAsia="宋体" w:cs="Times New Roman"/>
                <w:b/>
                <w:color w:val="auto"/>
                <w:sz w:val="24"/>
                <w:szCs w:val="24"/>
              </w:rPr>
              <w:t>生产工艺</w:t>
            </w:r>
          </w:p>
          <w:p w14:paraId="2BB88D9B">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eastAsia="zh-CN"/>
              </w:rPr>
              <w:t>①</w:t>
            </w:r>
            <w:r>
              <w:rPr>
                <w:rFonts w:hint="default" w:ascii="Times New Roman" w:hAnsi="Times New Roman" w:eastAsia="宋体" w:cs="Times New Roman"/>
                <w:b w:val="0"/>
                <w:bCs w:val="0"/>
                <w:color w:val="auto"/>
                <w:sz w:val="24"/>
                <w:szCs w:val="24"/>
              </w:rPr>
              <w:t>原材料检验</w:t>
            </w:r>
          </w:p>
          <w:p w14:paraId="2A8FD0D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为保证原料符合生产要求，对生产腻子粉的原材料进行检验，并分装到不同的贮罐中</w:t>
            </w:r>
            <w:r>
              <w:rPr>
                <w:rFonts w:hint="eastAsia" w:cs="Times New Roman"/>
                <w:b w:val="0"/>
                <w:bCs w:val="0"/>
                <w:color w:val="auto"/>
                <w:sz w:val="24"/>
                <w:szCs w:val="24"/>
                <w:lang w:val="en-US" w:eastAsia="zh-CN"/>
              </w:rPr>
              <w:t>。</w:t>
            </w:r>
          </w:p>
          <w:p w14:paraId="43C5BF8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eastAsia="zh-CN"/>
              </w:rPr>
              <w:t>②</w:t>
            </w:r>
            <w:r>
              <w:rPr>
                <w:rFonts w:hint="default" w:ascii="Times New Roman" w:hAnsi="Times New Roman" w:eastAsia="宋体" w:cs="Times New Roman"/>
                <w:b w:val="0"/>
                <w:bCs w:val="0"/>
                <w:color w:val="auto"/>
                <w:sz w:val="24"/>
                <w:szCs w:val="24"/>
              </w:rPr>
              <w:t>上料</w:t>
            </w:r>
          </w:p>
          <w:p w14:paraId="4223716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根据所需腻子粉的型号，按不同比例投料，并由泵抽至混合罐中，通过充分搅拌混合后，成为腻子粉产品；</w:t>
            </w:r>
            <w:r>
              <w:rPr>
                <w:rFonts w:hint="eastAsia" w:cs="Times New Roman"/>
                <w:b w:val="0"/>
                <w:bCs w:val="0"/>
                <w:color w:val="auto"/>
                <w:sz w:val="24"/>
                <w:szCs w:val="24"/>
                <w:lang w:val="en-US" w:eastAsia="zh-CN"/>
              </w:rPr>
              <w:t>上料、配料、搅拌产生的粉尘经集气罩收集集中式滤筒除尘器除尘后15m高的排气筒排放。</w:t>
            </w:r>
          </w:p>
          <w:p w14:paraId="255905F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eastAsia="zh-CN"/>
              </w:rPr>
              <w:t>③</w:t>
            </w:r>
            <w:r>
              <w:rPr>
                <w:rFonts w:hint="default" w:ascii="Times New Roman" w:hAnsi="Times New Roman" w:eastAsia="宋体" w:cs="Times New Roman"/>
                <w:b w:val="0"/>
                <w:bCs w:val="0"/>
                <w:color w:val="auto"/>
                <w:sz w:val="24"/>
                <w:szCs w:val="24"/>
              </w:rPr>
              <w:t>检验</w:t>
            </w:r>
          </w:p>
          <w:p w14:paraId="4D9AA30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混合后的产品，抽样送至成品检测室，检测其密度、对比度（遮盖率）和细度（白度、PH、施工性）后，成品通过一个细管通过入纸质包装袋，随即封口。</w:t>
            </w:r>
          </w:p>
          <w:p w14:paraId="29702CD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szCs w:val="24"/>
              </w:rPr>
            </w:pPr>
            <w:r>
              <w:rPr>
                <w:rFonts w:hint="eastAsia" w:cs="Times New Roman"/>
                <w:b w:val="0"/>
                <w:bCs w:val="0"/>
                <w:color w:val="auto"/>
                <w:sz w:val="24"/>
                <w:szCs w:val="24"/>
                <w:lang w:val="en-US" w:eastAsia="zh-CN"/>
              </w:rPr>
              <w:t>包装产生的粉尘经集气罩收集，旋风除尘器除尘有无组织排放。</w:t>
            </w:r>
            <w:r>
              <w:rPr>
                <w:rFonts w:hint="default" w:ascii="Times New Roman" w:hAnsi="Times New Roman" w:eastAsia="宋体" w:cs="Times New Roman"/>
                <w:b w:val="0"/>
                <w:bCs w:val="0"/>
                <w:color w:val="auto"/>
                <w:sz w:val="24"/>
                <w:szCs w:val="24"/>
              </w:rPr>
              <w:t>工艺流程图见图</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w:t>
            </w:r>
            <w:r>
              <w:rPr>
                <w:rFonts w:hint="eastAsia"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w:t>
            </w:r>
          </w:p>
          <w:p w14:paraId="36A67FF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4819650" cy="2451100"/>
                  <wp:effectExtent l="0" t="0" r="6350" b="0"/>
                  <wp:docPr id="9" name="图片 9" descr="腻子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腻子粉"/>
                          <pic:cNvPicPr>
                            <a:picLocks noChangeAspect="1"/>
                          </pic:cNvPicPr>
                        </pic:nvPicPr>
                        <pic:blipFill>
                          <a:blip r:embed="rId29"/>
                          <a:stretch>
                            <a:fillRect/>
                          </a:stretch>
                        </pic:blipFill>
                        <pic:spPr>
                          <a:xfrm>
                            <a:off x="0" y="0"/>
                            <a:ext cx="4819650" cy="2451100"/>
                          </a:xfrm>
                          <a:prstGeom prst="rect">
                            <a:avLst/>
                          </a:prstGeom>
                        </pic:spPr>
                      </pic:pic>
                    </a:graphicData>
                  </a:graphic>
                </wp:inline>
              </w:drawing>
            </w:r>
          </w:p>
          <w:p w14:paraId="12682CB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eastAsia="zh-CN"/>
              </w:rPr>
              <w:t>腻子粉</w:t>
            </w:r>
            <w:r>
              <w:rPr>
                <w:rFonts w:hint="default" w:ascii="Times New Roman" w:hAnsi="Times New Roman" w:eastAsia="宋体" w:cs="Times New Roman"/>
                <w:b/>
                <w:bCs/>
                <w:color w:val="auto"/>
                <w:sz w:val="24"/>
                <w:szCs w:val="24"/>
              </w:rPr>
              <w:t>生产工艺流程图</w:t>
            </w:r>
          </w:p>
          <w:p w14:paraId="636C0936">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eastAsia" w:cs="Times New Roman"/>
                <w:b/>
                <w:bCs/>
                <w:color w:val="auto"/>
                <w:sz w:val="24"/>
                <w:szCs w:val="28"/>
                <w:lang w:val="en-US" w:eastAsia="zh-CN"/>
              </w:rPr>
            </w:pPr>
            <w:r>
              <w:rPr>
                <w:rFonts w:hint="eastAsia" w:cs="Times New Roman"/>
                <w:b/>
                <w:bCs/>
                <w:color w:val="auto"/>
                <w:sz w:val="24"/>
                <w:szCs w:val="28"/>
                <w:lang w:val="en-US" w:eastAsia="zh-CN"/>
              </w:rPr>
              <w:t>4、其他产污环节</w:t>
            </w:r>
          </w:p>
          <w:p w14:paraId="258F3D83">
            <w:pPr>
              <w:pStyle w:val="20"/>
              <w:keepNext w:val="0"/>
              <w:keepLines w:val="0"/>
              <w:suppressLineNumbers w:val="0"/>
              <w:spacing w:beforeAutospacing="0" w:afterAutospacing="0"/>
              <w:ind w:left="0"/>
              <w:jc w:val="center"/>
              <w:rPr>
                <w:rFonts w:hint="default"/>
                <w:color w:val="auto"/>
                <w:lang w:val="en-US" w:eastAsia="zh-CN"/>
              </w:rPr>
            </w:pPr>
            <w:r>
              <w:rPr>
                <w:rFonts w:hint="default"/>
                <w:color w:val="auto"/>
                <w:lang w:val="en-US" w:eastAsia="zh-CN"/>
              </w:rPr>
              <w:object>
                <v:shape id="_x0000_i1027" o:spt="75" type="#_x0000_t75" style="height:238.7pt;width:304.1pt;" o:ole="t" filled="f" o:preferrelative="t" stroked="f" coordsize="21600,21600">
                  <v:path/>
                  <v:fill on="f" focussize="0,0"/>
                  <v:stroke on="f"/>
                  <v:imagedata r:id="rId31" o:title=""/>
                  <o:lock v:ext="edit" aspectratio="f"/>
                  <w10:wrap type="none"/>
                  <w10:anchorlock/>
                </v:shape>
                <o:OLEObject Type="Embed" ProgID="Visio.Drawing.15" ShapeID="_x0000_i1027" DrawAspect="Content" ObjectID="_1468075727" r:id="rId30">
                  <o:LockedField>false</o:LockedField>
                </o:OLEObject>
              </w:object>
            </w:r>
          </w:p>
          <w:p w14:paraId="7F13F7CE">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图2-6 厂区其他环节产污情况图</w:t>
            </w:r>
          </w:p>
          <w:p w14:paraId="2B5E88BF">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rPr>
            </w:pPr>
            <w:r>
              <w:rPr>
                <w:rFonts w:hint="default" w:ascii="Times New Roman" w:hAnsi="Times New Roman" w:eastAsia="宋体" w:cs="Times New Roman"/>
                <w:b/>
                <w:bCs/>
                <w:color w:val="auto"/>
                <w:sz w:val="24"/>
                <w:szCs w:val="28"/>
                <w:lang w:val="en-US" w:eastAsia="zh-CN"/>
              </w:rPr>
              <w:t>6、</w:t>
            </w:r>
            <w:r>
              <w:rPr>
                <w:rFonts w:hint="default" w:ascii="Times New Roman" w:hAnsi="Times New Roman" w:eastAsia="宋体" w:cs="Times New Roman"/>
                <w:b/>
                <w:bCs/>
                <w:color w:val="auto"/>
                <w:sz w:val="24"/>
                <w:szCs w:val="28"/>
              </w:rPr>
              <w:t>运营期主要污染工序</w:t>
            </w:r>
          </w:p>
          <w:p w14:paraId="7A44D9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本项目运营期主要污染工序详见表2-</w:t>
            </w:r>
            <w:r>
              <w:rPr>
                <w:rFonts w:hint="eastAsia"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w:t>
            </w:r>
          </w:p>
          <w:p w14:paraId="018650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15</w:t>
            </w:r>
            <w:r>
              <w:rPr>
                <w:rFonts w:hint="default" w:ascii="Times New Roman" w:hAnsi="Times New Roman" w:eastAsia="宋体" w:cs="Times New Roman"/>
                <w:b/>
                <w:bCs/>
                <w:color w:val="auto"/>
                <w:sz w:val="21"/>
                <w:szCs w:val="21"/>
                <w:lang w:val="en-US" w:eastAsia="zh-CN"/>
              </w:rPr>
              <w:t xml:space="preserve">  运营期主要污染工序一览表</w:t>
            </w:r>
          </w:p>
          <w:tbl>
            <w:tblPr>
              <w:tblStyle w:val="2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963"/>
              <w:gridCol w:w="1500"/>
              <w:gridCol w:w="1828"/>
              <w:gridCol w:w="2568"/>
              <w:gridCol w:w="894"/>
            </w:tblGrid>
            <w:tr w14:paraId="297C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tcBorders>
                    <w:tl2br w:val="nil"/>
                    <w:tr2bl w:val="nil"/>
                  </w:tcBorders>
                  <w:noWrap w:val="0"/>
                  <w:vAlign w:val="center"/>
                </w:tcPr>
                <w:p w14:paraId="1D0FFD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污染类别</w:t>
                  </w:r>
                </w:p>
              </w:tc>
              <w:tc>
                <w:tcPr>
                  <w:tcW w:w="575" w:type="pct"/>
                  <w:tcBorders>
                    <w:tl2br w:val="nil"/>
                    <w:tr2bl w:val="nil"/>
                  </w:tcBorders>
                  <w:noWrap w:val="0"/>
                  <w:vAlign w:val="center"/>
                </w:tcPr>
                <w:p w14:paraId="386A14E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编号</w:t>
                  </w:r>
                </w:p>
              </w:tc>
              <w:tc>
                <w:tcPr>
                  <w:tcW w:w="896" w:type="pct"/>
                  <w:tcBorders>
                    <w:tl2br w:val="nil"/>
                    <w:tr2bl w:val="nil"/>
                  </w:tcBorders>
                  <w:noWrap w:val="0"/>
                  <w:vAlign w:val="center"/>
                </w:tcPr>
                <w:p w14:paraId="6410883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1092" w:type="pct"/>
                  <w:tcBorders>
                    <w:tl2br w:val="nil"/>
                    <w:tr2bl w:val="nil"/>
                  </w:tcBorders>
                  <w:noWrap w:val="0"/>
                  <w:vAlign w:val="center"/>
                </w:tcPr>
                <w:p w14:paraId="7EA91FC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主要</w:t>
                  </w:r>
                  <w:r>
                    <w:rPr>
                      <w:rFonts w:hint="default" w:ascii="Times New Roman" w:hAnsi="Times New Roman" w:eastAsia="宋体" w:cs="Times New Roman"/>
                      <w:b/>
                      <w:color w:val="auto"/>
                      <w:sz w:val="21"/>
                      <w:szCs w:val="21"/>
                      <w:highlight w:val="none"/>
                    </w:rPr>
                    <w:t>污染物</w:t>
                  </w:r>
                </w:p>
              </w:tc>
              <w:tc>
                <w:tcPr>
                  <w:tcW w:w="1534" w:type="pct"/>
                  <w:tcBorders>
                    <w:tl2br w:val="nil"/>
                    <w:tr2bl w:val="nil"/>
                  </w:tcBorders>
                  <w:noWrap w:val="0"/>
                  <w:vAlign w:val="center"/>
                </w:tcPr>
                <w:p w14:paraId="41B79C4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534" w:type="pct"/>
                  <w:tcBorders>
                    <w:tl2br w:val="nil"/>
                    <w:tr2bl w:val="nil"/>
                  </w:tcBorders>
                  <w:noWrap w:val="0"/>
                  <w:vAlign w:val="center"/>
                </w:tcPr>
                <w:p w14:paraId="77A947E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r>
            <w:tr w14:paraId="49F8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noWrap w:val="0"/>
                  <w:vAlign w:val="center"/>
                </w:tcPr>
                <w:p w14:paraId="4385098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575" w:type="pct"/>
                  <w:tcBorders>
                    <w:tl2br w:val="nil"/>
                    <w:tr2bl w:val="nil"/>
                  </w:tcBorders>
                  <w:noWrap w:val="0"/>
                  <w:vAlign w:val="center"/>
                </w:tcPr>
                <w:p w14:paraId="3040146F">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G1</w:t>
                  </w:r>
                </w:p>
              </w:tc>
              <w:tc>
                <w:tcPr>
                  <w:tcW w:w="896" w:type="pct"/>
                  <w:tcBorders>
                    <w:tl2br w:val="nil"/>
                    <w:tr2bl w:val="nil"/>
                  </w:tcBorders>
                  <w:noWrap w:val="0"/>
                  <w:vAlign w:val="center"/>
                </w:tcPr>
                <w:p w14:paraId="0A8608A6">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乳胶漆生产线投料间投料粉尘</w:t>
                  </w:r>
                </w:p>
              </w:tc>
              <w:tc>
                <w:tcPr>
                  <w:tcW w:w="1092" w:type="pct"/>
                  <w:tcBorders>
                    <w:tl2br w:val="nil"/>
                    <w:tr2bl w:val="nil"/>
                  </w:tcBorders>
                  <w:noWrap w:val="0"/>
                  <w:vAlign w:val="center"/>
                </w:tcPr>
                <w:p w14:paraId="7238F0DC">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1534" w:type="pct"/>
                  <w:vMerge w:val="restart"/>
                  <w:tcBorders>
                    <w:tl2br w:val="nil"/>
                    <w:tr2bl w:val="nil"/>
                  </w:tcBorders>
                  <w:noWrap w:val="0"/>
                  <w:vAlign w:val="center"/>
                </w:tcPr>
                <w:p w14:paraId="2FDF8D07">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设置5个集气罩+布袋除尘+UV光氧催化+活性炭吸附装置处理后15m高的排气筒排放（DA002）</w:t>
                  </w:r>
                </w:p>
              </w:tc>
              <w:tc>
                <w:tcPr>
                  <w:tcW w:w="534" w:type="pct"/>
                  <w:vMerge w:val="restart"/>
                  <w:tcBorders>
                    <w:tl2br w:val="nil"/>
                    <w:tr2bl w:val="nil"/>
                  </w:tcBorders>
                  <w:noWrap w:val="0"/>
                  <w:vAlign w:val="center"/>
                </w:tcPr>
                <w:p w14:paraId="3D11041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r>
            <w:tr w14:paraId="150B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5E28BF7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40A981D0">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G2</w:t>
                  </w:r>
                </w:p>
              </w:tc>
              <w:tc>
                <w:tcPr>
                  <w:tcW w:w="896" w:type="pct"/>
                  <w:tcBorders>
                    <w:tl2br w:val="nil"/>
                    <w:tr2bl w:val="nil"/>
                  </w:tcBorders>
                  <w:noWrap w:val="0"/>
                  <w:vAlign w:val="center"/>
                </w:tcPr>
                <w:p w14:paraId="12D36724">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砂壁生产线投料间粉尘</w:t>
                  </w:r>
                </w:p>
              </w:tc>
              <w:tc>
                <w:tcPr>
                  <w:tcW w:w="1092" w:type="pct"/>
                  <w:tcBorders>
                    <w:tl2br w:val="nil"/>
                    <w:tr2bl w:val="nil"/>
                  </w:tcBorders>
                  <w:noWrap w:val="0"/>
                  <w:vAlign w:val="center"/>
                </w:tcPr>
                <w:p w14:paraId="7D74F197">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eastAsia="zh-CN"/>
                    </w:rPr>
                    <w:t>颗粒物</w:t>
                  </w:r>
                </w:p>
              </w:tc>
              <w:tc>
                <w:tcPr>
                  <w:tcW w:w="1534" w:type="pct"/>
                  <w:vMerge w:val="continue"/>
                  <w:tcBorders>
                    <w:tl2br w:val="nil"/>
                    <w:tr2bl w:val="nil"/>
                  </w:tcBorders>
                  <w:noWrap w:val="0"/>
                  <w:vAlign w:val="center"/>
                </w:tcPr>
                <w:p w14:paraId="49B1820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534" w:type="pct"/>
                  <w:vMerge w:val="continue"/>
                  <w:tcBorders>
                    <w:tl2br w:val="nil"/>
                    <w:tr2bl w:val="nil"/>
                  </w:tcBorders>
                  <w:noWrap w:val="0"/>
                  <w:vAlign w:val="center"/>
                </w:tcPr>
                <w:p w14:paraId="7B8782C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p>
              </w:tc>
            </w:tr>
            <w:tr w14:paraId="1F01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68" w:type="pct"/>
                  <w:vMerge w:val="continue"/>
                  <w:tcBorders>
                    <w:tl2br w:val="nil"/>
                    <w:tr2bl w:val="nil"/>
                  </w:tcBorders>
                  <w:noWrap w:val="0"/>
                  <w:vAlign w:val="center"/>
                </w:tcPr>
                <w:p w14:paraId="2D3DE09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169D4A86">
                  <w:pPr>
                    <w:pStyle w:val="20"/>
                    <w:keepNext w:val="0"/>
                    <w:keepLines w:val="0"/>
                    <w:suppressLineNumbers w:val="0"/>
                    <w:spacing w:beforeAutospacing="0" w:after="0" w:afterAutospacing="0"/>
                    <w:ind w:left="0" w:leftChars="0"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G</w:t>
                  </w:r>
                  <w:r>
                    <w:rPr>
                      <w:rFonts w:hint="eastAsia" w:cs="Times New Roman"/>
                      <w:color w:val="auto"/>
                      <w:sz w:val="21"/>
                      <w:szCs w:val="21"/>
                      <w:lang w:val="en-US" w:eastAsia="zh-CN"/>
                    </w:rPr>
                    <w:t>4</w:t>
                  </w:r>
                </w:p>
              </w:tc>
              <w:tc>
                <w:tcPr>
                  <w:tcW w:w="896" w:type="pct"/>
                  <w:tcBorders>
                    <w:tl2br w:val="nil"/>
                    <w:tr2bl w:val="nil"/>
                  </w:tcBorders>
                  <w:noWrap w:val="0"/>
                  <w:vAlign w:val="center"/>
                </w:tcPr>
                <w:p w14:paraId="14570983">
                  <w:pPr>
                    <w:pStyle w:val="20"/>
                    <w:keepNext w:val="0"/>
                    <w:keepLines w:val="0"/>
                    <w:suppressLineNumbers w:val="0"/>
                    <w:spacing w:beforeAutospacing="0" w:after="0" w:afterAutospacing="0"/>
                    <w:ind w:left="0" w:leftChars="0"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乳胶漆生产线及砂壁生产线包装机口</w:t>
                  </w:r>
                </w:p>
              </w:tc>
              <w:tc>
                <w:tcPr>
                  <w:tcW w:w="1092" w:type="pct"/>
                  <w:tcBorders>
                    <w:tl2br w:val="nil"/>
                    <w:tr2bl w:val="nil"/>
                  </w:tcBorders>
                  <w:noWrap w:val="0"/>
                  <w:vAlign w:val="center"/>
                </w:tcPr>
                <w:p w14:paraId="3CFB0787">
                  <w:pPr>
                    <w:pStyle w:val="20"/>
                    <w:keepNext w:val="0"/>
                    <w:keepLines w:val="0"/>
                    <w:suppressLineNumbers w:val="0"/>
                    <w:spacing w:beforeAutospacing="0" w:after="0" w:afterAutospacing="0"/>
                    <w:ind w:left="0" w:leftChars="0"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挥发性有机废气（以非甲烷总烃计）</w:t>
                  </w:r>
                </w:p>
              </w:tc>
              <w:tc>
                <w:tcPr>
                  <w:tcW w:w="1534" w:type="pct"/>
                  <w:vMerge w:val="continue"/>
                  <w:tcBorders>
                    <w:tl2br w:val="nil"/>
                    <w:tr2bl w:val="nil"/>
                  </w:tcBorders>
                  <w:noWrap w:val="0"/>
                  <w:vAlign w:val="center"/>
                </w:tcPr>
                <w:p w14:paraId="28F46774">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2"/>
                      <w:sz w:val="21"/>
                      <w:szCs w:val="21"/>
                      <w:highlight w:val="none"/>
                      <w:lang w:val="en-US" w:eastAsia="zh-CN" w:bidi="ar-SA"/>
                    </w:rPr>
                  </w:pPr>
                </w:p>
              </w:tc>
              <w:tc>
                <w:tcPr>
                  <w:tcW w:w="534" w:type="pct"/>
                  <w:vMerge w:val="continue"/>
                  <w:tcBorders>
                    <w:tl2br w:val="nil"/>
                    <w:tr2bl w:val="nil"/>
                  </w:tcBorders>
                  <w:noWrap w:val="0"/>
                  <w:vAlign w:val="center"/>
                </w:tcPr>
                <w:p w14:paraId="0F04A38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r>
            <w:tr w14:paraId="387A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4686DC1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586A087D">
                  <w:pPr>
                    <w:pStyle w:val="20"/>
                    <w:keepNext w:val="0"/>
                    <w:keepLines w:val="0"/>
                    <w:suppressLineNumbers w:val="0"/>
                    <w:spacing w:beforeAutospacing="0" w:after="0" w:afterAutospacing="0"/>
                    <w:ind w:left="0" w:leftChars="0"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G3</w:t>
                  </w:r>
                </w:p>
              </w:tc>
              <w:tc>
                <w:tcPr>
                  <w:tcW w:w="896" w:type="pct"/>
                  <w:tcBorders>
                    <w:tl2br w:val="nil"/>
                    <w:tr2bl w:val="nil"/>
                  </w:tcBorders>
                  <w:noWrap w:val="0"/>
                  <w:vAlign w:val="center"/>
                </w:tcPr>
                <w:p w14:paraId="2DC13C1E">
                  <w:pPr>
                    <w:pStyle w:val="20"/>
                    <w:keepNext w:val="0"/>
                    <w:keepLines w:val="0"/>
                    <w:suppressLineNumbers w:val="0"/>
                    <w:spacing w:beforeAutospacing="0" w:after="0" w:afterAutospacing="0"/>
                    <w:ind w:left="0" w:leftChars="0" w:right="113"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水性涂料生产线助剂类、开盖、投放</w:t>
                  </w:r>
                </w:p>
              </w:tc>
              <w:tc>
                <w:tcPr>
                  <w:tcW w:w="1092" w:type="pct"/>
                  <w:tcBorders>
                    <w:tl2br w:val="nil"/>
                    <w:tr2bl w:val="nil"/>
                  </w:tcBorders>
                  <w:noWrap w:val="0"/>
                  <w:vAlign w:val="center"/>
                </w:tcPr>
                <w:p w14:paraId="3C808D65">
                  <w:pPr>
                    <w:pStyle w:val="20"/>
                    <w:keepNext w:val="0"/>
                    <w:keepLines w:val="0"/>
                    <w:suppressLineNumbers w:val="0"/>
                    <w:spacing w:beforeAutospacing="0" w:after="0" w:afterAutospacing="0"/>
                    <w:ind w:left="0" w:leftChars="0" w:right="113"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挥发性有机废气（以非甲烷总体计）</w:t>
                  </w:r>
                </w:p>
              </w:tc>
              <w:tc>
                <w:tcPr>
                  <w:tcW w:w="1534" w:type="pct"/>
                  <w:tcBorders>
                    <w:tl2br w:val="nil"/>
                    <w:tr2bl w:val="nil"/>
                  </w:tcBorders>
                  <w:noWrap w:val="0"/>
                  <w:vAlign w:val="center"/>
                </w:tcPr>
                <w:p w14:paraId="78CE5C5C">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加强通风、自然扩散</w:t>
                  </w:r>
                </w:p>
              </w:tc>
              <w:tc>
                <w:tcPr>
                  <w:tcW w:w="534" w:type="pct"/>
                  <w:tcBorders>
                    <w:tl2br w:val="nil"/>
                    <w:tr2bl w:val="nil"/>
                  </w:tcBorders>
                  <w:noWrap w:val="0"/>
                  <w:vAlign w:val="center"/>
                </w:tcPr>
                <w:p w14:paraId="577B00D1">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无组织</w:t>
                  </w:r>
                </w:p>
              </w:tc>
            </w:tr>
            <w:tr w14:paraId="788C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4E4AAA5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1C933B4B">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G5</w:t>
                  </w:r>
                </w:p>
              </w:tc>
              <w:tc>
                <w:tcPr>
                  <w:tcW w:w="896" w:type="pct"/>
                  <w:tcBorders>
                    <w:tl2br w:val="nil"/>
                    <w:tr2bl w:val="nil"/>
                  </w:tcBorders>
                  <w:noWrap w:val="0"/>
                  <w:vAlign w:val="center"/>
                </w:tcPr>
                <w:p w14:paraId="36CB4B91">
                  <w:pPr>
                    <w:pStyle w:val="20"/>
                    <w:keepNext w:val="0"/>
                    <w:keepLines w:val="0"/>
                    <w:suppressLineNumbers w:val="0"/>
                    <w:spacing w:beforeAutospacing="0" w:after="0" w:afterAutospacing="0"/>
                    <w:ind w:left="0" w:leftChars="0" w:right="113"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氨水使用挥发</w:t>
                  </w:r>
                </w:p>
              </w:tc>
              <w:tc>
                <w:tcPr>
                  <w:tcW w:w="1092" w:type="pct"/>
                  <w:tcBorders>
                    <w:tl2br w:val="nil"/>
                    <w:tr2bl w:val="nil"/>
                  </w:tcBorders>
                  <w:noWrap w:val="0"/>
                  <w:vAlign w:val="center"/>
                </w:tcPr>
                <w:p w14:paraId="2CCDC19E">
                  <w:pPr>
                    <w:pStyle w:val="20"/>
                    <w:keepNext w:val="0"/>
                    <w:keepLines w:val="0"/>
                    <w:suppressLineNumbers w:val="0"/>
                    <w:spacing w:beforeAutospacing="0" w:after="0" w:afterAutospacing="0"/>
                    <w:ind w:left="0" w:leftChars="0" w:right="113" w:rightChars="0"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eastAsia="zh-CN"/>
                    </w:rPr>
                    <w:t>氨</w:t>
                  </w:r>
                </w:p>
              </w:tc>
              <w:tc>
                <w:tcPr>
                  <w:tcW w:w="1534" w:type="pct"/>
                  <w:tcBorders>
                    <w:tl2br w:val="nil"/>
                    <w:tr2bl w:val="nil"/>
                  </w:tcBorders>
                  <w:noWrap w:val="0"/>
                  <w:vAlign w:val="center"/>
                </w:tcPr>
                <w:p w14:paraId="72238781">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加强通风、自然扩散</w:t>
                  </w:r>
                </w:p>
              </w:tc>
              <w:tc>
                <w:tcPr>
                  <w:tcW w:w="534" w:type="pct"/>
                  <w:tcBorders>
                    <w:tl2br w:val="nil"/>
                    <w:tr2bl w:val="nil"/>
                  </w:tcBorders>
                  <w:noWrap w:val="0"/>
                  <w:vAlign w:val="center"/>
                </w:tcPr>
                <w:p w14:paraId="441A6B1D">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无组织</w:t>
                  </w:r>
                </w:p>
              </w:tc>
            </w:tr>
            <w:tr w14:paraId="61A8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368" w:type="pct"/>
                  <w:vMerge w:val="continue"/>
                  <w:tcBorders>
                    <w:tl2br w:val="nil"/>
                    <w:tr2bl w:val="nil"/>
                  </w:tcBorders>
                  <w:noWrap w:val="0"/>
                  <w:vAlign w:val="center"/>
                </w:tcPr>
                <w:p w14:paraId="296C16F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615A45B3">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w:t>
                  </w:r>
                  <w:r>
                    <w:rPr>
                      <w:rFonts w:hint="eastAsia" w:cs="Times New Roman"/>
                      <w:color w:val="auto"/>
                      <w:sz w:val="21"/>
                      <w:szCs w:val="21"/>
                      <w:lang w:val="en-US" w:eastAsia="zh-CN"/>
                    </w:rPr>
                    <w:t>6</w:t>
                  </w:r>
                </w:p>
              </w:tc>
              <w:tc>
                <w:tcPr>
                  <w:tcW w:w="896" w:type="pct"/>
                  <w:tcBorders>
                    <w:tl2br w:val="nil"/>
                    <w:tr2bl w:val="nil"/>
                  </w:tcBorders>
                  <w:noWrap w:val="0"/>
                  <w:vAlign w:val="center"/>
                </w:tcPr>
                <w:p w14:paraId="6782019B">
                  <w:pPr>
                    <w:pStyle w:val="20"/>
                    <w:keepNext w:val="0"/>
                    <w:keepLines w:val="0"/>
                    <w:suppressLineNumbers w:val="0"/>
                    <w:spacing w:beforeAutospacing="0" w:after="0" w:afterAutospacing="0"/>
                    <w:ind w:left="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腻子粉生产车间投料、配料、搅拌</w:t>
                  </w:r>
                </w:p>
              </w:tc>
              <w:tc>
                <w:tcPr>
                  <w:tcW w:w="1092" w:type="pct"/>
                  <w:tcBorders>
                    <w:tl2br w:val="nil"/>
                    <w:tr2bl w:val="nil"/>
                  </w:tcBorders>
                  <w:noWrap w:val="0"/>
                  <w:vAlign w:val="center"/>
                </w:tcPr>
                <w:p w14:paraId="71D693E4">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颗粒物</w:t>
                  </w:r>
                </w:p>
              </w:tc>
              <w:tc>
                <w:tcPr>
                  <w:tcW w:w="1534" w:type="pct"/>
                  <w:tcBorders>
                    <w:tl2br w:val="nil"/>
                    <w:tr2bl w:val="nil"/>
                  </w:tcBorders>
                  <w:noWrap w:val="0"/>
                  <w:vAlign w:val="center"/>
                </w:tcPr>
                <w:p w14:paraId="706917B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w:t>
                  </w:r>
                  <w:r>
                    <w:rPr>
                      <w:rFonts w:hint="eastAsia" w:cs="Times New Roman"/>
                      <w:color w:val="auto"/>
                      <w:sz w:val="21"/>
                      <w:szCs w:val="21"/>
                      <w:highlight w:val="none"/>
                      <w:lang w:val="en-US" w:eastAsia="zh-CN"/>
                    </w:rPr>
                    <w:t>24个集气罩</w:t>
                  </w:r>
                  <w:r>
                    <w:rPr>
                      <w:rFonts w:hint="default" w:ascii="Times New Roman" w:hAnsi="Times New Roman" w:eastAsia="宋体" w:cs="Times New Roman"/>
                      <w:color w:val="auto"/>
                      <w:sz w:val="21"/>
                      <w:szCs w:val="21"/>
                      <w:highlight w:val="none"/>
                      <w:lang w:val="en-US" w:eastAsia="zh-CN"/>
                    </w:rPr>
                    <w:t>收集后经</w:t>
                  </w:r>
                  <w:r>
                    <w:rPr>
                      <w:rFonts w:hint="eastAsia" w:cs="Times New Roman"/>
                      <w:color w:val="auto"/>
                      <w:sz w:val="21"/>
                      <w:szCs w:val="21"/>
                      <w:highlight w:val="none"/>
                      <w:lang w:val="en-US" w:eastAsia="zh-CN"/>
                    </w:rPr>
                    <w:t>集中式滤筒除尘器</w:t>
                  </w:r>
                  <w:r>
                    <w:rPr>
                      <w:rFonts w:hint="default" w:ascii="Times New Roman" w:hAnsi="Times New Roman" w:eastAsia="宋体" w:cs="Times New Roman"/>
                      <w:color w:val="auto"/>
                      <w:sz w:val="21"/>
                      <w:szCs w:val="21"/>
                      <w:highlight w:val="none"/>
                      <w:lang w:val="en-US" w:eastAsia="zh-CN"/>
                    </w:rPr>
                    <w:t>处理</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由15m高的DA00</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排气筒排放</w:t>
                  </w:r>
                  <w:r>
                    <w:rPr>
                      <w:rFonts w:hint="eastAsia" w:cs="Times New Roman"/>
                      <w:color w:val="auto"/>
                      <w:sz w:val="21"/>
                      <w:szCs w:val="21"/>
                      <w:highlight w:val="none"/>
                      <w:lang w:val="en-US" w:eastAsia="zh-CN"/>
                    </w:rPr>
                    <w:t>。</w:t>
                  </w:r>
                </w:p>
              </w:tc>
              <w:tc>
                <w:tcPr>
                  <w:tcW w:w="534" w:type="pct"/>
                  <w:tcBorders>
                    <w:tl2br w:val="nil"/>
                    <w:tr2bl w:val="nil"/>
                  </w:tcBorders>
                  <w:noWrap w:val="0"/>
                  <w:vAlign w:val="center"/>
                </w:tcPr>
                <w:p w14:paraId="63EF6C9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有组织</w:t>
                  </w:r>
                </w:p>
              </w:tc>
            </w:tr>
            <w:tr w14:paraId="05CF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368" w:type="pct"/>
                  <w:vMerge w:val="continue"/>
                  <w:tcBorders>
                    <w:tl2br w:val="nil"/>
                    <w:tr2bl w:val="nil"/>
                  </w:tcBorders>
                  <w:noWrap w:val="0"/>
                  <w:vAlign w:val="center"/>
                </w:tcPr>
                <w:p w14:paraId="49CF015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0C157D97">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G7</w:t>
                  </w:r>
                </w:p>
              </w:tc>
              <w:tc>
                <w:tcPr>
                  <w:tcW w:w="896" w:type="pct"/>
                  <w:tcBorders>
                    <w:tl2br w:val="nil"/>
                    <w:tr2bl w:val="nil"/>
                  </w:tcBorders>
                  <w:noWrap w:val="0"/>
                  <w:vAlign w:val="center"/>
                </w:tcPr>
                <w:p w14:paraId="62AADFC9">
                  <w:pPr>
                    <w:pStyle w:val="20"/>
                    <w:keepNext w:val="0"/>
                    <w:keepLines w:val="0"/>
                    <w:suppressLineNumbers w:val="0"/>
                    <w:spacing w:beforeAutospacing="0" w:after="0" w:afterAutospacing="0"/>
                    <w:ind w:lef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粉料卸料至粉料罐</w:t>
                  </w:r>
                </w:p>
              </w:tc>
              <w:tc>
                <w:tcPr>
                  <w:tcW w:w="1092" w:type="pct"/>
                  <w:tcBorders>
                    <w:tl2br w:val="nil"/>
                    <w:tr2bl w:val="nil"/>
                  </w:tcBorders>
                  <w:noWrap w:val="0"/>
                  <w:vAlign w:val="center"/>
                </w:tcPr>
                <w:p w14:paraId="4F02E065">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颗粒物</w:t>
                  </w:r>
                </w:p>
              </w:tc>
              <w:tc>
                <w:tcPr>
                  <w:tcW w:w="1534" w:type="pct"/>
                  <w:tcBorders>
                    <w:tl2br w:val="nil"/>
                    <w:tr2bl w:val="nil"/>
                  </w:tcBorders>
                  <w:noWrap w:val="0"/>
                  <w:vAlign w:val="center"/>
                </w:tcPr>
                <w:p w14:paraId="54FCC5D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粉料罐顶部设置脉冲布袋除尘装置，收集处理产生的颗粒物</w:t>
                  </w:r>
                </w:p>
              </w:tc>
              <w:tc>
                <w:tcPr>
                  <w:tcW w:w="534" w:type="pct"/>
                  <w:tcBorders>
                    <w:tl2br w:val="nil"/>
                    <w:tr2bl w:val="nil"/>
                  </w:tcBorders>
                  <w:noWrap w:val="0"/>
                  <w:vAlign w:val="center"/>
                </w:tcPr>
                <w:p w14:paraId="18F853F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r>
            <w:tr w14:paraId="150F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368" w:type="pct"/>
                  <w:vMerge w:val="continue"/>
                  <w:tcBorders>
                    <w:tl2br w:val="nil"/>
                    <w:tr2bl w:val="nil"/>
                  </w:tcBorders>
                  <w:noWrap w:val="0"/>
                  <w:vAlign w:val="center"/>
                </w:tcPr>
                <w:p w14:paraId="2593C2B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72260073">
                  <w:pPr>
                    <w:pStyle w:val="20"/>
                    <w:keepNext w:val="0"/>
                    <w:keepLines w:val="0"/>
                    <w:suppressLineNumbers w:val="0"/>
                    <w:spacing w:beforeAutospacing="0" w:after="0" w:afterAutospacing="0"/>
                    <w:ind w:lef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G8</w:t>
                  </w:r>
                </w:p>
              </w:tc>
              <w:tc>
                <w:tcPr>
                  <w:tcW w:w="896" w:type="pct"/>
                  <w:tcBorders>
                    <w:tl2br w:val="nil"/>
                    <w:tr2bl w:val="nil"/>
                  </w:tcBorders>
                  <w:noWrap w:val="0"/>
                  <w:vAlign w:val="center"/>
                </w:tcPr>
                <w:p w14:paraId="2C74D76D">
                  <w:pPr>
                    <w:pStyle w:val="20"/>
                    <w:keepNext w:val="0"/>
                    <w:keepLines w:val="0"/>
                    <w:suppressLineNumbers w:val="0"/>
                    <w:spacing w:beforeAutospacing="0" w:after="0" w:afterAutospacing="0"/>
                    <w:ind w:lef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腻子粉生产线包装口</w:t>
                  </w:r>
                </w:p>
              </w:tc>
              <w:tc>
                <w:tcPr>
                  <w:tcW w:w="1092" w:type="pct"/>
                  <w:tcBorders>
                    <w:tl2br w:val="nil"/>
                    <w:tr2bl w:val="nil"/>
                  </w:tcBorders>
                  <w:noWrap w:val="0"/>
                  <w:vAlign w:val="center"/>
                </w:tcPr>
                <w:p w14:paraId="67E3C083">
                  <w:pPr>
                    <w:pStyle w:val="20"/>
                    <w:keepNext w:val="0"/>
                    <w:keepLines w:val="0"/>
                    <w:suppressLineNumbers w:val="0"/>
                    <w:spacing w:beforeAutospacing="0" w:after="0" w:afterAutospacing="0"/>
                    <w:ind w:left="0"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颗粒物</w:t>
                  </w:r>
                </w:p>
              </w:tc>
              <w:tc>
                <w:tcPr>
                  <w:tcW w:w="1534" w:type="pct"/>
                  <w:tcBorders>
                    <w:tl2br w:val="nil"/>
                    <w:tr2bl w:val="nil"/>
                  </w:tcBorders>
                  <w:noWrap w:val="0"/>
                  <w:vAlign w:val="center"/>
                </w:tcPr>
                <w:p w14:paraId="140F5CC2">
                  <w:pPr>
                    <w:keepNext w:val="0"/>
                    <w:keepLines w:val="0"/>
                    <w:widowControl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设置2套旋风除尘器除尘后，无组织排放</w:t>
                  </w:r>
                </w:p>
              </w:tc>
              <w:tc>
                <w:tcPr>
                  <w:tcW w:w="534" w:type="pct"/>
                  <w:tcBorders>
                    <w:tl2br w:val="nil"/>
                    <w:tr2bl w:val="nil"/>
                  </w:tcBorders>
                  <w:noWrap w:val="0"/>
                  <w:vAlign w:val="center"/>
                </w:tcPr>
                <w:p w14:paraId="125C2271">
                  <w:pPr>
                    <w:keepNext w:val="0"/>
                    <w:keepLines w:val="0"/>
                    <w:widowControl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r>
            <w:tr w14:paraId="40C7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noWrap w:val="0"/>
                  <w:vAlign w:val="center"/>
                </w:tcPr>
                <w:p w14:paraId="317AC57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575" w:type="pct"/>
                  <w:tcBorders>
                    <w:tl2br w:val="nil"/>
                    <w:tr2bl w:val="nil"/>
                  </w:tcBorders>
                  <w:noWrap w:val="0"/>
                  <w:vAlign w:val="center"/>
                </w:tcPr>
                <w:p w14:paraId="1C5C829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W1</w:t>
                  </w:r>
                </w:p>
              </w:tc>
              <w:tc>
                <w:tcPr>
                  <w:tcW w:w="896" w:type="pct"/>
                  <w:tcBorders>
                    <w:tl2br w:val="nil"/>
                    <w:tr2bl w:val="nil"/>
                  </w:tcBorders>
                  <w:noWrap w:val="0"/>
                  <w:vAlign w:val="center"/>
                </w:tcPr>
                <w:p w14:paraId="079A800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rPr>
                    <w:t>水过滤器清洗水</w:t>
                  </w:r>
                </w:p>
              </w:tc>
              <w:tc>
                <w:tcPr>
                  <w:tcW w:w="1092" w:type="pct"/>
                  <w:tcBorders>
                    <w:tl2br w:val="nil"/>
                    <w:tr2bl w:val="nil"/>
                  </w:tcBorders>
                  <w:noWrap w:val="0"/>
                  <w:vAlign w:val="center"/>
                </w:tcPr>
                <w:p w14:paraId="0610BB2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SS</w:t>
                  </w:r>
                </w:p>
              </w:tc>
              <w:tc>
                <w:tcPr>
                  <w:tcW w:w="2068" w:type="pct"/>
                  <w:gridSpan w:val="2"/>
                  <w:vMerge w:val="restart"/>
                  <w:tcBorders>
                    <w:tl2br w:val="nil"/>
                    <w:tr2bl w:val="nil"/>
                  </w:tcBorders>
                  <w:noWrap w:val="0"/>
                  <w:vAlign w:val="center"/>
                </w:tcPr>
                <w:p w14:paraId="38B38C6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生活污水经隔油池、化粪池预处理后同沉淀池沉淀后的生产废水一并进入厂区污水处理系统处理，处理达</w:t>
                  </w:r>
                  <w:r>
                    <w:rPr>
                      <w:rFonts w:hint="default"/>
                      <w:color w:val="auto"/>
                      <w:highlight w:val="none"/>
                    </w:rPr>
                    <w:t>《污水排入城镇下水道水质标准》（</w:t>
                  </w:r>
                  <w:r>
                    <w:rPr>
                      <w:rFonts w:hint="default" w:ascii="Times New Roman" w:eastAsia="Times New Roman"/>
                      <w:color w:val="auto"/>
                      <w:highlight w:val="none"/>
                    </w:rPr>
                    <w:t>GB/T131962-2015</w:t>
                  </w:r>
                  <w:r>
                    <w:rPr>
                      <w:rFonts w:hint="default"/>
                      <w:color w:val="auto"/>
                      <w:highlight w:val="none"/>
                    </w:rPr>
                    <w:t>）表</w:t>
                  </w:r>
                  <w:r>
                    <w:rPr>
                      <w:rFonts w:hint="default" w:ascii="Times New Roman" w:eastAsia="Times New Roman"/>
                      <w:color w:val="auto"/>
                      <w:highlight w:val="none"/>
                    </w:rPr>
                    <w:t>1</w:t>
                  </w:r>
                  <w:r>
                    <w:rPr>
                      <w:rFonts w:hint="default"/>
                      <w:color w:val="auto"/>
                      <w:highlight w:val="none"/>
                    </w:rPr>
                    <w:t>中</w:t>
                  </w:r>
                  <w:r>
                    <w:rPr>
                      <w:rFonts w:hint="default" w:ascii="Times New Roman" w:eastAsia="Times New Roman"/>
                      <w:color w:val="auto"/>
                      <w:highlight w:val="none"/>
                    </w:rPr>
                    <w:t>A</w:t>
                  </w:r>
                  <w:r>
                    <w:rPr>
                      <w:rFonts w:hint="default"/>
                      <w:color w:val="auto"/>
                      <w:highlight w:val="none"/>
                    </w:rPr>
                    <w:t>级标准</w:t>
                  </w:r>
                  <w:r>
                    <w:rPr>
                      <w:rFonts w:hint="eastAsia"/>
                      <w:color w:val="auto"/>
                      <w:highlight w:val="none"/>
                      <w:lang w:eastAsia="zh-CN"/>
                    </w:rPr>
                    <w:t>后，进入园区污水管网，最终进入富民工业园区哨箐机械加工园污水处理厂。</w:t>
                  </w:r>
                </w:p>
              </w:tc>
            </w:tr>
            <w:tr w14:paraId="74D5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70019FC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11E3E93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2</w:t>
                  </w:r>
                </w:p>
              </w:tc>
              <w:tc>
                <w:tcPr>
                  <w:tcW w:w="896" w:type="pct"/>
                  <w:tcBorders>
                    <w:tl2br w:val="nil"/>
                    <w:tr2bl w:val="nil"/>
                  </w:tcBorders>
                  <w:noWrap w:val="0"/>
                  <w:vAlign w:val="center"/>
                </w:tcPr>
                <w:p w14:paraId="46C66BE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rPr>
                    <w:t>检测废水</w:t>
                  </w:r>
                </w:p>
              </w:tc>
              <w:tc>
                <w:tcPr>
                  <w:tcW w:w="1092" w:type="pct"/>
                  <w:tcBorders>
                    <w:tl2br w:val="nil"/>
                    <w:tr2bl w:val="nil"/>
                  </w:tcBorders>
                  <w:noWrap w:val="0"/>
                  <w:vAlign w:val="center"/>
                </w:tcPr>
                <w:p w14:paraId="01B4FBE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PH</w:t>
                  </w:r>
                </w:p>
              </w:tc>
              <w:tc>
                <w:tcPr>
                  <w:tcW w:w="2068" w:type="pct"/>
                  <w:gridSpan w:val="2"/>
                  <w:vMerge w:val="continue"/>
                  <w:tcBorders>
                    <w:tl2br w:val="nil"/>
                    <w:tr2bl w:val="nil"/>
                  </w:tcBorders>
                  <w:noWrap w:val="0"/>
                  <w:vAlign w:val="center"/>
                </w:tcPr>
                <w:p w14:paraId="6678A7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02F7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47B20DE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10745B1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3</w:t>
                  </w:r>
                </w:p>
              </w:tc>
              <w:tc>
                <w:tcPr>
                  <w:tcW w:w="896" w:type="pct"/>
                  <w:tcBorders>
                    <w:tl2br w:val="nil"/>
                    <w:tr2bl w:val="nil"/>
                  </w:tcBorders>
                  <w:noWrap w:val="0"/>
                  <w:vAlign w:val="center"/>
                </w:tcPr>
                <w:p w14:paraId="1413B2F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rPr>
                    <w:t>乳胶漆过滤器冲洗水</w:t>
                  </w:r>
                </w:p>
              </w:tc>
              <w:tc>
                <w:tcPr>
                  <w:tcW w:w="1092" w:type="pct"/>
                  <w:tcBorders>
                    <w:tl2br w:val="nil"/>
                    <w:tr2bl w:val="nil"/>
                  </w:tcBorders>
                  <w:noWrap w:val="0"/>
                  <w:vAlign w:val="center"/>
                </w:tcPr>
                <w:p w14:paraId="2F4955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eastAsia="Times New Roman"/>
                      <w:color w:val="auto"/>
                    </w:rPr>
                    <w:t>COD</w:t>
                  </w:r>
                  <w:r>
                    <w:rPr>
                      <w:rFonts w:hint="default"/>
                      <w:color w:val="auto"/>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default"/>
                      <w:color w:val="auto"/>
                    </w:rPr>
                    <w:t>、石油类及阴离子表面活性剂</w:t>
                  </w:r>
                </w:p>
              </w:tc>
              <w:tc>
                <w:tcPr>
                  <w:tcW w:w="2068" w:type="pct"/>
                  <w:gridSpan w:val="2"/>
                  <w:vMerge w:val="continue"/>
                  <w:tcBorders>
                    <w:tl2br w:val="nil"/>
                    <w:tr2bl w:val="nil"/>
                  </w:tcBorders>
                  <w:noWrap w:val="0"/>
                  <w:vAlign w:val="center"/>
                </w:tcPr>
                <w:p w14:paraId="644885A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307D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66CF039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4E3FE6B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4</w:t>
                  </w:r>
                </w:p>
              </w:tc>
              <w:tc>
                <w:tcPr>
                  <w:tcW w:w="896" w:type="pct"/>
                  <w:tcBorders>
                    <w:tl2br w:val="nil"/>
                    <w:tr2bl w:val="nil"/>
                  </w:tcBorders>
                  <w:noWrap w:val="0"/>
                  <w:vAlign w:val="center"/>
                </w:tcPr>
                <w:p w14:paraId="4BB55BA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rPr>
                    <w:t>乳胶漆包装包装机清洗水</w:t>
                  </w:r>
                </w:p>
              </w:tc>
              <w:tc>
                <w:tcPr>
                  <w:tcW w:w="1092" w:type="pct"/>
                  <w:tcBorders>
                    <w:tl2br w:val="nil"/>
                    <w:tr2bl w:val="nil"/>
                  </w:tcBorders>
                  <w:noWrap w:val="0"/>
                  <w:vAlign w:val="center"/>
                </w:tcPr>
                <w:p w14:paraId="7F5F57E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eastAsia="Times New Roman"/>
                      <w:color w:val="auto"/>
                    </w:rPr>
                    <w:t>COD</w:t>
                  </w:r>
                  <w:r>
                    <w:rPr>
                      <w:rFonts w:hint="default"/>
                      <w:color w:val="auto"/>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default"/>
                      <w:color w:val="auto"/>
                    </w:rPr>
                    <w:t>、石油类及阴离子表面活性剂</w:t>
                  </w:r>
                </w:p>
              </w:tc>
              <w:tc>
                <w:tcPr>
                  <w:tcW w:w="2068" w:type="pct"/>
                  <w:gridSpan w:val="2"/>
                  <w:vMerge w:val="continue"/>
                  <w:tcBorders>
                    <w:tl2br w:val="nil"/>
                    <w:tr2bl w:val="nil"/>
                  </w:tcBorders>
                  <w:noWrap w:val="0"/>
                  <w:vAlign w:val="center"/>
                </w:tcPr>
                <w:p w14:paraId="52FF202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0B93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3FA2C70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5EAC2A2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5</w:t>
                  </w:r>
                </w:p>
              </w:tc>
              <w:tc>
                <w:tcPr>
                  <w:tcW w:w="896" w:type="pct"/>
                  <w:tcBorders>
                    <w:tl2br w:val="nil"/>
                    <w:tr2bl w:val="nil"/>
                  </w:tcBorders>
                  <w:noWrap w:val="0"/>
                  <w:vAlign w:val="center"/>
                </w:tcPr>
                <w:p w14:paraId="1FE0D88F">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rPr>
                    <w:t>乳胶漆生产线洗缸废水</w:t>
                  </w:r>
                </w:p>
              </w:tc>
              <w:tc>
                <w:tcPr>
                  <w:tcW w:w="1092" w:type="pct"/>
                  <w:tcBorders>
                    <w:tl2br w:val="nil"/>
                    <w:tr2bl w:val="nil"/>
                  </w:tcBorders>
                  <w:noWrap w:val="0"/>
                  <w:vAlign w:val="center"/>
                </w:tcPr>
                <w:p w14:paraId="7E837C8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color w:val="auto"/>
                    </w:rPr>
                    <w:t xml:space="preserve"> </w:t>
                  </w:r>
                  <w:r>
                    <w:rPr>
                      <w:rFonts w:hint="default" w:ascii="Times New Roman" w:eastAsia="Times New Roman"/>
                      <w:color w:val="auto"/>
                    </w:rPr>
                    <w:t>COD</w:t>
                  </w:r>
                  <w:r>
                    <w:rPr>
                      <w:rFonts w:hint="default"/>
                      <w:color w:val="auto"/>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default"/>
                      <w:color w:val="auto"/>
                    </w:rPr>
                    <w:t>、石油类及阴离子表面活性剂</w:t>
                  </w:r>
                </w:p>
              </w:tc>
              <w:tc>
                <w:tcPr>
                  <w:tcW w:w="2068" w:type="pct"/>
                  <w:gridSpan w:val="2"/>
                  <w:vMerge w:val="continue"/>
                  <w:tcBorders>
                    <w:tl2br w:val="nil"/>
                    <w:tr2bl w:val="nil"/>
                  </w:tcBorders>
                  <w:noWrap w:val="0"/>
                  <w:vAlign w:val="center"/>
                </w:tcPr>
                <w:p w14:paraId="0C7BE63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24A7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62C7AC6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501886A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6</w:t>
                  </w:r>
                </w:p>
              </w:tc>
              <w:tc>
                <w:tcPr>
                  <w:tcW w:w="896" w:type="pct"/>
                  <w:tcBorders>
                    <w:tl2br w:val="nil"/>
                    <w:tr2bl w:val="nil"/>
                  </w:tcBorders>
                  <w:noWrap w:val="0"/>
                  <w:vAlign w:val="center"/>
                </w:tcPr>
                <w:p w14:paraId="684FC4D1">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rPr>
                    <w:t>车间设备和罐体外表面清洗废水</w:t>
                  </w:r>
                </w:p>
              </w:tc>
              <w:tc>
                <w:tcPr>
                  <w:tcW w:w="1092" w:type="pct"/>
                  <w:tcBorders>
                    <w:tl2br w:val="nil"/>
                    <w:tr2bl w:val="nil"/>
                  </w:tcBorders>
                  <w:noWrap w:val="0"/>
                  <w:vAlign w:val="center"/>
                </w:tcPr>
                <w:p w14:paraId="2C96952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eastAsia="Times New Roman"/>
                      <w:color w:val="auto"/>
                    </w:rPr>
                    <w:t>COD</w:t>
                  </w:r>
                  <w:r>
                    <w:rPr>
                      <w:rFonts w:hint="default"/>
                      <w:color w:val="auto"/>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default"/>
                      <w:color w:val="auto"/>
                    </w:rPr>
                    <w:t>、石油类及阴离子表面活性剂</w:t>
                  </w:r>
                </w:p>
              </w:tc>
              <w:tc>
                <w:tcPr>
                  <w:tcW w:w="2068" w:type="pct"/>
                  <w:gridSpan w:val="2"/>
                  <w:vMerge w:val="continue"/>
                  <w:tcBorders>
                    <w:tl2br w:val="nil"/>
                    <w:tr2bl w:val="nil"/>
                  </w:tcBorders>
                  <w:noWrap w:val="0"/>
                  <w:vAlign w:val="center"/>
                </w:tcPr>
                <w:p w14:paraId="250ADB8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1E8D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6182EA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5D9E2AE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7</w:t>
                  </w:r>
                </w:p>
              </w:tc>
              <w:tc>
                <w:tcPr>
                  <w:tcW w:w="896" w:type="pct"/>
                  <w:tcBorders>
                    <w:tl2br w:val="nil"/>
                    <w:tr2bl w:val="nil"/>
                  </w:tcBorders>
                  <w:noWrap w:val="0"/>
                  <w:vAlign w:val="center"/>
                </w:tcPr>
                <w:p w14:paraId="5DF86D60">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rPr>
                    <w:t>砂壁车间清洗水</w:t>
                  </w:r>
                </w:p>
              </w:tc>
              <w:tc>
                <w:tcPr>
                  <w:tcW w:w="1092" w:type="pct"/>
                  <w:tcBorders>
                    <w:tl2br w:val="nil"/>
                    <w:tr2bl w:val="nil"/>
                  </w:tcBorders>
                  <w:noWrap w:val="0"/>
                  <w:vAlign w:val="center"/>
                </w:tcPr>
                <w:p w14:paraId="7EBBB5A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eastAsia="Times New Roman"/>
                      <w:color w:val="auto"/>
                    </w:rPr>
                    <w:t>COD</w:t>
                  </w:r>
                  <w:r>
                    <w:rPr>
                      <w:rFonts w:hint="default"/>
                      <w:color w:val="auto"/>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default"/>
                      <w:color w:val="auto"/>
                    </w:rPr>
                    <w:t>、石油类及阴离子表面活性剂</w:t>
                  </w:r>
                </w:p>
              </w:tc>
              <w:tc>
                <w:tcPr>
                  <w:tcW w:w="2068" w:type="pct"/>
                  <w:gridSpan w:val="2"/>
                  <w:vMerge w:val="continue"/>
                  <w:tcBorders>
                    <w:tl2br w:val="nil"/>
                    <w:tr2bl w:val="nil"/>
                  </w:tcBorders>
                  <w:noWrap w:val="0"/>
                  <w:vAlign w:val="center"/>
                </w:tcPr>
                <w:p w14:paraId="4307DBE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2A10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165934F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7277F03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8</w:t>
                  </w:r>
                </w:p>
              </w:tc>
              <w:tc>
                <w:tcPr>
                  <w:tcW w:w="896" w:type="pct"/>
                  <w:tcBorders>
                    <w:tl2br w:val="nil"/>
                    <w:tr2bl w:val="nil"/>
                  </w:tcBorders>
                  <w:noWrap w:val="0"/>
                  <w:vAlign w:val="center"/>
                </w:tcPr>
                <w:p w14:paraId="3FBE6C1C">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rPr>
                    <w:t>砂壁生产线洗缸废水</w:t>
                  </w:r>
                </w:p>
              </w:tc>
              <w:tc>
                <w:tcPr>
                  <w:tcW w:w="1092" w:type="pct"/>
                  <w:tcBorders>
                    <w:tl2br w:val="nil"/>
                    <w:tr2bl w:val="nil"/>
                  </w:tcBorders>
                  <w:noWrap w:val="0"/>
                  <w:vAlign w:val="center"/>
                </w:tcPr>
                <w:p w14:paraId="143824A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eastAsia="Times New Roman"/>
                      <w:color w:val="auto"/>
                    </w:rPr>
                    <w:t>COD</w:t>
                  </w:r>
                  <w:r>
                    <w:rPr>
                      <w:rFonts w:hint="default"/>
                      <w:color w:val="auto"/>
                      <w:spacing w:val="4"/>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default"/>
                      <w:color w:val="auto"/>
                      <w:spacing w:val="-1"/>
                    </w:rPr>
                    <w:t>、石油类及阴离子表面活性剂</w:t>
                  </w:r>
                </w:p>
              </w:tc>
              <w:tc>
                <w:tcPr>
                  <w:tcW w:w="2068" w:type="pct"/>
                  <w:gridSpan w:val="2"/>
                  <w:vMerge w:val="continue"/>
                  <w:tcBorders>
                    <w:tl2br w:val="nil"/>
                    <w:tr2bl w:val="nil"/>
                  </w:tcBorders>
                  <w:noWrap w:val="0"/>
                  <w:vAlign w:val="center"/>
                </w:tcPr>
                <w:p w14:paraId="5E0548A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2048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368" w:type="pct"/>
                  <w:vMerge w:val="continue"/>
                  <w:tcBorders>
                    <w:tl2br w:val="nil"/>
                    <w:tr2bl w:val="nil"/>
                  </w:tcBorders>
                  <w:noWrap w:val="0"/>
                  <w:vAlign w:val="center"/>
                </w:tcPr>
                <w:p w14:paraId="0638FA3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7BA599E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9</w:t>
                  </w:r>
                </w:p>
              </w:tc>
              <w:tc>
                <w:tcPr>
                  <w:tcW w:w="896" w:type="pct"/>
                  <w:tcBorders>
                    <w:tl2br w:val="nil"/>
                    <w:tr2bl w:val="nil"/>
                  </w:tcBorders>
                  <w:noWrap w:val="0"/>
                  <w:vAlign w:val="center"/>
                </w:tcPr>
                <w:p w14:paraId="6F955FB8">
                  <w:pPr>
                    <w:keepNext w:val="0"/>
                    <w:keepLines w:val="0"/>
                    <w:widowControl w:val="0"/>
                    <w:suppressLineNumbers w:val="0"/>
                    <w:spacing w:before="0" w:beforeAutospacing="0" w:after="0" w:afterAutospacing="0"/>
                    <w:ind w:left="0" w:right="0"/>
                    <w:jc w:val="center"/>
                    <w:rPr>
                      <w:rFonts w:hint="eastAsia" w:eastAsia="宋体"/>
                      <w:color w:val="auto"/>
                      <w:lang w:eastAsia="zh-CN"/>
                    </w:rPr>
                  </w:pPr>
                  <w:r>
                    <w:rPr>
                      <w:rFonts w:hint="eastAsia"/>
                      <w:color w:val="auto"/>
                      <w:lang w:eastAsia="zh-CN"/>
                    </w:rPr>
                    <w:t>生活污水</w:t>
                  </w:r>
                </w:p>
              </w:tc>
              <w:tc>
                <w:tcPr>
                  <w:tcW w:w="1092" w:type="pct"/>
                  <w:tcBorders>
                    <w:tl2br w:val="nil"/>
                    <w:tr2bl w:val="nil"/>
                  </w:tcBorders>
                  <w:noWrap w:val="0"/>
                  <w:vAlign w:val="center"/>
                </w:tcPr>
                <w:p w14:paraId="22955BD8">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eastAsia="Times New Roman"/>
                      <w:color w:val="auto"/>
                    </w:rPr>
                    <w:t>COD</w:t>
                  </w:r>
                  <w:r>
                    <w:rPr>
                      <w:rFonts w:hint="default"/>
                      <w:color w:val="auto"/>
                      <w:spacing w:val="4"/>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eastAsia" w:eastAsia="宋体"/>
                      <w:color w:val="auto"/>
                      <w:lang w:eastAsia="zh-CN"/>
                    </w:rPr>
                    <w:t>、</w:t>
                  </w:r>
                  <w:r>
                    <w:rPr>
                      <w:rFonts w:hint="default"/>
                      <w:color w:val="auto"/>
                      <w:spacing w:val="-1"/>
                    </w:rPr>
                    <w:t xml:space="preserve">动植物油 </w:t>
                  </w:r>
                  <w:r>
                    <w:rPr>
                      <w:rFonts w:hint="eastAsia"/>
                      <w:color w:val="auto"/>
                      <w:spacing w:val="-1"/>
                      <w:lang w:eastAsia="zh-CN"/>
                    </w:rPr>
                    <w:t>、</w:t>
                  </w:r>
                  <w:r>
                    <w:rPr>
                      <w:rFonts w:hint="default"/>
                      <w:color w:val="auto"/>
                      <w:spacing w:val="-1"/>
                    </w:rPr>
                    <w:t>阴离子表面活性</w:t>
                  </w:r>
                  <w:r>
                    <w:rPr>
                      <w:rFonts w:hint="default"/>
                      <w:color w:val="auto"/>
                      <w:spacing w:val="-7"/>
                      <w:vertAlign w:val="baseline"/>
                    </w:rPr>
                    <w:t>剂</w:t>
                  </w:r>
                  <w:r>
                    <w:rPr>
                      <w:rFonts w:hint="eastAsia"/>
                      <w:color w:val="auto"/>
                      <w:spacing w:val="-7"/>
                      <w:vertAlign w:val="baseline"/>
                      <w:lang w:eastAsia="zh-CN"/>
                    </w:rPr>
                    <w:t>、</w:t>
                  </w:r>
                  <w:r>
                    <w:rPr>
                      <w:rFonts w:hint="default" w:ascii="Times New Roman" w:hAnsi="Times New Roman" w:eastAsia="Times New Roman"/>
                      <w:color w:val="auto"/>
                      <w:position w:val="2"/>
                      <w:vertAlign w:val="baseline"/>
                    </w:rPr>
                    <w:t>NH</w:t>
                  </w:r>
                  <w:r>
                    <w:rPr>
                      <w:rFonts w:hint="default" w:ascii="Times New Roman" w:hAnsi="Times New Roman" w:eastAsia="Times New Roman"/>
                      <w:color w:val="auto"/>
                      <w:position w:val="2"/>
                      <w:vertAlign w:val="subscript"/>
                    </w:rPr>
                    <w:t>3</w:t>
                  </w:r>
                  <w:r>
                    <w:rPr>
                      <w:rFonts w:hint="default" w:ascii="Times New Roman" w:hAnsi="Times New Roman" w:eastAsia="Times New Roman"/>
                      <w:color w:val="auto"/>
                      <w:position w:val="2"/>
                      <w:vertAlign w:val="baseline"/>
                    </w:rPr>
                    <w:t>-N</w:t>
                  </w:r>
                </w:p>
              </w:tc>
              <w:tc>
                <w:tcPr>
                  <w:tcW w:w="2068" w:type="pct"/>
                  <w:gridSpan w:val="2"/>
                  <w:vMerge w:val="continue"/>
                  <w:tcBorders>
                    <w:tl2br w:val="nil"/>
                    <w:tr2bl w:val="nil"/>
                  </w:tcBorders>
                  <w:noWrap w:val="0"/>
                  <w:vAlign w:val="center"/>
                </w:tcPr>
                <w:p w14:paraId="62284FC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2A67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noWrap w:val="0"/>
                  <w:vAlign w:val="center"/>
                </w:tcPr>
                <w:p w14:paraId="0F5B50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75" w:type="pct"/>
                  <w:tcBorders>
                    <w:tl2br w:val="nil"/>
                    <w:tr2bl w:val="nil"/>
                  </w:tcBorders>
                  <w:noWrap w:val="0"/>
                  <w:vAlign w:val="center"/>
                </w:tcPr>
                <w:p w14:paraId="19A84375">
                  <w:pPr>
                    <w:pStyle w:val="41"/>
                    <w:keepNext w:val="0"/>
                    <w:keepLines w:val="0"/>
                    <w:suppressLineNumbers w:val="0"/>
                    <w:spacing w:before="5" w:beforeAutospacing="0" w:after="0" w:afterAutospacing="0" w:line="247" w:lineRule="exact"/>
                    <w:ind w:left="91" w:leftChars="0" w:right="81"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color w:val="auto"/>
                      <w:w w:val="105"/>
                      <w:position w:val="1"/>
                      <w:sz w:val="21"/>
                    </w:rPr>
                    <w:t>D</w:t>
                  </w:r>
                  <w:r>
                    <w:rPr>
                      <w:rFonts w:hint="default" w:ascii="Times New Roman"/>
                      <w:color w:val="auto"/>
                      <w:w w:val="105"/>
                      <w:position w:val="1"/>
                      <w:sz w:val="21"/>
                      <w:vertAlign w:val="subscript"/>
                    </w:rPr>
                    <w:t>1</w:t>
                  </w:r>
                </w:p>
              </w:tc>
              <w:tc>
                <w:tcPr>
                  <w:tcW w:w="896" w:type="pct"/>
                  <w:tcBorders>
                    <w:tl2br w:val="nil"/>
                    <w:tr2bl w:val="nil"/>
                  </w:tcBorders>
                  <w:noWrap w:val="0"/>
                  <w:vAlign w:val="center"/>
                </w:tcPr>
                <w:p w14:paraId="5DD14BF8">
                  <w:pPr>
                    <w:pStyle w:val="41"/>
                    <w:keepNext w:val="0"/>
                    <w:keepLines w:val="0"/>
                    <w:suppressLineNumbers w:val="0"/>
                    <w:spacing w:before="1" w:beforeAutospacing="0" w:after="0" w:afterAutospacing="0" w:line="251" w:lineRule="exact"/>
                    <w:ind w:left="57" w:leftChars="0" w:right="42"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水过滤</w:t>
                  </w:r>
                </w:p>
              </w:tc>
              <w:tc>
                <w:tcPr>
                  <w:tcW w:w="1092" w:type="pct"/>
                  <w:tcBorders>
                    <w:tl2br w:val="nil"/>
                    <w:tr2bl w:val="nil"/>
                  </w:tcBorders>
                  <w:noWrap w:val="0"/>
                  <w:vAlign w:val="center"/>
                </w:tcPr>
                <w:p w14:paraId="368B75C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废弃滤布</w:t>
                  </w:r>
                </w:p>
              </w:tc>
              <w:tc>
                <w:tcPr>
                  <w:tcW w:w="1534" w:type="pct"/>
                  <w:tcBorders>
                    <w:tl2br w:val="nil"/>
                    <w:tr2bl w:val="nil"/>
                  </w:tcBorders>
                  <w:noWrap w:val="0"/>
                  <w:vAlign w:val="center"/>
                </w:tcPr>
                <w:p w14:paraId="534499E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收集混于生活垃圾，委托环卫部门清运处置</w:t>
                  </w:r>
                </w:p>
              </w:tc>
              <w:tc>
                <w:tcPr>
                  <w:tcW w:w="534" w:type="pct"/>
                  <w:vMerge w:val="restart"/>
                  <w:tcBorders>
                    <w:tl2br w:val="nil"/>
                    <w:tr2bl w:val="nil"/>
                  </w:tcBorders>
                  <w:noWrap w:val="0"/>
                  <w:vAlign w:val="center"/>
                </w:tcPr>
                <w:p w14:paraId="0BA0A85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处置率</w:t>
                  </w:r>
                  <w:r>
                    <w:rPr>
                      <w:rFonts w:hint="default" w:ascii="Times New Roman" w:hAnsi="Times New Roman" w:eastAsia="宋体" w:cs="Times New Roman"/>
                      <w:color w:val="auto"/>
                      <w:sz w:val="21"/>
                      <w:szCs w:val="21"/>
                      <w:highlight w:val="none"/>
                      <w:lang w:val="en-US" w:eastAsia="zh-CN"/>
                    </w:rPr>
                    <w:t>100%</w:t>
                  </w:r>
                </w:p>
              </w:tc>
            </w:tr>
            <w:tr w14:paraId="04E6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68" w:type="pct"/>
                  <w:vMerge w:val="continue"/>
                  <w:tcBorders>
                    <w:tl2br w:val="nil"/>
                    <w:tr2bl w:val="nil"/>
                  </w:tcBorders>
                  <w:noWrap w:val="0"/>
                  <w:vAlign w:val="center"/>
                </w:tcPr>
                <w:p w14:paraId="42998A9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2482943D">
                  <w:pPr>
                    <w:pStyle w:val="41"/>
                    <w:keepNext w:val="0"/>
                    <w:keepLines w:val="0"/>
                    <w:suppressLineNumbers w:val="0"/>
                    <w:spacing w:before="5" w:beforeAutospacing="0" w:after="0" w:afterAutospacing="0" w:line="246" w:lineRule="exact"/>
                    <w:ind w:left="91" w:leftChars="0" w:right="81"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color w:val="auto"/>
                      <w:w w:val="105"/>
                      <w:position w:val="1"/>
                      <w:sz w:val="21"/>
                    </w:rPr>
                    <w:t>D</w:t>
                  </w:r>
                  <w:r>
                    <w:rPr>
                      <w:rFonts w:hint="default" w:ascii="Times New Roman"/>
                      <w:color w:val="auto"/>
                      <w:w w:val="105"/>
                      <w:position w:val="1"/>
                      <w:sz w:val="21"/>
                      <w:vertAlign w:val="subscript"/>
                    </w:rPr>
                    <w:t>2</w:t>
                  </w:r>
                </w:p>
              </w:tc>
              <w:tc>
                <w:tcPr>
                  <w:tcW w:w="896" w:type="pct"/>
                  <w:tcBorders>
                    <w:tl2br w:val="nil"/>
                    <w:tr2bl w:val="nil"/>
                  </w:tcBorders>
                  <w:noWrap w:val="0"/>
                  <w:vAlign w:val="center"/>
                </w:tcPr>
                <w:p w14:paraId="4A4E8FA8">
                  <w:pPr>
                    <w:pStyle w:val="41"/>
                    <w:keepNext w:val="0"/>
                    <w:keepLines w:val="0"/>
                    <w:suppressLineNumbers w:val="0"/>
                    <w:spacing w:before="1" w:beforeAutospacing="0" w:after="0" w:afterAutospacing="0" w:line="250" w:lineRule="exact"/>
                    <w:ind w:left="62" w:leftChars="0" w:right="42" w:rightChars="0"/>
                    <w:jc w:val="center"/>
                    <w:rPr>
                      <w:rFonts w:hint="eastAsia" w:ascii="Times New Roman" w:hAnsi="Times New Roman" w:eastAsia="宋体" w:cs="Times New Roman"/>
                      <w:color w:val="auto"/>
                      <w:sz w:val="21"/>
                      <w:szCs w:val="21"/>
                      <w:highlight w:val="none"/>
                      <w:lang w:val="en-US" w:eastAsia="zh-CN"/>
                    </w:rPr>
                  </w:pPr>
                  <w:r>
                    <w:rPr>
                      <w:rFonts w:hint="eastAsia"/>
                      <w:color w:val="auto"/>
                      <w:sz w:val="21"/>
                      <w:lang w:eastAsia="zh-CN"/>
                    </w:rPr>
                    <w:t>收尘装置粉尘收集</w:t>
                  </w:r>
                </w:p>
              </w:tc>
              <w:tc>
                <w:tcPr>
                  <w:tcW w:w="1092" w:type="pct"/>
                  <w:tcBorders>
                    <w:tl2br w:val="nil"/>
                    <w:tr2bl w:val="nil"/>
                  </w:tcBorders>
                  <w:noWrap w:val="0"/>
                  <w:vAlign w:val="center"/>
                </w:tcPr>
                <w:p w14:paraId="7C97CE09">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粉尘</w:t>
                  </w:r>
                </w:p>
              </w:tc>
              <w:tc>
                <w:tcPr>
                  <w:tcW w:w="1534" w:type="pct"/>
                  <w:tcBorders>
                    <w:tl2br w:val="nil"/>
                    <w:tr2bl w:val="nil"/>
                  </w:tcBorders>
                  <w:noWrap w:val="0"/>
                  <w:vAlign w:val="center"/>
                </w:tcPr>
                <w:p w14:paraId="2ED7D63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返回原料填加工序</w:t>
                  </w:r>
                </w:p>
              </w:tc>
              <w:tc>
                <w:tcPr>
                  <w:tcW w:w="534" w:type="pct"/>
                  <w:vMerge w:val="continue"/>
                  <w:tcBorders>
                    <w:tl2br w:val="nil"/>
                    <w:tr2bl w:val="nil"/>
                  </w:tcBorders>
                  <w:noWrap w:val="0"/>
                  <w:vAlign w:val="center"/>
                </w:tcPr>
                <w:p w14:paraId="4AEF5F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3EA5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748D53C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0961B001">
                  <w:pPr>
                    <w:pStyle w:val="41"/>
                    <w:keepNext w:val="0"/>
                    <w:keepLines w:val="0"/>
                    <w:suppressLineNumbers w:val="0"/>
                    <w:spacing w:before="0" w:beforeAutospacing="0" w:after="0" w:afterAutospacing="0" w:line="252" w:lineRule="exact"/>
                    <w:ind w:left="91" w:leftChars="0" w:right="81"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color w:val="auto"/>
                      <w:w w:val="105"/>
                      <w:position w:val="1"/>
                      <w:sz w:val="21"/>
                    </w:rPr>
                    <w:t>D</w:t>
                  </w:r>
                  <w:r>
                    <w:rPr>
                      <w:rFonts w:hint="eastAsia" w:ascii="Times New Roman"/>
                      <w:color w:val="auto"/>
                      <w:w w:val="105"/>
                      <w:position w:val="1"/>
                      <w:sz w:val="21"/>
                      <w:lang w:val="en-US" w:eastAsia="zh-CN"/>
                    </w:rPr>
                    <w:t>3</w:t>
                  </w:r>
                </w:p>
              </w:tc>
              <w:tc>
                <w:tcPr>
                  <w:tcW w:w="896" w:type="pct"/>
                  <w:tcBorders>
                    <w:tl2br w:val="nil"/>
                    <w:tr2bl w:val="nil"/>
                  </w:tcBorders>
                  <w:noWrap w:val="0"/>
                  <w:vAlign w:val="center"/>
                </w:tcPr>
                <w:p w14:paraId="0C3D661F">
                  <w:pPr>
                    <w:pStyle w:val="41"/>
                    <w:keepNext w:val="0"/>
                    <w:keepLines w:val="0"/>
                    <w:suppressLineNumbers w:val="0"/>
                    <w:spacing w:before="3" w:beforeAutospacing="0" w:after="0" w:afterAutospacing="0" w:line="249" w:lineRule="exact"/>
                    <w:ind w:left="62" w:leftChars="0" w:right="42" w:rightChars="0"/>
                    <w:jc w:val="center"/>
                    <w:rPr>
                      <w:rFonts w:hint="eastAsia" w:ascii="Times New Roman" w:hAnsi="Times New Roman" w:eastAsia="宋体" w:cs="Times New Roman"/>
                      <w:color w:val="auto"/>
                      <w:sz w:val="21"/>
                      <w:szCs w:val="21"/>
                      <w:highlight w:val="none"/>
                      <w:lang w:eastAsia="zh-CN"/>
                    </w:rPr>
                  </w:pPr>
                  <w:r>
                    <w:rPr>
                      <w:rFonts w:hint="default"/>
                      <w:color w:val="auto"/>
                      <w:spacing w:val="-8"/>
                    </w:rPr>
                    <w:t>原</w:t>
                  </w:r>
                  <w:r>
                    <w:rPr>
                      <w:rFonts w:hint="eastAsia"/>
                      <w:color w:val="auto"/>
                      <w:spacing w:val="-8"/>
                      <w:lang w:eastAsia="zh-CN"/>
                    </w:rPr>
                    <w:t>辅料包装</w:t>
                  </w:r>
                </w:p>
              </w:tc>
              <w:tc>
                <w:tcPr>
                  <w:tcW w:w="1092" w:type="pct"/>
                  <w:tcBorders>
                    <w:tl2br w:val="nil"/>
                    <w:tr2bl w:val="nil"/>
                  </w:tcBorders>
                  <w:noWrap w:val="0"/>
                  <w:vAlign w:val="center"/>
                </w:tcPr>
                <w:p w14:paraId="4FFBC31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废包装材料</w:t>
                  </w:r>
                </w:p>
              </w:tc>
              <w:tc>
                <w:tcPr>
                  <w:tcW w:w="1534" w:type="pct"/>
                  <w:tcBorders>
                    <w:tl2br w:val="nil"/>
                    <w:tr2bl w:val="nil"/>
                  </w:tcBorders>
                  <w:noWrap w:val="0"/>
                  <w:vAlign w:val="center"/>
                </w:tcPr>
                <w:p w14:paraId="59F2E58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color w:val="auto"/>
                      <w:sz w:val="21"/>
                    </w:rPr>
                    <w:t>收集后送废品回收站</w:t>
                  </w:r>
                </w:p>
              </w:tc>
              <w:tc>
                <w:tcPr>
                  <w:tcW w:w="534" w:type="pct"/>
                  <w:vMerge w:val="continue"/>
                  <w:tcBorders>
                    <w:tl2br w:val="nil"/>
                    <w:tr2bl w:val="nil"/>
                  </w:tcBorders>
                  <w:noWrap w:val="0"/>
                  <w:vAlign w:val="center"/>
                </w:tcPr>
                <w:p w14:paraId="2763A33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04EA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7FDB63A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331BB798">
                  <w:pPr>
                    <w:pStyle w:val="41"/>
                    <w:keepNext w:val="0"/>
                    <w:keepLines w:val="0"/>
                    <w:suppressLineNumbers w:val="0"/>
                    <w:spacing w:before="0" w:beforeAutospacing="0" w:after="0" w:afterAutospacing="0" w:line="253" w:lineRule="exact"/>
                    <w:ind w:left="91" w:leftChars="0" w:right="81"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color w:val="auto"/>
                      <w:w w:val="105"/>
                      <w:position w:val="2"/>
                      <w:sz w:val="21"/>
                    </w:rPr>
                    <w:t>D</w:t>
                  </w:r>
                  <w:r>
                    <w:rPr>
                      <w:rFonts w:hint="default" w:ascii="Times New Roman"/>
                      <w:color w:val="auto"/>
                      <w:w w:val="105"/>
                      <w:position w:val="2"/>
                      <w:sz w:val="21"/>
                      <w:vertAlign w:val="baseline"/>
                    </w:rPr>
                    <w:t>4</w:t>
                  </w:r>
                </w:p>
              </w:tc>
              <w:tc>
                <w:tcPr>
                  <w:tcW w:w="896" w:type="pct"/>
                  <w:tcBorders>
                    <w:tl2br w:val="nil"/>
                    <w:tr2bl w:val="nil"/>
                  </w:tcBorders>
                  <w:noWrap w:val="0"/>
                  <w:vAlign w:val="center"/>
                </w:tcPr>
                <w:p w14:paraId="683ED15D">
                  <w:pPr>
                    <w:pStyle w:val="41"/>
                    <w:keepNext w:val="0"/>
                    <w:keepLines w:val="0"/>
                    <w:suppressLineNumbers w:val="0"/>
                    <w:spacing w:before="0" w:beforeAutospacing="0" w:after="0" w:afterAutospacing="0" w:line="253" w:lineRule="exact"/>
                    <w:ind w:left="62" w:leftChars="0" w:right="42" w:rightChars="0"/>
                    <w:jc w:val="center"/>
                    <w:rPr>
                      <w:rFonts w:hint="default" w:ascii="Times New Roman" w:hAnsi="Times New Roman" w:eastAsia="宋体" w:cs="Times New Roman"/>
                      <w:color w:val="auto"/>
                      <w:sz w:val="21"/>
                      <w:szCs w:val="21"/>
                      <w:highlight w:val="none"/>
                      <w:lang w:val="en-US" w:eastAsia="zh-CN"/>
                    </w:rPr>
                  </w:pPr>
                  <w:r>
                    <w:rPr>
                      <w:rFonts w:hint="default"/>
                      <w:color w:val="auto"/>
                      <w:sz w:val="21"/>
                    </w:rPr>
                    <w:t>腻子粉收尘灰</w:t>
                  </w:r>
                </w:p>
              </w:tc>
              <w:tc>
                <w:tcPr>
                  <w:tcW w:w="1092" w:type="pct"/>
                  <w:tcBorders>
                    <w:tl2br w:val="nil"/>
                    <w:tr2bl w:val="nil"/>
                  </w:tcBorders>
                  <w:noWrap w:val="0"/>
                  <w:vAlign w:val="center"/>
                </w:tcPr>
                <w:p w14:paraId="2F76EEB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粉尘</w:t>
                  </w:r>
                </w:p>
              </w:tc>
              <w:tc>
                <w:tcPr>
                  <w:tcW w:w="1534" w:type="pct"/>
                  <w:tcBorders>
                    <w:tl2br w:val="nil"/>
                    <w:tr2bl w:val="nil"/>
                  </w:tcBorders>
                  <w:noWrap w:val="0"/>
                  <w:vAlign w:val="center"/>
                </w:tcPr>
                <w:p w14:paraId="3E42BEB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回用于项目</w:t>
                  </w:r>
                </w:p>
              </w:tc>
              <w:tc>
                <w:tcPr>
                  <w:tcW w:w="534" w:type="pct"/>
                  <w:vMerge w:val="continue"/>
                  <w:tcBorders>
                    <w:tl2br w:val="nil"/>
                    <w:tr2bl w:val="nil"/>
                  </w:tcBorders>
                  <w:noWrap w:val="0"/>
                  <w:vAlign w:val="center"/>
                </w:tcPr>
                <w:p w14:paraId="1372F6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8D5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645D241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31A89D2C">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color w:val="auto"/>
                      <w:w w:val="105"/>
                      <w:position w:val="2"/>
                      <w:sz w:val="21"/>
                    </w:rPr>
                    <w:t>D</w:t>
                  </w:r>
                  <w:r>
                    <w:rPr>
                      <w:rFonts w:hint="eastAsia" w:ascii="Times New Roman"/>
                      <w:color w:val="auto"/>
                      <w:w w:val="105"/>
                      <w:position w:val="2"/>
                      <w:sz w:val="21"/>
                      <w:lang w:val="en-US" w:eastAsia="zh-CN"/>
                    </w:rPr>
                    <w:t>5</w:t>
                  </w:r>
                </w:p>
              </w:tc>
              <w:tc>
                <w:tcPr>
                  <w:tcW w:w="896" w:type="pct"/>
                  <w:tcBorders>
                    <w:tl2br w:val="nil"/>
                    <w:tr2bl w:val="nil"/>
                  </w:tcBorders>
                  <w:noWrap w:val="0"/>
                  <w:vAlign w:val="center"/>
                </w:tcPr>
                <w:p w14:paraId="10B60EB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污水处理系统</w:t>
                  </w:r>
                </w:p>
              </w:tc>
              <w:tc>
                <w:tcPr>
                  <w:tcW w:w="1092" w:type="pct"/>
                  <w:tcBorders>
                    <w:tl2br w:val="nil"/>
                    <w:tr2bl w:val="nil"/>
                  </w:tcBorders>
                  <w:noWrap w:val="0"/>
                  <w:vAlign w:val="center"/>
                </w:tcPr>
                <w:p w14:paraId="00A1F3F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污泥</w:t>
                  </w:r>
                </w:p>
              </w:tc>
              <w:tc>
                <w:tcPr>
                  <w:tcW w:w="1534" w:type="pct"/>
                  <w:tcBorders>
                    <w:tl2br w:val="nil"/>
                    <w:tr2bl w:val="nil"/>
                  </w:tcBorders>
                  <w:noWrap w:val="0"/>
                  <w:vAlign w:val="center"/>
                </w:tcPr>
                <w:p w14:paraId="196E82A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委托清运处置。</w:t>
                  </w:r>
                </w:p>
              </w:tc>
              <w:tc>
                <w:tcPr>
                  <w:tcW w:w="534" w:type="pct"/>
                  <w:vMerge w:val="continue"/>
                  <w:tcBorders>
                    <w:tl2br w:val="nil"/>
                    <w:tr2bl w:val="nil"/>
                  </w:tcBorders>
                  <w:noWrap w:val="0"/>
                  <w:vAlign w:val="center"/>
                </w:tcPr>
                <w:p w14:paraId="3F4E578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7BE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23EB950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601A881D">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color w:val="auto"/>
                      <w:w w:val="105"/>
                      <w:position w:val="2"/>
                      <w:sz w:val="21"/>
                    </w:rPr>
                    <w:t>D</w:t>
                  </w:r>
                  <w:r>
                    <w:rPr>
                      <w:rFonts w:hint="eastAsia" w:ascii="Times New Roman"/>
                      <w:color w:val="auto"/>
                      <w:w w:val="105"/>
                      <w:position w:val="2"/>
                      <w:sz w:val="21"/>
                      <w:lang w:val="en-US" w:eastAsia="zh-CN"/>
                    </w:rPr>
                    <w:t>6</w:t>
                  </w:r>
                </w:p>
              </w:tc>
              <w:tc>
                <w:tcPr>
                  <w:tcW w:w="896" w:type="pct"/>
                  <w:tcBorders>
                    <w:tl2br w:val="nil"/>
                    <w:tr2bl w:val="nil"/>
                  </w:tcBorders>
                  <w:noWrap w:val="0"/>
                  <w:vAlign w:val="center"/>
                </w:tcPr>
                <w:p w14:paraId="3CDA680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食堂</w:t>
                  </w:r>
                </w:p>
              </w:tc>
              <w:tc>
                <w:tcPr>
                  <w:tcW w:w="1092" w:type="pct"/>
                  <w:tcBorders>
                    <w:tl2br w:val="nil"/>
                    <w:tr2bl w:val="nil"/>
                  </w:tcBorders>
                  <w:noWrap w:val="0"/>
                  <w:vAlign w:val="center"/>
                </w:tcPr>
                <w:p w14:paraId="4C5D0A1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餐饮固废</w:t>
                  </w:r>
                </w:p>
              </w:tc>
              <w:tc>
                <w:tcPr>
                  <w:tcW w:w="1534" w:type="pct"/>
                  <w:tcBorders>
                    <w:tl2br w:val="nil"/>
                    <w:tr2bl w:val="nil"/>
                  </w:tcBorders>
                  <w:noWrap w:val="0"/>
                  <w:vAlign w:val="center"/>
                </w:tcPr>
                <w:p w14:paraId="6136996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收集后委托有资质单位清运处置。</w:t>
                  </w:r>
                </w:p>
              </w:tc>
              <w:tc>
                <w:tcPr>
                  <w:tcW w:w="534" w:type="pct"/>
                  <w:vMerge w:val="continue"/>
                  <w:tcBorders>
                    <w:tl2br w:val="nil"/>
                    <w:tr2bl w:val="nil"/>
                  </w:tcBorders>
                  <w:noWrap w:val="0"/>
                  <w:vAlign w:val="center"/>
                </w:tcPr>
                <w:p w14:paraId="1C01870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A85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4C0306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64DE3ED6">
                  <w:pPr>
                    <w:keepNext w:val="0"/>
                    <w:keepLines w:val="0"/>
                    <w:widowControl w:val="0"/>
                    <w:suppressLineNumbers w:val="0"/>
                    <w:spacing w:before="0" w:beforeAutospacing="0" w:after="0" w:afterAutospacing="0"/>
                    <w:ind w:left="0" w:leftChars="0" w:right="0" w:rightChars="0"/>
                    <w:jc w:val="center"/>
                    <w:rPr>
                      <w:rFonts w:hint="eastAsia" w:ascii="Times New Roman" w:eastAsia="宋体"/>
                      <w:color w:val="auto"/>
                      <w:w w:val="105"/>
                      <w:position w:val="2"/>
                      <w:sz w:val="21"/>
                      <w:lang w:val="en-US" w:eastAsia="zh-CN"/>
                    </w:rPr>
                  </w:pPr>
                  <w:r>
                    <w:rPr>
                      <w:rFonts w:hint="default" w:ascii="Times New Roman"/>
                      <w:color w:val="auto"/>
                      <w:w w:val="105"/>
                      <w:position w:val="2"/>
                      <w:sz w:val="21"/>
                    </w:rPr>
                    <w:t>D</w:t>
                  </w:r>
                  <w:r>
                    <w:rPr>
                      <w:rFonts w:hint="eastAsia" w:ascii="Times New Roman"/>
                      <w:color w:val="auto"/>
                      <w:w w:val="105"/>
                      <w:position w:val="2"/>
                      <w:sz w:val="21"/>
                      <w:lang w:val="en-US" w:eastAsia="zh-CN"/>
                    </w:rPr>
                    <w:t>7</w:t>
                  </w:r>
                </w:p>
              </w:tc>
              <w:tc>
                <w:tcPr>
                  <w:tcW w:w="896" w:type="pct"/>
                  <w:tcBorders>
                    <w:tl2br w:val="nil"/>
                    <w:tr2bl w:val="nil"/>
                  </w:tcBorders>
                  <w:noWrap w:val="0"/>
                  <w:vAlign w:val="center"/>
                </w:tcPr>
                <w:p w14:paraId="3AA71B43">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机械维修</w:t>
                  </w:r>
                </w:p>
              </w:tc>
              <w:tc>
                <w:tcPr>
                  <w:tcW w:w="1092" w:type="pct"/>
                  <w:tcBorders>
                    <w:tl2br w:val="nil"/>
                    <w:tr2bl w:val="nil"/>
                  </w:tcBorders>
                  <w:noWrap w:val="0"/>
                  <w:vAlign w:val="center"/>
                </w:tcPr>
                <w:p w14:paraId="32207D5C">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废机油</w:t>
                  </w:r>
                </w:p>
              </w:tc>
              <w:tc>
                <w:tcPr>
                  <w:tcW w:w="1534" w:type="pct"/>
                  <w:tcBorders>
                    <w:tl2br w:val="nil"/>
                    <w:tr2bl w:val="nil"/>
                  </w:tcBorders>
                  <w:noWrap w:val="0"/>
                  <w:vAlign w:val="center"/>
                </w:tcPr>
                <w:p w14:paraId="35F272BE">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收集后暂存废物间委托有资质单位清运处置</w:t>
                  </w:r>
                </w:p>
              </w:tc>
              <w:tc>
                <w:tcPr>
                  <w:tcW w:w="534" w:type="pct"/>
                  <w:vMerge w:val="continue"/>
                  <w:tcBorders>
                    <w:tl2br w:val="nil"/>
                    <w:tr2bl w:val="nil"/>
                  </w:tcBorders>
                  <w:noWrap w:val="0"/>
                  <w:vAlign w:val="center"/>
                </w:tcPr>
                <w:p w14:paraId="56CFD5C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171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38B0D25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7D50E64D">
                  <w:pPr>
                    <w:keepNext w:val="0"/>
                    <w:keepLines w:val="0"/>
                    <w:widowControl w:val="0"/>
                    <w:suppressLineNumbers w:val="0"/>
                    <w:spacing w:before="0" w:beforeAutospacing="0" w:after="0" w:afterAutospacing="0"/>
                    <w:ind w:left="0" w:leftChars="0" w:right="0" w:rightChars="0"/>
                    <w:jc w:val="center"/>
                    <w:rPr>
                      <w:rFonts w:hint="eastAsia" w:ascii="Times New Roman" w:eastAsia="宋体"/>
                      <w:color w:val="auto"/>
                      <w:w w:val="105"/>
                      <w:position w:val="2"/>
                      <w:sz w:val="21"/>
                      <w:lang w:val="en-US" w:eastAsia="zh-CN"/>
                    </w:rPr>
                  </w:pPr>
                  <w:r>
                    <w:rPr>
                      <w:rFonts w:hint="default" w:ascii="Times New Roman"/>
                      <w:color w:val="auto"/>
                      <w:w w:val="105"/>
                      <w:position w:val="2"/>
                      <w:sz w:val="21"/>
                    </w:rPr>
                    <w:t>D</w:t>
                  </w:r>
                  <w:r>
                    <w:rPr>
                      <w:rFonts w:hint="eastAsia" w:ascii="Times New Roman"/>
                      <w:color w:val="auto"/>
                      <w:w w:val="105"/>
                      <w:position w:val="2"/>
                      <w:sz w:val="21"/>
                      <w:lang w:val="en-US" w:eastAsia="zh-CN"/>
                    </w:rPr>
                    <w:t>8</w:t>
                  </w:r>
                </w:p>
              </w:tc>
              <w:tc>
                <w:tcPr>
                  <w:tcW w:w="896" w:type="pct"/>
                  <w:tcBorders>
                    <w:tl2br w:val="nil"/>
                    <w:tr2bl w:val="nil"/>
                  </w:tcBorders>
                  <w:noWrap w:val="0"/>
                  <w:vAlign w:val="center"/>
                </w:tcPr>
                <w:p w14:paraId="67D9F7B6">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有机溶剂使用</w:t>
                  </w:r>
                </w:p>
              </w:tc>
              <w:tc>
                <w:tcPr>
                  <w:tcW w:w="1092" w:type="pct"/>
                  <w:tcBorders>
                    <w:tl2br w:val="nil"/>
                    <w:tr2bl w:val="nil"/>
                  </w:tcBorders>
                  <w:noWrap w:val="0"/>
                  <w:vAlign w:val="center"/>
                </w:tcPr>
                <w:p w14:paraId="30D360DB">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粘有有机溶剂的废包装材料</w:t>
                  </w:r>
                </w:p>
              </w:tc>
              <w:tc>
                <w:tcPr>
                  <w:tcW w:w="1534" w:type="pct"/>
                  <w:tcBorders>
                    <w:tl2br w:val="nil"/>
                    <w:tr2bl w:val="nil"/>
                  </w:tcBorders>
                  <w:noWrap w:val="0"/>
                  <w:vAlign w:val="center"/>
                </w:tcPr>
                <w:p w14:paraId="6BE3D7A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收集后暂存危废间委托有资质单位清运处置</w:t>
                  </w:r>
                </w:p>
              </w:tc>
              <w:tc>
                <w:tcPr>
                  <w:tcW w:w="534" w:type="pct"/>
                  <w:vMerge w:val="continue"/>
                  <w:tcBorders>
                    <w:tl2br w:val="nil"/>
                    <w:tr2bl w:val="nil"/>
                  </w:tcBorders>
                  <w:noWrap w:val="0"/>
                  <w:vAlign w:val="center"/>
                </w:tcPr>
                <w:p w14:paraId="2580C96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966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tcBorders>
                    <w:tl2br w:val="nil"/>
                    <w:tr2bl w:val="nil"/>
                  </w:tcBorders>
                  <w:noWrap w:val="0"/>
                  <w:vAlign w:val="center"/>
                </w:tcPr>
                <w:p w14:paraId="6C4B7FF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575" w:type="pct"/>
                  <w:tcBorders>
                    <w:tl2br w:val="nil"/>
                    <w:tr2bl w:val="nil"/>
                  </w:tcBorders>
                  <w:noWrap w:val="0"/>
                  <w:vAlign w:val="center"/>
                </w:tcPr>
                <w:p w14:paraId="3E3E4FA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N1~N11</w:t>
                  </w:r>
                </w:p>
              </w:tc>
              <w:tc>
                <w:tcPr>
                  <w:tcW w:w="896" w:type="pct"/>
                  <w:tcBorders>
                    <w:tl2br w:val="nil"/>
                    <w:tr2bl w:val="nil"/>
                  </w:tcBorders>
                  <w:noWrap w:val="0"/>
                  <w:vAlign w:val="center"/>
                </w:tcPr>
                <w:p w14:paraId="6F699D1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生产工序</w:t>
                  </w:r>
                </w:p>
              </w:tc>
              <w:tc>
                <w:tcPr>
                  <w:tcW w:w="1092" w:type="pct"/>
                  <w:tcBorders>
                    <w:tl2br w:val="nil"/>
                    <w:tr2bl w:val="nil"/>
                  </w:tcBorders>
                  <w:noWrap w:val="0"/>
                  <w:vAlign w:val="center"/>
                </w:tcPr>
                <w:p w14:paraId="4C93A1B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1534" w:type="pct"/>
                  <w:tcBorders>
                    <w:tl2br w:val="nil"/>
                    <w:tr2bl w:val="nil"/>
                  </w:tcBorders>
                  <w:noWrap w:val="0"/>
                  <w:vAlign w:val="center"/>
                </w:tcPr>
                <w:p w14:paraId="7626AB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基础减震、距离衰减</w:t>
                  </w:r>
                  <w:r>
                    <w:rPr>
                      <w:rFonts w:hint="default" w:ascii="Times New Roman" w:hAnsi="Times New Roman" w:eastAsia="宋体" w:cs="Times New Roman"/>
                      <w:color w:val="auto"/>
                      <w:sz w:val="21"/>
                      <w:szCs w:val="21"/>
                      <w:highlight w:val="none"/>
                      <w:lang w:eastAsia="zh-CN"/>
                    </w:rPr>
                    <w:t>。</w:t>
                  </w:r>
                </w:p>
              </w:tc>
              <w:tc>
                <w:tcPr>
                  <w:tcW w:w="534" w:type="pct"/>
                  <w:tcBorders>
                    <w:tl2br w:val="nil"/>
                    <w:tr2bl w:val="nil"/>
                  </w:tcBorders>
                  <w:noWrap w:val="0"/>
                  <w:vAlign w:val="center"/>
                </w:tcPr>
                <w:p w14:paraId="41AC809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r>
          </w:tbl>
          <w:p w14:paraId="269B8F5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zCs w:val="21"/>
                <w:vertAlign w:val="baseline"/>
                <w:lang w:val="en-US" w:eastAsia="zh-CN"/>
              </w:rPr>
            </w:pPr>
          </w:p>
        </w:tc>
      </w:tr>
      <w:tr w14:paraId="7599D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noWrap w:val="0"/>
            <w:vAlign w:val="center"/>
          </w:tcPr>
          <w:p w14:paraId="342CECD9">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2"/>
                <w:sz w:val="21"/>
                <w:szCs w:val="21"/>
              </w:rPr>
              <w:t>与项目有关的原有环境污染问题</w:t>
            </w:r>
          </w:p>
        </w:tc>
        <w:tc>
          <w:tcPr>
            <w:tcW w:w="8612" w:type="dxa"/>
            <w:noWrap w:val="0"/>
            <w:vAlign w:val="center"/>
          </w:tcPr>
          <w:p w14:paraId="136DF971">
            <w:pPr>
              <w:pStyle w:val="20"/>
              <w:keepNext w:val="0"/>
              <w:keepLines w:val="0"/>
              <w:widowControl w:val="0"/>
              <w:suppressLineNumbers w:val="0"/>
              <w:spacing w:before="0" w:beforeAutospacing="0" w:after="0" w:afterAutospacing="0" w:line="360" w:lineRule="auto"/>
              <w:ind w:left="0" w:right="0" w:firstLine="482" w:firstLineChars="200"/>
              <w:rPr>
                <w:rFonts w:hint="default"/>
                <w:b/>
                <w:bCs/>
                <w:color w:val="auto"/>
                <w:szCs w:val="24"/>
              </w:rPr>
            </w:pPr>
            <w:r>
              <w:rPr>
                <w:rFonts w:hint="default"/>
                <w:b/>
                <w:color w:val="auto"/>
              </w:rPr>
              <w:t>1、公司</w:t>
            </w:r>
            <w:r>
              <w:rPr>
                <w:rFonts w:hint="eastAsia"/>
                <w:b/>
                <w:color w:val="auto"/>
                <w:lang w:eastAsia="zh-CN"/>
              </w:rPr>
              <w:t>发展</w:t>
            </w:r>
            <w:r>
              <w:rPr>
                <w:rFonts w:hint="default"/>
                <w:b/>
                <w:color w:val="auto"/>
              </w:rPr>
              <w:t>的历程</w:t>
            </w:r>
          </w:p>
          <w:p w14:paraId="12E37F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color w:val="auto"/>
                <w:sz w:val="24"/>
              </w:rPr>
            </w:pPr>
            <w:r>
              <w:rPr>
                <w:rFonts w:hint="default"/>
                <w:color w:val="auto"/>
                <w:sz w:val="24"/>
              </w:rPr>
              <w:t>20</w:t>
            </w:r>
            <w:r>
              <w:rPr>
                <w:rFonts w:hint="eastAsia"/>
                <w:color w:val="auto"/>
                <w:sz w:val="24"/>
                <w:lang w:val="en-US" w:eastAsia="zh-CN"/>
              </w:rPr>
              <w:t>13</w:t>
            </w:r>
            <w:r>
              <w:rPr>
                <w:rFonts w:hint="default"/>
                <w:color w:val="auto"/>
                <w:sz w:val="24"/>
              </w:rPr>
              <w:t>年</w:t>
            </w:r>
            <w:r>
              <w:rPr>
                <w:rFonts w:hint="eastAsia"/>
                <w:color w:val="auto"/>
                <w:sz w:val="24"/>
                <w:lang w:val="en-US" w:eastAsia="zh-CN"/>
              </w:rPr>
              <w:t>3</w:t>
            </w:r>
            <w:r>
              <w:rPr>
                <w:rFonts w:hint="default"/>
                <w:color w:val="auto"/>
                <w:sz w:val="24"/>
              </w:rPr>
              <w:t>月，立邦涂料（昆明）有限公司</w:t>
            </w:r>
            <w:r>
              <w:rPr>
                <w:rFonts w:hint="eastAsia"/>
                <w:color w:val="auto"/>
                <w:sz w:val="24"/>
                <w:lang w:eastAsia="zh-CN"/>
              </w:rPr>
              <w:t>租用</w:t>
            </w:r>
            <w:r>
              <w:rPr>
                <w:rFonts w:hint="default"/>
                <w:color w:val="auto"/>
                <w:sz w:val="24"/>
              </w:rPr>
              <w:t>富民工业园区哨箐片区内云南鸿发机械有限公司已建成的钢结构厂房</w:t>
            </w:r>
            <w:r>
              <w:rPr>
                <w:rFonts w:hint="eastAsia"/>
                <w:color w:val="auto"/>
                <w:sz w:val="24"/>
                <w:lang w:eastAsia="zh-CN"/>
              </w:rPr>
              <w:t>，建设“立邦涂料（昆明）有限公司水性涂料生产建设项目”，设计生产的产品为水性涂料系列和腻子粉系列，水性涂料 38500t/a，腻子粉 1500t/a。该项目委托云南省环境科学研究院开展了环境影响评价工作，于 2014 年 4 月 3 日取得富民县环境保护局的批复；2015 年 10 月 28 日取得富民县环境保护局的项目环保验收批复。</w:t>
            </w:r>
          </w:p>
          <w:p w14:paraId="0A8137DF">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default"/>
                <w:color w:val="auto"/>
                <w:sz w:val="24"/>
                <w:lang w:val="en-US" w:eastAsia="zh-CN"/>
              </w:rPr>
            </w:pPr>
            <w:r>
              <w:rPr>
                <w:rFonts w:hint="eastAsia"/>
                <w:color w:val="auto"/>
                <w:sz w:val="24"/>
                <w:lang w:val="en-US" w:eastAsia="zh-CN"/>
              </w:rPr>
              <w:t>2015</w:t>
            </w:r>
            <w:r>
              <w:rPr>
                <w:rFonts w:hint="default"/>
                <w:color w:val="auto"/>
                <w:sz w:val="24"/>
              </w:rPr>
              <w:t>年，立邦涂料（昆明）有限公司</w:t>
            </w:r>
            <w:r>
              <w:rPr>
                <w:rFonts w:hint="eastAsia"/>
                <w:color w:val="auto"/>
                <w:sz w:val="24"/>
                <w:lang w:eastAsia="zh-CN"/>
              </w:rPr>
              <w:t>购置</w:t>
            </w:r>
            <w:r>
              <w:rPr>
                <w:rFonts w:hint="default"/>
                <w:color w:val="auto"/>
                <w:sz w:val="24"/>
              </w:rPr>
              <w:t>富民工业园区白石岩—大白坡片区的哨箐组团最西的空地建设厂房，</w:t>
            </w:r>
            <w:r>
              <w:rPr>
                <w:rFonts w:hint="eastAsia"/>
                <w:color w:val="auto"/>
                <w:sz w:val="24"/>
                <w:lang w:eastAsia="zh-CN"/>
              </w:rPr>
              <w:t>新建“立邦涂料（昆明）有限公司年产 9.85 万吨水性涂料及腻子粉技术改造项目”，将原有的“立邦涂料（昆明）有限公司水性涂料生产建设项目”建成的水性涂料及腻子粉生产线全部搬迁过来，租用厂房归还</w:t>
            </w:r>
            <w:r>
              <w:rPr>
                <w:rFonts w:hint="default"/>
                <w:color w:val="auto"/>
                <w:sz w:val="24"/>
              </w:rPr>
              <w:t>云南鸿发机械有限公司</w:t>
            </w:r>
            <w:r>
              <w:rPr>
                <w:rFonts w:hint="eastAsia"/>
                <w:color w:val="auto"/>
                <w:sz w:val="24"/>
                <w:lang w:eastAsia="zh-CN"/>
              </w:rPr>
              <w:t>，同时增加生产线，生产规模从40000t/a 扩大至98500t/a，并配套建</w:t>
            </w:r>
            <w:r>
              <w:rPr>
                <w:rFonts w:hint="eastAsia"/>
                <w:color w:val="auto"/>
                <w:sz w:val="24"/>
                <w:lang w:val="en-US" w:eastAsia="zh-CN"/>
              </w:rPr>
              <w:t>1</w:t>
            </w:r>
            <w:r>
              <w:rPr>
                <w:rFonts w:hint="eastAsia"/>
                <w:color w:val="auto"/>
                <w:sz w:val="24"/>
                <w:lang w:eastAsia="zh-CN"/>
              </w:rPr>
              <w:t>个堆存立邦涂料（成都）公司生产的涂料产品的甲类仓库。该项目2016年2月22日以《富民工业园区入园项目选址联席会会议纪要》同意该项目进入工业园区哨箐片区内；2016 年1月委托云南环境工程设计研究中心开展该项目的环境影响评价工作，于 2016 年 4 月完成了项目的《环境影响报告书》的编制，</w:t>
            </w:r>
            <w:r>
              <w:rPr>
                <w:rFonts w:hint="eastAsia"/>
                <w:color w:val="auto"/>
                <w:sz w:val="24"/>
                <w:lang w:val="en-US" w:eastAsia="zh-CN"/>
              </w:rPr>
              <w:t>2016年6月20取得了富民县环境保护局文件“关于《</w:t>
            </w:r>
            <w:r>
              <w:rPr>
                <w:rFonts w:hint="eastAsia"/>
                <w:color w:val="auto"/>
                <w:sz w:val="24"/>
                <w:lang w:eastAsia="zh-CN"/>
              </w:rPr>
              <w:t>立邦涂料（昆明）有限公司年产 9.85 万吨水性涂料及腻子粉技术改造项目环境影响报告书</w:t>
            </w:r>
            <w:r>
              <w:rPr>
                <w:rFonts w:hint="eastAsia"/>
                <w:color w:val="auto"/>
                <w:sz w:val="24"/>
                <w:lang w:val="en-US" w:eastAsia="zh-CN"/>
              </w:rPr>
              <w:t>》的批复”—富环保复【2016】22号；2019年10月21日，项目通过了竣工环境保护验收；2020年7月19日项目取得了昆明市生态环境局富民分局颁发的排污许可证，编号为:915301000642951353001Q。</w:t>
            </w:r>
          </w:p>
          <w:p w14:paraId="69CEDB21">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2、原有工程基本情况</w:t>
            </w:r>
          </w:p>
          <w:p w14:paraId="728AAAED">
            <w:pPr>
              <w:pStyle w:val="88"/>
              <w:keepNext w:val="0"/>
              <w:keepLines w:val="0"/>
              <w:suppressLineNumbers w:val="0"/>
              <w:spacing w:before="0" w:beforeAutospacing="0" w:after="0" w:afterAutospacing="0"/>
              <w:ind w:left="0" w:right="0" w:firstLine="480"/>
              <w:rPr>
                <w:rFonts w:hint="eastAsia"/>
                <w:color w:val="auto"/>
                <w:sz w:val="24"/>
                <w:lang w:eastAsia="zh-CN"/>
              </w:rPr>
            </w:pPr>
            <w:r>
              <w:rPr>
                <w:rFonts w:hint="eastAsia"/>
                <w:color w:val="auto"/>
                <w:sz w:val="24"/>
                <w:lang w:eastAsia="zh-CN"/>
              </w:rPr>
              <w:t>由于“立邦涂料（昆明）有限公司水性涂料生产建设项目”生产线、生产设备等均已纳入《立邦涂料（昆明）有限公司年产 9.85 万吨水性涂料及腻子粉技术改造项目》中，厂址归还</w:t>
            </w:r>
            <w:r>
              <w:rPr>
                <w:rFonts w:hint="default"/>
                <w:color w:val="auto"/>
                <w:sz w:val="24"/>
              </w:rPr>
              <w:t>云南鸿发机械有限公司</w:t>
            </w:r>
            <w:r>
              <w:rPr>
                <w:rFonts w:hint="eastAsia"/>
                <w:color w:val="auto"/>
                <w:sz w:val="24"/>
                <w:lang w:eastAsia="zh-CN"/>
              </w:rPr>
              <w:t>，故本次分析与项目有关的原有污染物仅针对“立邦涂料（昆明）有限公司年产9.85万吨水性涂料及腻子粉技术改造项目”的工程建设、污染物产排、运行情况等。</w:t>
            </w:r>
          </w:p>
          <w:p w14:paraId="44DB9F7E">
            <w:pPr>
              <w:pStyle w:val="88"/>
              <w:keepNext w:val="0"/>
              <w:keepLines w:val="0"/>
              <w:suppressLineNumbers w:val="0"/>
              <w:spacing w:before="0" w:beforeAutospacing="0" w:after="0" w:afterAutospacing="0"/>
              <w:ind w:left="0" w:right="0" w:firstLine="480"/>
              <w:rPr>
                <w:rFonts w:hint="default"/>
                <w:color w:val="auto"/>
              </w:rPr>
            </w:pPr>
            <w:r>
              <w:rPr>
                <w:rFonts w:hint="default"/>
                <w:color w:val="auto"/>
                <w:sz w:val="24"/>
              </w:rPr>
              <w:t>立邦涂料（昆明）有限公司</w:t>
            </w:r>
            <w:r>
              <w:rPr>
                <w:rFonts w:hint="default"/>
                <w:color w:val="auto"/>
              </w:rPr>
              <w:t>占地</w:t>
            </w:r>
            <w:r>
              <w:rPr>
                <w:rFonts w:hint="default" w:ascii="Times New Roman" w:eastAsia="Times New Roman"/>
                <w:color w:val="auto"/>
                <w:sz w:val="24"/>
                <w:szCs w:val="24"/>
              </w:rPr>
              <w:t>4.13hm</w:t>
            </w:r>
            <w:r>
              <w:rPr>
                <w:rFonts w:hint="default" w:ascii="Times New Roman" w:eastAsia="Times New Roman"/>
                <w:color w:val="auto"/>
                <w:position w:val="8"/>
                <w:sz w:val="24"/>
                <w:szCs w:val="24"/>
                <w:vertAlign w:val="subscript"/>
              </w:rPr>
              <w:t>2</w:t>
            </w:r>
            <w:r>
              <w:rPr>
                <w:rFonts w:hint="default"/>
                <w:color w:val="auto"/>
              </w:rPr>
              <w:t>。</w:t>
            </w:r>
            <w:r>
              <w:rPr>
                <w:rFonts w:hint="eastAsia"/>
                <w:color w:val="auto"/>
              </w:rPr>
              <w:t>原</w:t>
            </w:r>
            <w:r>
              <w:rPr>
                <w:rFonts w:hint="default"/>
                <w:color w:val="auto"/>
              </w:rPr>
              <w:t>项目已建设内容和功能设置见表2-</w:t>
            </w:r>
            <w:r>
              <w:rPr>
                <w:rFonts w:hint="eastAsia"/>
                <w:color w:val="auto"/>
                <w:lang w:val="en-US" w:eastAsia="zh-CN"/>
              </w:rPr>
              <w:t>16</w:t>
            </w:r>
            <w:r>
              <w:rPr>
                <w:rFonts w:hint="default"/>
                <w:color w:val="auto"/>
              </w:rPr>
              <w:t>。</w:t>
            </w:r>
          </w:p>
          <w:p w14:paraId="07156DE2">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表2-</w:t>
            </w:r>
            <w:r>
              <w:rPr>
                <w:rFonts w:hint="eastAsia"/>
                <w:b/>
                <w:color w:val="auto"/>
                <w:szCs w:val="21"/>
                <w:lang w:val="en-US" w:eastAsia="zh-CN"/>
              </w:rPr>
              <w:t>16</w:t>
            </w:r>
            <w:r>
              <w:rPr>
                <w:rFonts w:hint="default"/>
                <w:b/>
                <w:color w:val="auto"/>
                <w:szCs w:val="21"/>
              </w:rPr>
              <w:t xml:space="preserve">  </w:t>
            </w:r>
            <w:r>
              <w:rPr>
                <w:rFonts w:hint="eastAsia"/>
                <w:b/>
                <w:color w:val="auto"/>
                <w:szCs w:val="21"/>
              </w:rPr>
              <w:t>原</w:t>
            </w:r>
            <w:r>
              <w:rPr>
                <w:rFonts w:hint="default"/>
                <w:b/>
                <w:color w:val="auto"/>
                <w:szCs w:val="21"/>
              </w:rPr>
              <w:t>项目已建设的建设内容和功能一览表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1"/>
              <w:gridCol w:w="509"/>
              <w:gridCol w:w="1253"/>
              <w:gridCol w:w="6042"/>
            </w:tblGrid>
            <w:tr w14:paraId="32939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93" w:type="pct"/>
                  <w:gridSpan w:val="3"/>
                  <w:vAlign w:val="center"/>
                </w:tcPr>
                <w:p w14:paraId="3283A3F1">
                  <w:pPr>
                    <w:pStyle w:val="41"/>
                    <w:keepNext w:val="0"/>
                    <w:keepLines w:val="0"/>
                    <w:suppressLineNumbers w:val="0"/>
                    <w:spacing w:before="18"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工程名称</w:t>
                  </w:r>
                </w:p>
              </w:tc>
              <w:tc>
                <w:tcPr>
                  <w:tcW w:w="3606" w:type="pct"/>
                  <w:vAlign w:val="center"/>
                </w:tcPr>
                <w:p w14:paraId="4426BA5F">
                  <w:pPr>
                    <w:pStyle w:val="41"/>
                    <w:keepNext w:val="0"/>
                    <w:keepLines w:val="0"/>
                    <w:suppressLineNumbers w:val="0"/>
                    <w:spacing w:before="18"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建设内容及功能</w:t>
                  </w:r>
                </w:p>
              </w:tc>
            </w:tr>
            <w:tr w14:paraId="64F79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restart"/>
                  <w:vAlign w:val="center"/>
                </w:tcPr>
                <w:p w14:paraId="655107C9">
                  <w:pPr>
                    <w:pStyle w:val="41"/>
                    <w:keepNext w:val="0"/>
                    <w:keepLines w:val="0"/>
                    <w:suppressLineNumbers w:val="0"/>
                    <w:spacing w:before="23"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主体工程</w:t>
                  </w:r>
                </w:p>
              </w:tc>
              <w:tc>
                <w:tcPr>
                  <w:tcW w:w="304" w:type="pct"/>
                  <w:vMerge w:val="restart"/>
                  <w:vAlign w:val="center"/>
                </w:tcPr>
                <w:p w14:paraId="607DF50E">
                  <w:pPr>
                    <w:pStyle w:val="41"/>
                    <w:keepNext w:val="0"/>
                    <w:keepLines w:val="0"/>
                    <w:suppressLineNumbers w:val="0"/>
                    <w:spacing w:before="23" w:beforeAutospacing="0" w:after="0" w:afterAutospacing="0" w:line="240" w:lineRule="auto"/>
                    <w:ind w:left="108" w:right="9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生产</w:t>
                  </w:r>
                  <w:r>
                    <w:rPr>
                      <w:rFonts w:hint="default" w:ascii="Times New Roman" w:hAnsi="Times New Roman" w:eastAsia="宋体" w:cs="Times New Roman"/>
                      <w:color w:val="auto"/>
                      <w:sz w:val="21"/>
                    </w:rPr>
                    <w:t>车间</w:t>
                  </w:r>
                </w:p>
              </w:tc>
              <w:tc>
                <w:tcPr>
                  <w:tcW w:w="747" w:type="pct"/>
                  <w:vAlign w:val="center"/>
                </w:tcPr>
                <w:p w14:paraId="2AF2AC34">
                  <w:pPr>
                    <w:pStyle w:val="41"/>
                    <w:keepNext w:val="0"/>
                    <w:keepLines w:val="0"/>
                    <w:suppressLineNumbers w:val="0"/>
                    <w:spacing w:before="23" w:beforeAutospacing="0" w:after="0" w:afterAutospacing="0" w:line="240" w:lineRule="auto"/>
                    <w:ind w:left="109" w:right="93"/>
                    <w:jc w:val="center"/>
                    <w:rPr>
                      <w:rFonts w:hint="default" w:ascii="Times New Roman" w:hAnsi="Times New Roman" w:eastAsia="宋体" w:cs="Times New Roman"/>
                      <w:color w:val="auto"/>
                      <w:sz w:val="21"/>
                    </w:rPr>
                  </w:pPr>
                  <w:r>
                    <w:rPr>
                      <w:rFonts w:hint="eastAsia" w:ascii="Times New Roman" w:hAnsi="Times New Roman" w:eastAsia="宋体" w:cs="Times New Roman"/>
                      <w:color w:val="auto"/>
                      <w:spacing w:val="-6"/>
                      <w:sz w:val="21"/>
                      <w:lang w:eastAsia="zh-CN"/>
                    </w:rPr>
                    <w:t>腻子粉车间、</w:t>
                  </w:r>
                  <w:r>
                    <w:rPr>
                      <w:rFonts w:hint="default" w:ascii="Times New Roman" w:hAnsi="Times New Roman" w:eastAsia="宋体" w:cs="Times New Roman"/>
                      <w:color w:val="auto"/>
                      <w:spacing w:val="-6"/>
                      <w:sz w:val="21"/>
                    </w:rPr>
                    <w:t>成品库</w:t>
                  </w:r>
                </w:p>
              </w:tc>
              <w:tc>
                <w:tcPr>
                  <w:tcW w:w="3606" w:type="pct"/>
                  <w:vAlign w:val="center"/>
                </w:tcPr>
                <w:p w14:paraId="12E8A68D">
                  <w:pPr>
                    <w:pStyle w:val="41"/>
                    <w:keepNext w:val="0"/>
                    <w:keepLines w:val="0"/>
                    <w:suppressLineNumbers w:val="0"/>
                    <w:spacing w:before="23" w:beforeAutospacing="0" w:after="0" w:afterAutospacing="0" w:line="278" w:lineRule="auto"/>
                    <w:ind w:left="105" w:right="91"/>
                    <w:rPr>
                      <w:rFonts w:hint="eastAsia" w:ascii="Times New Roman" w:hAnsi="Times New Roman" w:eastAsia="宋体" w:cs="Times New Roman"/>
                      <w:color w:val="auto"/>
                      <w:sz w:val="21"/>
                      <w:lang w:eastAsia="zh-CN"/>
                    </w:rPr>
                  </w:pPr>
                  <w:r>
                    <w:rPr>
                      <w:rFonts w:hint="default"/>
                      <w:color w:val="auto"/>
                      <w:spacing w:val="-8"/>
                      <w:sz w:val="21"/>
                    </w:rPr>
                    <w:t xml:space="preserve">为独立彩钢板厂房，占地面积 </w:t>
                  </w:r>
                  <w:r>
                    <w:rPr>
                      <w:rFonts w:hint="default" w:ascii="Times New Roman" w:eastAsia="Times New Roman"/>
                      <w:color w:val="auto"/>
                      <w:spacing w:val="-5"/>
                      <w:sz w:val="21"/>
                    </w:rPr>
                    <w:t>3564m</w:t>
                  </w:r>
                  <w:r>
                    <w:rPr>
                      <w:rFonts w:hint="default" w:ascii="Times New Roman" w:eastAsia="Times New Roman"/>
                      <w:color w:val="auto"/>
                      <w:spacing w:val="-5"/>
                      <w:position w:val="7"/>
                      <w:sz w:val="13"/>
                    </w:rPr>
                    <w:t>2</w:t>
                  </w:r>
                  <w:r>
                    <w:rPr>
                      <w:rFonts w:hint="default"/>
                      <w:color w:val="auto"/>
                      <w:spacing w:val="-3"/>
                      <w:sz w:val="21"/>
                    </w:rPr>
                    <w:t>，建筑面积约</w:t>
                  </w:r>
                  <w:r>
                    <w:rPr>
                      <w:rFonts w:hint="default"/>
                      <w:color w:val="auto"/>
                      <w:spacing w:val="-17"/>
                      <w:sz w:val="21"/>
                    </w:rPr>
                    <w:t xml:space="preserve">为 </w:t>
                  </w:r>
                  <w:r>
                    <w:rPr>
                      <w:rFonts w:hint="default" w:ascii="Times New Roman" w:eastAsia="Times New Roman"/>
                      <w:color w:val="auto"/>
                      <w:sz w:val="21"/>
                    </w:rPr>
                    <w:t>4455m</w:t>
                  </w:r>
                  <w:r>
                    <w:rPr>
                      <w:rFonts w:hint="default" w:ascii="Times New Roman" w:eastAsia="Times New Roman"/>
                      <w:color w:val="auto"/>
                      <w:position w:val="7"/>
                      <w:sz w:val="13"/>
                    </w:rPr>
                    <w:t>2</w:t>
                  </w:r>
                  <w:r>
                    <w:rPr>
                      <w:rFonts w:hint="default" w:ascii="Times New Roman" w:eastAsia="Times New Roman"/>
                      <w:color w:val="auto"/>
                      <w:spacing w:val="-13"/>
                      <w:position w:val="7"/>
                      <w:sz w:val="13"/>
                    </w:rPr>
                    <w:t xml:space="preserve"> </w:t>
                  </w:r>
                  <w:r>
                    <w:rPr>
                      <w:rFonts w:hint="default"/>
                      <w:color w:val="auto"/>
                      <w:spacing w:val="2"/>
                      <w:sz w:val="21"/>
                    </w:rPr>
                    <w:t>，主体为</w:t>
                  </w:r>
                  <w:r>
                    <w:rPr>
                      <w:rFonts w:hint="default" w:ascii="Times New Roman" w:eastAsia="Times New Roman"/>
                      <w:color w:val="auto"/>
                      <w:sz w:val="21"/>
                    </w:rPr>
                    <w:t>1</w:t>
                  </w:r>
                  <w:r>
                    <w:rPr>
                      <w:rFonts w:hint="default"/>
                      <w:color w:val="auto"/>
                      <w:spacing w:val="-6"/>
                      <w:sz w:val="21"/>
                    </w:rPr>
                    <w:t xml:space="preserve">层建筑，局部为 </w:t>
                  </w:r>
                  <w:r>
                    <w:rPr>
                      <w:rFonts w:hint="default" w:ascii="Times New Roman" w:eastAsia="Times New Roman"/>
                      <w:color w:val="auto"/>
                      <w:sz w:val="21"/>
                    </w:rPr>
                    <w:t>2</w:t>
                  </w:r>
                  <w:r>
                    <w:rPr>
                      <w:rFonts w:hint="default"/>
                      <w:color w:val="auto"/>
                      <w:spacing w:val="19"/>
                      <w:sz w:val="21"/>
                    </w:rPr>
                    <w:t>层</w:t>
                  </w:r>
                  <w:r>
                    <w:rPr>
                      <w:rFonts w:hint="default" w:ascii="Times New Roman" w:eastAsia="Times New Roman"/>
                      <w:color w:val="auto"/>
                      <w:spacing w:val="14"/>
                      <w:sz w:val="21"/>
                    </w:rPr>
                    <w:t>,</w:t>
                  </w:r>
                  <w:r>
                    <w:rPr>
                      <w:rFonts w:hint="default"/>
                      <w:color w:val="auto"/>
                      <w:spacing w:val="9"/>
                      <w:sz w:val="21"/>
                    </w:rPr>
                    <w:t>高约</w:t>
                  </w:r>
                  <w:r>
                    <w:rPr>
                      <w:rFonts w:hint="default" w:ascii="Times New Roman" w:eastAsia="Times New Roman"/>
                      <w:color w:val="auto"/>
                      <w:spacing w:val="-3"/>
                      <w:sz w:val="21"/>
                    </w:rPr>
                    <w:t>10.4m</w:t>
                  </w:r>
                  <w:r>
                    <w:rPr>
                      <w:rFonts w:hint="default"/>
                      <w:color w:val="auto"/>
                      <w:spacing w:val="-3"/>
                      <w:sz w:val="21"/>
                    </w:rPr>
                    <w:t>，</w:t>
                  </w:r>
                  <w:r>
                    <w:rPr>
                      <w:rFonts w:hint="default" w:ascii="Times New Roman" w:eastAsia="Times New Roman"/>
                      <w:color w:val="auto"/>
                      <w:spacing w:val="-3"/>
                      <w:sz w:val="21"/>
                    </w:rPr>
                    <w:t>2</w:t>
                  </w:r>
                  <w:r>
                    <w:rPr>
                      <w:rFonts w:hint="default"/>
                      <w:color w:val="auto"/>
                      <w:spacing w:val="-6"/>
                      <w:sz w:val="21"/>
                    </w:rPr>
                    <w:t>层建筑依墙建设，为设备的操作平台；该车间主要进行腻子粉和砂壁产品的生产，并做为腻</w:t>
                  </w:r>
                  <w:r>
                    <w:rPr>
                      <w:rFonts w:hint="default"/>
                      <w:color w:val="auto"/>
                      <w:sz w:val="21"/>
                    </w:rPr>
                    <w:t>子粉成品和工程用水性乳胶漆成品</w:t>
                  </w:r>
                  <w:r>
                    <w:rPr>
                      <w:rFonts w:hint="default" w:ascii="Times New Roman" w:eastAsia="Times New Roman"/>
                      <w:color w:val="auto"/>
                      <w:spacing w:val="6"/>
                      <w:sz w:val="21"/>
                    </w:rPr>
                    <w:t>(</w:t>
                  </w:r>
                  <w:r>
                    <w:rPr>
                      <w:rFonts w:hint="default"/>
                      <w:color w:val="auto"/>
                      <w:spacing w:val="2"/>
                      <w:sz w:val="21"/>
                    </w:rPr>
                    <w:t>批量</w:t>
                  </w:r>
                  <w:r>
                    <w:rPr>
                      <w:rFonts w:hint="default" w:ascii="Times New Roman" w:eastAsia="Times New Roman"/>
                      <w:color w:val="auto"/>
                      <w:sz w:val="21"/>
                    </w:rPr>
                    <w:t>)</w:t>
                  </w:r>
                  <w:r>
                    <w:rPr>
                      <w:rFonts w:hint="default"/>
                      <w:color w:val="auto"/>
                      <w:spacing w:val="-10"/>
                      <w:sz w:val="21"/>
                    </w:rPr>
                    <w:t>；车间内分为</w:t>
                  </w:r>
                  <w:r>
                    <w:rPr>
                      <w:rFonts w:hint="eastAsia"/>
                      <w:color w:val="auto"/>
                      <w:spacing w:val="-10"/>
                      <w:sz w:val="21"/>
                      <w:lang w:val="en-US" w:eastAsia="zh-CN"/>
                    </w:rPr>
                    <w:t>2</w:t>
                  </w:r>
                  <w:r>
                    <w:rPr>
                      <w:rFonts w:hint="default"/>
                      <w:color w:val="auto"/>
                      <w:spacing w:val="-10"/>
                      <w:sz w:val="21"/>
                    </w:rPr>
                    <w:t>个区，分别</w:t>
                  </w:r>
                  <w:r>
                    <w:rPr>
                      <w:rFonts w:hint="default"/>
                      <w:color w:val="auto"/>
                      <w:spacing w:val="-2"/>
                      <w:sz w:val="21"/>
                    </w:rPr>
                    <w:t xml:space="preserve">腻子粉生产区和成品贮存区；在车间内还设置有 </w:t>
                  </w:r>
                  <w:r>
                    <w:rPr>
                      <w:rFonts w:hint="default" w:ascii="Times New Roman" w:eastAsia="Times New Roman"/>
                      <w:color w:val="auto"/>
                      <w:sz w:val="21"/>
                    </w:rPr>
                    <w:t xml:space="preserve">2 </w:t>
                  </w:r>
                  <w:r>
                    <w:rPr>
                      <w:rFonts w:hint="default"/>
                      <w:color w:val="auto"/>
                      <w:sz w:val="21"/>
                    </w:rPr>
                    <w:t>台空压机，用于设备内物料的输送。</w:t>
                  </w:r>
                </w:p>
              </w:tc>
            </w:tr>
            <w:tr w14:paraId="6F158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0C7436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304" w:type="pct"/>
                  <w:vMerge w:val="continue"/>
                  <w:vAlign w:val="center"/>
                </w:tcPr>
                <w:p w14:paraId="4C5082F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747" w:type="pct"/>
                  <w:vAlign w:val="center"/>
                </w:tcPr>
                <w:p w14:paraId="23D02D08">
                  <w:pPr>
                    <w:pStyle w:val="41"/>
                    <w:keepNext w:val="0"/>
                    <w:keepLines w:val="0"/>
                    <w:suppressLineNumbers w:val="0"/>
                    <w:spacing w:before="20" w:beforeAutospacing="0" w:after="0" w:afterAutospacing="0" w:line="240" w:lineRule="auto"/>
                    <w:ind w:left="109" w:right="93"/>
                    <w:jc w:val="center"/>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eastAsia="zh-CN"/>
                    </w:rPr>
                    <w:t>水性涂料</w:t>
                  </w:r>
                  <w:r>
                    <w:rPr>
                      <w:rFonts w:hint="default" w:ascii="Times New Roman" w:hAnsi="Times New Roman" w:eastAsia="宋体" w:cs="Times New Roman"/>
                      <w:color w:val="auto"/>
                      <w:sz w:val="21"/>
                    </w:rPr>
                    <w:t>生产车间</w:t>
                  </w:r>
                </w:p>
              </w:tc>
              <w:tc>
                <w:tcPr>
                  <w:tcW w:w="3606" w:type="pct"/>
                  <w:vAlign w:val="center"/>
                </w:tcPr>
                <w:p w14:paraId="176CB8C8">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8"/>
                      <w:sz w:val="21"/>
                    </w:rPr>
                    <w:t xml:space="preserve">为独立彩钢板厂房，占地面积约为 </w:t>
                  </w:r>
                  <w:r>
                    <w:rPr>
                      <w:rFonts w:hint="default" w:ascii="Times New Roman" w:hAnsi="Times New Roman" w:eastAsia="宋体" w:cs="Times New Roman"/>
                      <w:color w:val="auto"/>
                      <w:spacing w:val="-4"/>
                      <w:sz w:val="21"/>
                    </w:rPr>
                    <w:t>3564m</w:t>
                  </w:r>
                  <w:r>
                    <w:rPr>
                      <w:rFonts w:hint="default" w:ascii="Times New Roman" w:hAnsi="Times New Roman" w:eastAsia="宋体" w:cs="Times New Roman"/>
                      <w:color w:val="auto"/>
                      <w:spacing w:val="-4"/>
                      <w:position w:val="7"/>
                      <w:sz w:val="13"/>
                    </w:rPr>
                    <w:t>2</w:t>
                  </w:r>
                  <w:r>
                    <w:rPr>
                      <w:rFonts w:hint="default" w:ascii="Times New Roman" w:hAnsi="Times New Roman" w:eastAsia="宋体" w:cs="Times New Roman"/>
                      <w:color w:val="auto"/>
                      <w:spacing w:val="-5"/>
                      <w:sz w:val="21"/>
                    </w:rPr>
                    <w:t>，建筑面</w:t>
                  </w:r>
                  <w:r>
                    <w:rPr>
                      <w:rFonts w:hint="default" w:ascii="Times New Roman" w:hAnsi="Times New Roman" w:eastAsia="宋体" w:cs="Times New Roman"/>
                      <w:color w:val="auto"/>
                      <w:spacing w:val="-6"/>
                      <w:sz w:val="21"/>
                    </w:rPr>
                    <w:t xml:space="preserve">积约为 </w:t>
                  </w:r>
                  <w:r>
                    <w:rPr>
                      <w:rFonts w:hint="default" w:ascii="Times New Roman" w:hAnsi="Times New Roman" w:eastAsia="宋体" w:cs="Times New Roman"/>
                      <w:color w:val="auto"/>
                      <w:spacing w:val="2"/>
                      <w:sz w:val="21"/>
                    </w:rPr>
                    <w:t>5346m</w:t>
                  </w:r>
                  <w:r>
                    <w:rPr>
                      <w:rFonts w:hint="default" w:ascii="Times New Roman" w:hAnsi="Times New Roman" w:eastAsia="宋体" w:cs="Times New Roman"/>
                      <w:color w:val="auto"/>
                      <w:spacing w:val="2"/>
                      <w:position w:val="7"/>
                      <w:sz w:val="13"/>
                    </w:rPr>
                    <w:t>2</w:t>
                  </w:r>
                  <w:r>
                    <w:rPr>
                      <w:rFonts w:hint="default" w:ascii="Times New Roman" w:hAnsi="Times New Roman" w:eastAsia="宋体" w:cs="Times New Roman"/>
                      <w:color w:val="auto"/>
                      <w:sz w:val="21"/>
                    </w:rPr>
                    <w:t>，主体为一层，局部为3</w:t>
                  </w:r>
                  <w:r>
                    <w:rPr>
                      <w:rFonts w:hint="default" w:ascii="Times New Roman" w:hAnsi="Times New Roman" w:eastAsia="宋体" w:cs="Times New Roman"/>
                      <w:color w:val="auto"/>
                      <w:spacing w:val="13"/>
                      <w:sz w:val="21"/>
                    </w:rPr>
                    <w:t xml:space="preserve"> </w:t>
                  </w:r>
                  <w:r>
                    <w:rPr>
                      <w:rFonts w:hint="default" w:ascii="Times New Roman" w:hAnsi="Times New Roman" w:eastAsia="宋体" w:cs="Times New Roman"/>
                      <w:color w:val="auto"/>
                      <w:spacing w:val="5"/>
                      <w:sz w:val="21"/>
                    </w:rPr>
                    <w:t>层，高约</w:t>
                  </w:r>
                  <w:r>
                    <w:rPr>
                      <w:rFonts w:hint="default" w:ascii="Times New Roman" w:hAnsi="Times New Roman" w:eastAsia="宋体" w:cs="Times New Roman"/>
                      <w:color w:val="auto"/>
                      <w:sz w:val="21"/>
                    </w:rPr>
                    <w:t>15.2m</w:t>
                  </w:r>
                  <w:r>
                    <w:rPr>
                      <w:rFonts w:hint="default" w:ascii="Times New Roman" w:hAnsi="Times New Roman" w:eastAsia="宋体" w:cs="Times New Roman"/>
                      <w:color w:val="auto"/>
                      <w:spacing w:val="-13"/>
                      <w:sz w:val="21"/>
                    </w:rPr>
                    <w:t xml:space="preserve">，局部 </w:t>
                  </w:r>
                  <w:r>
                    <w:rPr>
                      <w:rFonts w:hint="default" w:ascii="Times New Roman" w:hAnsi="Times New Roman" w:eastAsia="宋体" w:cs="Times New Roman"/>
                      <w:color w:val="auto"/>
                      <w:sz w:val="21"/>
                    </w:rPr>
                    <w:t>3</w:t>
                  </w:r>
                  <w:r>
                    <w:rPr>
                      <w:rFonts w:hint="default" w:ascii="Times New Roman" w:hAnsi="Times New Roman" w:eastAsia="宋体" w:cs="Times New Roman"/>
                      <w:color w:val="auto"/>
                      <w:spacing w:val="-6"/>
                      <w:sz w:val="21"/>
                    </w:rPr>
                    <w:t>层建筑为车间内根据需要依墙建设，</w:t>
                  </w:r>
                  <w:r>
                    <w:rPr>
                      <w:rFonts w:hint="default" w:ascii="Times New Roman" w:hAnsi="Times New Roman" w:eastAsia="宋体" w:cs="Times New Roman"/>
                      <w:color w:val="auto"/>
                      <w:sz w:val="21"/>
                    </w:rPr>
                    <w:t>为满足不同设备的操作平台；该车间进行乳胶漆的</w:t>
                  </w:r>
                  <w:r>
                    <w:rPr>
                      <w:rFonts w:hint="default" w:ascii="Times New Roman" w:hAnsi="Times New Roman" w:eastAsia="宋体" w:cs="Times New Roman"/>
                      <w:color w:val="auto"/>
                      <w:spacing w:val="-4"/>
                      <w:sz w:val="21"/>
                    </w:rPr>
                    <w:t>生产，设置有乳胶漆生产线</w:t>
                  </w:r>
                  <w:r>
                    <w:rPr>
                      <w:rFonts w:hint="default" w:ascii="Times New Roman" w:hAnsi="Times New Roman" w:eastAsia="宋体" w:cs="Times New Roman"/>
                      <w:color w:val="auto"/>
                      <w:sz w:val="21"/>
                    </w:rPr>
                    <w:t>2条，</w:t>
                  </w:r>
                  <w:r>
                    <w:rPr>
                      <w:rFonts w:hint="eastAsia" w:ascii="Times New Roman" w:hAnsi="Times New Roman" w:eastAsia="宋体" w:cs="Times New Roman"/>
                      <w:color w:val="auto"/>
                      <w:sz w:val="21"/>
                      <w:lang w:val="en-US" w:eastAsia="zh-CN"/>
                    </w:rPr>
                    <w:t>1条砂壁产品生产线。</w:t>
                  </w:r>
                </w:p>
              </w:tc>
            </w:tr>
            <w:tr w14:paraId="43514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1856E5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304" w:type="pct"/>
                  <w:vMerge w:val="continue"/>
                  <w:vAlign w:val="center"/>
                </w:tcPr>
                <w:p w14:paraId="7A2B54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747" w:type="pct"/>
                  <w:vAlign w:val="center"/>
                </w:tcPr>
                <w:p w14:paraId="1C4C4B0F">
                  <w:pPr>
                    <w:pStyle w:val="41"/>
                    <w:keepNext w:val="0"/>
                    <w:keepLines w:val="0"/>
                    <w:suppressLineNumbers w:val="0"/>
                    <w:spacing w:before="20" w:beforeAutospacing="0" w:after="0" w:afterAutospacing="0" w:line="240" w:lineRule="auto"/>
                    <w:ind w:left="109" w:right="93"/>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水性漆</w:t>
                  </w:r>
                  <w:r>
                    <w:rPr>
                      <w:rFonts w:hint="default" w:ascii="Times New Roman" w:hAnsi="Times New Roman" w:eastAsia="宋体" w:cs="Times New Roman"/>
                      <w:color w:val="auto"/>
                      <w:sz w:val="21"/>
                    </w:rPr>
                    <w:t>漆成品库</w:t>
                  </w:r>
                </w:p>
              </w:tc>
              <w:tc>
                <w:tcPr>
                  <w:tcW w:w="3606" w:type="pct"/>
                  <w:vAlign w:val="center"/>
                </w:tcPr>
                <w:p w14:paraId="05725FD5">
                  <w:pPr>
                    <w:pStyle w:val="41"/>
                    <w:keepNext w:val="0"/>
                    <w:keepLines w:val="0"/>
                    <w:suppressLineNumbers w:val="0"/>
                    <w:spacing w:before="20"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为独立彩钢板厂房，建筑面积约为1980m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，一层，高约8.3m；专门堆存自产的批发、零售的乳胶漆和砂壁产品。</w:t>
                  </w:r>
                </w:p>
              </w:tc>
            </w:tr>
            <w:tr w14:paraId="305BA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11FA5B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304" w:type="pct"/>
                  <w:vMerge w:val="continue"/>
                  <w:vAlign w:val="center"/>
                </w:tcPr>
                <w:p w14:paraId="06FB794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747" w:type="pct"/>
                  <w:vAlign w:val="center"/>
                </w:tcPr>
                <w:p w14:paraId="7BFD0297">
                  <w:pPr>
                    <w:pStyle w:val="41"/>
                    <w:keepNext w:val="0"/>
                    <w:keepLines w:val="0"/>
                    <w:suppressLineNumbers w:val="0"/>
                    <w:spacing w:before="20" w:beforeAutospacing="0" w:after="0" w:afterAutospacing="0" w:line="240" w:lineRule="auto"/>
                    <w:ind w:left="109" w:right="93"/>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丙类原料库</w:t>
                  </w:r>
                </w:p>
              </w:tc>
              <w:tc>
                <w:tcPr>
                  <w:tcW w:w="3606" w:type="pct"/>
                  <w:vAlign w:val="center"/>
                </w:tcPr>
                <w:p w14:paraId="2FEFA704">
                  <w:pPr>
                    <w:pStyle w:val="41"/>
                    <w:keepNext w:val="0"/>
                    <w:keepLines w:val="0"/>
                    <w:suppressLineNumbers w:val="0"/>
                    <w:spacing w:before="20"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为独立彩钢板厂房，建筑面积约为1980m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，一层，高约8.2m；做为乳胶漆、砂壁和腻子粉生产所需原料堆存仓库。</w:t>
                  </w:r>
                </w:p>
              </w:tc>
            </w:tr>
            <w:tr w14:paraId="0E934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293FABB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304" w:type="pct"/>
                  <w:vMerge w:val="continue"/>
                  <w:vAlign w:val="center"/>
                </w:tcPr>
                <w:p w14:paraId="4CA04E8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747" w:type="pct"/>
                  <w:vAlign w:val="center"/>
                </w:tcPr>
                <w:p w14:paraId="12DF6820">
                  <w:pPr>
                    <w:pStyle w:val="41"/>
                    <w:keepNext w:val="0"/>
                    <w:keepLines w:val="0"/>
                    <w:suppressLineNumbers w:val="0"/>
                    <w:spacing w:before="43"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甲类仓库</w:t>
                  </w:r>
                </w:p>
              </w:tc>
              <w:tc>
                <w:tcPr>
                  <w:tcW w:w="3606" w:type="pct"/>
                  <w:vAlign w:val="center"/>
                </w:tcPr>
                <w:p w14:paraId="1BFA3385">
                  <w:pPr>
                    <w:pStyle w:val="41"/>
                    <w:keepNext w:val="0"/>
                    <w:keepLines w:val="0"/>
                    <w:suppressLineNumbers w:val="0"/>
                    <w:spacing w:before="0"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厂区内设置1栋</w:t>
                  </w:r>
                  <w:r>
                    <w:rPr>
                      <w:rFonts w:hint="default" w:ascii="Times New Roman" w:hAnsi="Times New Roman" w:eastAsia="宋体" w:cs="Times New Roman"/>
                      <w:color w:val="auto"/>
                      <w:sz w:val="21"/>
                    </w:rPr>
                    <w:t>甲类仓库，独立彩钢板厂房，建</w:t>
                  </w:r>
                  <w:r>
                    <w:rPr>
                      <w:rFonts w:hint="default" w:ascii="Times New Roman" w:hAnsi="Times New Roman" w:eastAsia="宋体" w:cs="Times New Roman"/>
                      <w:color w:val="auto"/>
                      <w:spacing w:val="-9"/>
                      <w:sz w:val="21"/>
                    </w:rPr>
                    <w:t>筑面积约为</w:t>
                  </w:r>
                  <w:r>
                    <w:rPr>
                      <w:rFonts w:hint="default" w:ascii="Times New Roman" w:hAnsi="Times New Roman" w:eastAsia="宋体" w:cs="Times New Roman"/>
                      <w:color w:val="auto"/>
                      <w:sz w:val="21"/>
                    </w:rPr>
                    <w:t>750m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pacing w:val="-9"/>
                      <w:sz w:val="21"/>
                    </w:rPr>
                    <w:t xml:space="preserve">，一层，高约 </w:t>
                  </w:r>
                  <w:r>
                    <w:rPr>
                      <w:rFonts w:hint="default" w:ascii="Times New Roman" w:hAnsi="Times New Roman" w:eastAsia="宋体" w:cs="Times New Roman"/>
                      <w:color w:val="auto"/>
                      <w:sz w:val="21"/>
                    </w:rPr>
                    <w:t>8.3m</w:t>
                  </w:r>
                  <w:r>
                    <w:rPr>
                      <w:rFonts w:hint="default" w:ascii="Times New Roman" w:hAnsi="Times New Roman" w:eastAsia="宋体" w:cs="Times New Roman"/>
                      <w:color w:val="auto"/>
                      <w:spacing w:val="-4"/>
                      <w:sz w:val="21"/>
                    </w:rPr>
                    <w:t>；作为成都</w:t>
                  </w:r>
                  <w:r>
                    <w:rPr>
                      <w:rFonts w:hint="default" w:ascii="Times New Roman" w:hAnsi="Times New Roman" w:eastAsia="宋体" w:cs="Times New Roman"/>
                      <w:color w:val="auto"/>
                      <w:spacing w:val="-10"/>
                      <w:sz w:val="21"/>
                    </w:rPr>
                    <w:t>公司生产的木器漆产品的贮存仓库。</w:t>
                  </w:r>
                </w:p>
              </w:tc>
            </w:tr>
            <w:tr w14:paraId="3C090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4CDEBD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304" w:type="pct"/>
                  <w:vMerge w:val="continue"/>
                  <w:vAlign w:val="center"/>
                </w:tcPr>
                <w:p w14:paraId="49C2D03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747" w:type="pct"/>
                  <w:vAlign w:val="center"/>
                </w:tcPr>
                <w:p w14:paraId="25DB106E">
                  <w:pPr>
                    <w:pStyle w:val="41"/>
                    <w:keepNext w:val="0"/>
                    <w:keepLines w:val="0"/>
                    <w:suppressLineNumbers w:val="0"/>
                    <w:spacing w:before="19"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雨棚</w:t>
                  </w:r>
                </w:p>
              </w:tc>
              <w:tc>
                <w:tcPr>
                  <w:tcW w:w="3606" w:type="pct"/>
                  <w:vAlign w:val="center"/>
                </w:tcPr>
                <w:p w14:paraId="0C2F8CE4">
                  <w:pPr>
                    <w:pStyle w:val="41"/>
                    <w:keepNext w:val="0"/>
                    <w:keepLines w:val="0"/>
                    <w:suppressLineNumbers w:val="0"/>
                    <w:spacing w:before="19" w:beforeAutospacing="0" w:after="0" w:afterAutospacing="0" w:line="240" w:lineRule="auto"/>
                    <w:ind w:left="105" w:right="96"/>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在生产车间、乳胶漆成品库、丙类原料库、甲类库等建筑的进出口均设置了雨棚，便于物料的运输，总占地面积约为4750m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r>
            <w:tr w14:paraId="31691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restart"/>
                  <w:vAlign w:val="center"/>
                </w:tcPr>
                <w:p w14:paraId="6A99E352">
                  <w:pPr>
                    <w:pStyle w:val="41"/>
                    <w:keepNext w:val="0"/>
                    <w:keepLines w:val="0"/>
                    <w:suppressLineNumbers w:val="0"/>
                    <w:spacing w:before="18"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辅助</w:t>
                  </w:r>
                  <w:r>
                    <w:rPr>
                      <w:rFonts w:hint="default" w:ascii="Times New Roman" w:hAnsi="Times New Roman" w:eastAsia="宋体" w:cs="Times New Roman"/>
                      <w:color w:val="auto"/>
                      <w:sz w:val="21"/>
                    </w:rPr>
                    <w:t>工程</w:t>
                  </w:r>
                </w:p>
              </w:tc>
              <w:tc>
                <w:tcPr>
                  <w:tcW w:w="1051" w:type="pct"/>
                  <w:gridSpan w:val="2"/>
                  <w:vAlign w:val="center"/>
                </w:tcPr>
                <w:p w14:paraId="29C38A0A">
                  <w:pPr>
                    <w:pStyle w:val="41"/>
                    <w:keepNext w:val="0"/>
                    <w:keepLines w:val="0"/>
                    <w:suppressLineNumbers w:val="0"/>
                    <w:spacing w:before="18"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工务楼</w:t>
                  </w:r>
                </w:p>
              </w:tc>
              <w:tc>
                <w:tcPr>
                  <w:tcW w:w="3606" w:type="pct"/>
                  <w:vAlign w:val="center"/>
                </w:tcPr>
                <w:p w14:paraId="55CFD386">
                  <w:pPr>
                    <w:pStyle w:val="41"/>
                    <w:keepNext w:val="0"/>
                    <w:keepLines w:val="0"/>
                    <w:suppressLineNumbers w:val="0"/>
                    <w:spacing w:before="18" w:beforeAutospacing="0" w:after="0" w:afterAutospacing="0" w:line="240" w:lineRule="auto"/>
                    <w:ind w:left="105" w:right="-15"/>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3"/>
                      <w:sz w:val="21"/>
                    </w:rPr>
                    <w:t xml:space="preserve">为独立彩钢板厂房，建筑面积约为 </w:t>
                  </w:r>
                  <w:r>
                    <w:rPr>
                      <w:rFonts w:hint="default" w:ascii="Times New Roman" w:hAnsi="Times New Roman" w:eastAsia="宋体" w:cs="Times New Roman"/>
                      <w:color w:val="auto"/>
                      <w:sz w:val="21"/>
                    </w:rPr>
                    <w:t>630m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，一层，</w:t>
                  </w:r>
                  <w:r>
                    <w:rPr>
                      <w:rFonts w:hint="default" w:ascii="Times New Roman" w:hAnsi="Times New Roman" w:eastAsia="宋体" w:cs="Times New Roman"/>
                      <w:color w:val="auto"/>
                      <w:w w:val="100"/>
                      <w:sz w:val="21"/>
                    </w:rPr>
                    <w:t>高约</w:t>
                  </w:r>
                  <w:r>
                    <w:rPr>
                      <w:rFonts w:hint="default" w:ascii="Times New Roman" w:hAnsi="Times New Roman" w:eastAsia="宋体" w:cs="Times New Roman"/>
                      <w:color w:val="auto"/>
                      <w:spacing w:val="-52"/>
                      <w:sz w:val="21"/>
                    </w:rPr>
                    <w:t xml:space="preserve"> </w:t>
                  </w:r>
                  <w:r>
                    <w:rPr>
                      <w:rFonts w:hint="default" w:ascii="Times New Roman" w:hAnsi="Times New Roman" w:eastAsia="宋体" w:cs="Times New Roman"/>
                      <w:color w:val="auto"/>
                      <w:w w:val="100"/>
                      <w:sz w:val="21"/>
                    </w:rPr>
                    <w:t>6</w:t>
                  </w:r>
                  <w:r>
                    <w:rPr>
                      <w:rFonts w:hint="default" w:ascii="Times New Roman" w:hAnsi="Times New Roman" w:eastAsia="宋体" w:cs="Times New Roman"/>
                      <w:color w:val="auto"/>
                      <w:spacing w:val="-1"/>
                      <w:w w:val="100"/>
                      <w:sz w:val="21"/>
                    </w:rPr>
                    <w:t>m</w:t>
                  </w:r>
                  <w:r>
                    <w:rPr>
                      <w:rFonts w:hint="default" w:ascii="Times New Roman" w:hAnsi="Times New Roman" w:eastAsia="宋体" w:cs="Times New Roman"/>
                      <w:color w:val="auto"/>
                      <w:spacing w:val="-11"/>
                      <w:w w:val="100"/>
                      <w:sz w:val="21"/>
                    </w:rPr>
                    <w:t>；分为两个部分一部分做为职工的淋浴室和</w:t>
                  </w:r>
                  <w:r>
                    <w:rPr>
                      <w:rFonts w:hint="default" w:ascii="Times New Roman" w:hAnsi="Times New Roman" w:eastAsia="宋体" w:cs="Times New Roman"/>
                      <w:color w:val="auto"/>
                      <w:spacing w:val="-11"/>
                      <w:sz w:val="21"/>
                    </w:rPr>
                    <w:t>机修备品间、叉车充电间和泡沫发生装置，另一部</w:t>
                  </w:r>
                  <w:r>
                    <w:rPr>
                      <w:rFonts w:hint="default" w:ascii="Times New Roman" w:hAnsi="Times New Roman" w:eastAsia="宋体" w:cs="Times New Roman"/>
                      <w:color w:val="auto"/>
                      <w:spacing w:val="-21"/>
                      <w:sz w:val="21"/>
                    </w:rPr>
                    <w:t xml:space="preserve">分为动力中心，设置 </w:t>
                  </w:r>
                  <w:r>
                    <w:rPr>
                      <w:rFonts w:hint="default" w:ascii="Times New Roman" w:hAnsi="Times New Roman" w:eastAsia="宋体" w:cs="Times New Roman"/>
                      <w:color w:val="auto"/>
                      <w:sz w:val="21"/>
                    </w:rPr>
                    <w:t>4</w:t>
                  </w:r>
                  <w:r>
                    <w:rPr>
                      <w:rFonts w:hint="default" w:ascii="Times New Roman" w:hAnsi="Times New Roman" w:eastAsia="宋体" w:cs="Times New Roman"/>
                      <w:color w:val="auto"/>
                      <w:spacing w:val="-12"/>
                      <w:sz w:val="21"/>
                    </w:rPr>
                    <w:t>台空压机和</w:t>
                  </w:r>
                  <w:r>
                    <w:rPr>
                      <w:rFonts w:hint="default" w:ascii="Times New Roman" w:hAnsi="Times New Roman" w:eastAsia="宋体" w:cs="Times New Roman"/>
                      <w:color w:val="auto"/>
                      <w:sz w:val="21"/>
                    </w:rPr>
                    <w:t>1</w:t>
                  </w:r>
                  <w:r>
                    <w:rPr>
                      <w:rFonts w:hint="default" w:ascii="Times New Roman" w:hAnsi="Times New Roman" w:eastAsia="宋体" w:cs="Times New Roman"/>
                      <w:color w:val="auto"/>
                      <w:spacing w:val="-3"/>
                      <w:sz w:val="21"/>
                    </w:rPr>
                    <w:t>套变</w:t>
                  </w:r>
                  <w:r>
                    <w:rPr>
                      <w:rFonts w:hint="default" w:ascii="Times New Roman" w:hAnsi="Times New Roman" w:eastAsia="宋体" w:cs="Times New Roman"/>
                      <w:color w:val="auto"/>
                      <w:spacing w:val="3"/>
                      <w:sz w:val="21"/>
                    </w:rPr>
                    <w:t>/</w:t>
                  </w:r>
                  <w:r>
                    <w:rPr>
                      <w:rFonts w:hint="default" w:ascii="Times New Roman" w:hAnsi="Times New Roman" w:eastAsia="宋体" w:cs="Times New Roman"/>
                      <w:color w:val="auto"/>
                      <w:spacing w:val="-2"/>
                      <w:sz w:val="21"/>
                    </w:rPr>
                    <w:t>配电装置，</w:t>
                  </w:r>
                  <w:r>
                    <w:rPr>
                      <w:rFonts w:hint="default" w:ascii="Times New Roman" w:hAnsi="Times New Roman" w:eastAsia="宋体" w:cs="Times New Roman"/>
                      <w:color w:val="auto"/>
                      <w:sz w:val="21"/>
                    </w:rPr>
                    <w:t>供生产所需空气动力和电力。</w:t>
                  </w:r>
                </w:p>
              </w:tc>
            </w:tr>
            <w:tr w14:paraId="249E9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Borders>
                    <w:top w:val="nil"/>
                  </w:tcBorders>
                  <w:vAlign w:val="center"/>
                </w:tcPr>
                <w:p w14:paraId="442C152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051" w:type="pct"/>
                  <w:gridSpan w:val="2"/>
                  <w:vAlign w:val="center"/>
                </w:tcPr>
                <w:p w14:paraId="2C6F0716">
                  <w:pPr>
                    <w:pStyle w:val="41"/>
                    <w:keepNext w:val="0"/>
                    <w:keepLines w:val="0"/>
                    <w:suppressLineNumbers w:val="0"/>
                    <w:spacing w:before="23" w:beforeAutospacing="0" w:after="0" w:afterAutospacing="0" w:line="240" w:lineRule="auto"/>
                    <w:ind w:left="109" w:right="19"/>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办公楼（含食堂）</w:t>
                  </w:r>
                </w:p>
              </w:tc>
              <w:tc>
                <w:tcPr>
                  <w:tcW w:w="3606" w:type="pct"/>
                  <w:vAlign w:val="center"/>
                </w:tcPr>
                <w:p w14:paraId="5F5A5CE5">
                  <w:pPr>
                    <w:pStyle w:val="41"/>
                    <w:keepNext w:val="0"/>
                    <w:keepLines w:val="0"/>
                    <w:suppressLineNumbers w:val="0"/>
                    <w:spacing w:before="23" w:beforeAutospacing="0" w:after="0" w:afterAutospacing="0" w:line="240" w:lineRule="auto"/>
                    <w:ind w:left="105" w:right="3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为框架结构建筑，占地面积为 819m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，建筑面积约为 2457m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，3层建筑，一层设置有食堂和接待室</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二、三楼为办公室。</w:t>
                  </w:r>
                </w:p>
              </w:tc>
            </w:tr>
            <w:tr w14:paraId="6127C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Borders>
                    <w:top w:val="nil"/>
                  </w:tcBorders>
                  <w:vAlign w:val="center"/>
                </w:tcPr>
                <w:p w14:paraId="1C5D9E1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051" w:type="pct"/>
                  <w:gridSpan w:val="2"/>
                  <w:vAlign w:val="center"/>
                </w:tcPr>
                <w:p w14:paraId="3FA7EB72">
                  <w:pPr>
                    <w:pStyle w:val="41"/>
                    <w:keepNext w:val="0"/>
                    <w:keepLines w:val="0"/>
                    <w:suppressLineNumbers w:val="0"/>
                    <w:spacing w:before="22"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参观连廊</w:t>
                  </w:r>
                </w:p>
              </w:tc>
              <w:tc>
                <w:tcPr>
                  <w:tcW w:w="3606" w:type="pct"/>
                  <w:vAlign w:val="center"/>
                </w:tcPr>
                <w:p w14:paraId="7CDF8CCA">
                  <w:pPr>
                    <w:pStyle w:val="41"/>
                    <w:keepNext w:val="0"/>
                    <w:keepLines w:val="0"/>
                    <w:suppressLineNumbers w:val="0"/>
                    <w:spacing w:before="22" w:beforeAutospacing="0" w:after="0" w:afterAutospacing="0" w:line="240" w:lineRule="auto"/>
                    <w:ind w:left="105" w:right="-15"/>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为单独架设在车间的一个参观走廊，采用钢架建设方式，高约3m，从乳胶车间连通至腻子粉生产车间，便于参观产品整个工艺流程。其占地面积</w:t>
                  </w:r>
                  <w:r>
                    <w:rPr>
                      <w:rFonts w:hint="default" w:ascii="Times New Roman" w:hAnsi="Times New Roman" w:eastAsia="宋体" w:cs="Times New Roman"/>
                      <w:color w:val="auto"/>
                      <w:spacing w:val="18"/>
                      <w:sz w:val="21"/>
                    </w:rPr>
                    <w:t>为</w:t>
                  </w:r>
                  <w:r>
                    <w:rPr>
                      <w:rFonts w:hint="default" w:ascii="Times New Roman" w:hAnsi="Times New Roman" w:eastAsia="宋体" w:cs="Times New Roman"/>
                      <w:color w:val="auto"/>
                      <w:sz w:val="21"/>
                    </w:rPr>
                    <w:t>269m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r>
            <w:tr w14:paraId="2F62B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Borders>
                    <w:top w:val="nil"/>
                  </w:tcBorders>
                  <w:vAlign w:val="center"/>
                </w:tcPr>
                <w:p w14:paraId="0CABF7A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051" w:type="pct"/>
                  <w:gridSpan w:val="2"/>
                  <w:vAlign w:val="center"/>
                </w:tcPr>
                <w:p w14:paraId="3445D907">
                  <w:pPr>
                    <w:pStyle w:val="41"/>
                    <w:keepNext w:val="0"/>
                    <w:keepLines w:val="0"/>
                    <w:suppressLineNumbers w:val="0"/>
                    <w:spacing w:before="22"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地磅房</w:t>
                  </w:r>
                </w:p>
              </w:tc>
              <w:tc>
                <w:tcPr>
                  <w:tcW w:w="3606" w:type="pct"/>
                  <w:vAlign w:val="center"/>
                </w:tcPr>
                <w:p w14:paraId="16F627D2">
                  <w:pPr>
                    <w:pStyle w:val="41"/>
                    <w:keepNext w:val="0"/>
                    <w:keepLines w:val="0"/>
                    <w:suppressLineNumbers w:val="0"/>
                    <w:spacing w:before="22"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位于物流入口，占地面积约为20m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r>
            <w:tr w14:paraId="4E2A8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Borders>
                    <w:top w:val="nil"/>
                  </w:tcBorders>
                  <w:vAlign w:val="center"/>
                </w:tcPr>
                <w:p w14:paraId="0B8BBC8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051" w:type="pct"/>
                  <w:gridSpan w:val="2"/>
                  <w:vAlign w:val="center"/>
                </w:tcPr>
                <w:p w14:paraId="1142649A">
                  <w:pPr>
                    <w:pStyle w:val="41"/>
                    <w:keepNext w:val="0"/>
                    <w:keepLines w:val="0"/>
                    <w:suppressLineNumbers w:val="0"/>
                    <w:spacing w:before="22"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警卫室</w:t>
                  </w:r>
                </w:p>
              </w:tc>
              <w:tc>
                <w:tcPr>
                  <w:tcW w:w="3606" w:type="pct"/>
                  <w:vAlign w:val="center"/>
                </w:tcPr>
                <w:p w14:paraId="0E3DE841">
                  <w:pPr>
                    <w:pStyle w:val="41"/>
                    <w:keepNext w:val="0"/>
                    <w:keepLines w:val="0"/>
                    <w:suppressLineNumbers w:val="0"/>
                    <w:spacing w:before="22"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设置2个警卫室，分别位于物流和人流大门口，每个的建筑面积约为30.5m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r>
            <w:tr w14:paraId="73C86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Borders>
                    <w:top w:val="nil"/>
                  </w:tcBorders>
                  <w:vAlign w:val="center"/>
                </w:tcPr>
                <w:p w14:paraId="1144E4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051" w:type="pct"/>
                  <w:gridSpan w:val="2"/>
                  <w:vAlign w:val="center"/>
                </w:tcPr>
                <w:p w14:paraId="1E8A8E1F">
                  <w:pPr>
                    <w:pStyle w:val="41"/>
                    <w:keepNext w:val="0"/>
                    <w:keepLines w:val="0"/>
                    <w:suppressLineNumbers w:val="0"/>
                    <w:spacing w:before="21"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消防水池</w:t>
                  </w:r>
                </w:p>
              </w:tc>
              <w:tc>
                <w:tcPr>
                  <w:tcW w:w="3606" w:type="pct"/>
                  <w:vAlign w:val="center"/>
                </w:tcPr>
                <w:p w14:paraId="5D541E51">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9"/>
                      <w:sz w:val="21"/>
                      <w:lang w:eastAsia="zh-CN"/>
                    </w:rPr>
                    <w:t>厂区设置</w:t>
                  </w:r>
                  <w:r>
                    <w:rPr>
                      <w:rFonts w:hint="default" w:ascii="Times New Roman" w:hAnsi="Times New Roman" w:eastAsia="宋体" w:cs="Times New Roman"/>
                      <w:color w:val="auto"/>
                      <w:spacing w:val="-9"/>
                      <w:sz w:val="21"/>
                      <w:lang w:val="en-US" w:eastAsia="zh-CN"/>
                    </w:rPr>
                    <w:t>2个容积为600</w:t>
                  </w:r>
                  <w:r>
                    <w:rPr>
                      <w:rFonts w:hint="default" w:ascii="Times New Roman" w:hAnsi="Times New Roman" w:eastAsia="宋体" w:cs="Times New Roman"/>
                      <w:color w:val="auto"/>
                      <w:sz w:val="21"/>
                    </w:rPr>
                    <w:t>m</w:t>
                  </w:r>
                  <w:r>
                    <w:rPr>
                      <w:rFonts w:hint="eastAsia" w:ascii="Times New Roman" w:hAnsi="Times New Roman" w:eastAsia="宋体" w:cs="Times New Roman"/>
                      <w:color w:val="auto"/>
                      <w:position w:val="7"/>
                      <w:sz w:val="13"/>
                      <w:lang w:val="en-US" w:eastAsia="zh-CN"/>
                    </w:rPr>
                    <w:t>3</w:t>
                  </w:r>
                  <w:r>
                    <w:rPr>
                      <w:rFonts w:hint="default" w:ascii="Times New Roman" w:hAnsi="Times New Roman" w:eastAsia="宋体" w:cs="Times New Roman"/>
                      <w:color w:val="auto"/>
                      <w:spacing w:val="-9"/>
                      <w:sz w:val="21"/>
                      <w:lang w:eastAsia="zh-CN"/>
                    </w:rPr>
                    <w:t>的消防水池</w:t>
                  </w:r>
                  <w:r>
                    <w:rPr>
                      <w:rFonts w:hint="default" w:ascii="Times New Roman" w:hAnsi="Times New Roman" w:eastAsia="宋体" w:cs="Times New Roman"/>
                      <w:color w:val="auto"/>
                      <w:sz w:val="21"/>
                    </w:rPr>
                    <w:t>，为地下式水池，上面进行绿化。</w:t>
                  </w:r>
                </w:p>
              </w:tc>
            </w:tr>
            <w:tr w14:paraId="09471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restart"/>
                  <w:vAlign w:val="center"/>
                </w:tcPr>
                <w:p w14:paraId="4A55E68E">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highlight w:val="none"/>
                      <w:lang w:val="en-US" w:eastAsia="zh-CN"/>
                    </w:rPr>
                    <w:t>公用工程</w:t>
                  </w:r>
                </w:p>
              </w:tc>
              <w:tc>
                <w:tcPr>
                  <w:tcW w:w="1051" w:type="pct"/>
                  <w:gridSpan w:val="2"/>
                  <w:vAlign w:val="center"/>
                </w:tcPr>
                <w:p w14:paraId="5AB6529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highlight w:val="none"/>
                      <w:lang w:val="en-US" w:eastAsia="zh-CN"/>
                    </w:rPr>
                    <w:t>给水</w:t>
                  </w:r>
                </w:p>
              </w:tc>
              <w:tc>
                <w:tcPr>
                  <w:tcW w:w="3606" w:type="pct"/>
                  <w:vAlign w:val="center"/>
                </w:tcPr>
                <w:p w14:paraId="5AFB69C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szCs w:val="21"/>
                      <w:highlight w:val="none"/>
                      <w:lang w:val="en-US" w:eastAsia="zh-CN"/>
                    </w:rPr>
                    <w:t>由富民工业园区白石岩—大白坡片区</w:t>
                  </w:r>
                  <w:r>
                    <w:rPr>
                      <w:rFonts w:hint="eastAsia" w:cs="Times New Roman"/>
                      <w:color w:val="auto"/>
                      <w:sz w:val="21"/>
                      <w:szCs w:val="21"/>
                      <w:highlight w:val="none"/>
                      <w:lang w:val="en-US" w:eastAsia="zh-CN"/>
                    </w:rPr>
                    <w:t>哨箐</w:t>
                  </w:r>
                  <w:r>
                    <w:rPr>
                      <w:rFonts w:hint="eastAsia" w:ascii="Times New Roman" w:hAnsi="Times New Roman" w:eastAsia="宋体" w:cs="Times New Roman"/>
                      <w:color w:val="auto"/>
                      <w:sz w:val="21"/>
                      <w:szCs w:val="21"/>
                      <w:highlight w:val="none"/>
                      <w:lang w:val="en-US" w:eastAsia="zh-CN"/>
                    </w:rPr>
                    <w:t>园区</w:t>
                  </w:r>
                  <w:r>
                    <w:rPr>
                      <w:rFonts w:hint="default" w:ascii="Times New Roman" w:hAnsi="Times New Roman" w:eastAsia="宋体" w:cs="Times New Roman"/>
                      <w:color w:val="auto"/>
                      <w:sz w:val="21"/>
                      <w:szCs w:val="21"/>
                      <w:highlight w:val="none"/>
                      <w:lang w:val="en-US" w:eastAsia="zh-CN"/>
                    </w:rPr>
                    <w:t>供水管网供给。</w:t>
                  </w:r>
                </w:p>
              </w:tc>
            </w:tr>
            <w:tr w14:paraId="2A133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7EEF8DA1">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1051" w:type="pct"/>
                  <w:gridSpan w:val="2"/>
                  <w:vAlign w:val="center"/>
                </w:tcPr>
                <w:p w14:paraId="601DF06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highlight w:val="none"/>
                      <w:lang w:val="en-US" w:eastAsia="zh-CN"/>
                    </w:rPr>
                    <w:t>排水</w:t>
                  </w:r>
                </w:p>
              </w:tc>
              <w:tc>
                <w:tcPr>
                  <w:tcW w:w="3606" w:type="pct"/>
                  <w:vAlign w:val="center"/>
                </w:tcPr>
                <w:p w14:paraId="703767D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szCs w:val="21"/>
                      <w:highlight w:val="none"/>
                      <w:lang w:val="en-US" w:eastAsia="zh-CN"/>
                    </w:rPr>
                    <w:t>项目严格实行雨污分流制，初期雨水收集后进入</w:t>
                  </w:r>
                  <w:r>
                    <w:rPr>
                      <w:rFonts w:hint="eastAsia" w:cs="Times New Roman"/>
                      <w:color w:val="auto"/>
                      <w:sz w:val="21"/>
                      <w:szCs w:val="21"/>
                      <w:highlight w:val="none"/>
                      <w:lang w:val="en-US" w:eastAsia="zh-CN"/>
                    </w:rPr>
                    <w:t>初期雨水收集池，生活污水经隔油池。化粪池预处理后同沉淀后的生产废水一并进入自建污水处理系统处理达</w:t>
                  </w:r>
                  <w:r>
                    <w:rPr>
                      <w:rFonts w:hint="default" w:ascii="Times New Roman" w:hAnsi="Times New Roman" w:eastAsia="宋体" w:cs="Times New Roman"/>
                      <w:color w:val="auto"/>
                      <w:sz w:val="21"/>
                      <w:szCs w:val="21"/>
                      <w:highlight w:val="none"/>
                      <w:lang w:val="en-US" w:eastAsia="zh-CN" w:bidi="ar-SA"/>
                    </w:rPr>
                    <w:t>《污水排入城镇下水道水质标准》（</w:t>
                  </w:r>
                  <w:r>
                    <w:rPr>
                      <w:rFonts w:hint="default" w:ascii="Times New Roman" w:hAnsi="Times New Roman" w:eastAsia="宋体" w:cs="Times New Roman"/>
                      <w:color w:val="auto"/>
                      <w:sz w:val="21"/>
                      <w:szCs w:val="21"/>
                      <w:highlight w:val="none"/>
                      <w:lang w:val="en-US" w:eastAsia="en-US" w:bidi="ar-SA"/>
                    </w:rPr>
                    <w:t>GB/T 31962-2015</w:t>
                  </w:r>
                  <w:r>
                    <w:rPr>
                      <w:rFonts w:hint="default"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en-US" w:bidi="ar-SA"/>
                    </w:rPr>
                    <w:t>A</w:t>
                  </w:r>
                  <w:r>
                    <w:rPr>
                      <w:rFonts w:hint="default" w:ascii="Times New Roman" w:hAnsi="Times New Roman" w:eastAsia="宋体" w:cs="Times New Roman"/>
                      <w:color w:val="auto"/>
                      <w:sz w:val="21"/>
                      <w:szCs w:val="21"/>
                      <w:highlight w:val="none"/>
                      <w:lang w:val="en-US" w:eastAsia="zh-CN" w:bidi="ar-SA"/>
                    </w:rPr>
                    <w:t>级标准</w:t>
                  </w:r>
                  <w:r>
                    <w:rPr>
                      <w:rFonts w:hint="eastAsia" w:cs="Times New Roman"/>
                      <w:color w:val="auto"/>
                      <w:sz w:val="21"/>
                      <w:szCs w:val="21"/>
                      <w:highlight w:val="none"/>
                      <w:lang w:val="en-US" w:eastAsia="zh-CN"/>
                    </w:rPr>
                    <w:t>后，进入园区污水管网，最终进入富民工业园区哨箐机械加工园污水处理厂。</w:t>
                  </w:r>
                </w:p>
              </w:tc>
            </w:tr>
            <w:tr w14:paraId="2E481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restart"/>
                  <w:vAlign w:val="center"/>
                </w:tcPr>
                <w:p w14:paraId="404D4209">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环保工程</w:t>
                  </w:r>
                </w:p>
              </w:tc>
              <w:tc>
                <w:tcPr>
                  <w:tcW w:w="304" w:type="pct"/>
                  <w:vMerge w:val="restart"/>
                  <w:vAlign w:val="center"/>
                </w:tcPr>
                <w:p w14:paraId="5DE37DBD">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废水</w:t>
                  </w:r>
                </w:p>
              </w:tc>
              <w:tc>
                <w:tcPr>
                  <w:tcW w:w="747" w:type="pct"/>
                  <w:vAlign w:val="center"/>
                </w:tcPr>
                <w:p w14:paraId="74FC16B4">
                  <w:pPr>
                    <w:pStyle w:val="41"/>
                    <w:keepNext w:val="0"/>
                    <w:keepLines w:val="0"/>
                    <w:suppressLineNumbers w:val="0"/>
                    <w:spacing w:before="21" w:beforeAutospacing="0" w:after="0" w:afterAutospacing="0" w:line="240" w:lineRule="auto"/>
                    <w:ind w:left="109" w:right="93"/>
                    <w:jc w:val="center"/>
                    <w:rPr>
                      <w:rFonts w:hint="eastAsia" w:ascii="Times New Roman" w:hAnsi="Times New Roman" w:eastAsia="宋体" w:cs="Times New Roman"/>
                      <w:color w:val="auto"/>
                      <w:sz w:val="21"/>
                      <w:lang w:eastAsia="zh-CN"/>
                    </w:rPr>
                  </w:pPr>
                  <w:r>
                    <w:rPr>
                      <w:rFonts w:hint="default" w:ascii="Times New Roman" w:hAnsi="Times New Roman" w:eastAsia="宋体" w:cs="Times New Roman"/>
                      <w:color w:val="auto"/>
                      <w:sz w:val="21"/>
                    </w:rPr>
                    <w:t>污水处理</w:t>
                  </w:r>
                  <w:r>
                    <w:rPr>
                      <w:rFonts w:hint="eastAsia" w:cs="Times New Roman"/>
                      <w:color w:val="auto"/>
                      <w:sz w:val="21"/>
                      <w:lang w:eastAsia="zh-CN"/>
                    </w:rPr>
                    <w:t>系统</w:t>
                  </w:r>
                </w:p>
              </w:tc>
              <w:tc>
                <w:tcPr>
                  <w:tcW w:w="3606" w:type="pct"/>
                  <w:vAlign w:val="center"/>
                </w:tcPr>
                <w:p w14:paraId="2A85533A">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厂区内设置有</w:t>
                  </w:r>
                  <w:r>
                    <w:rPr>
                      <w:rFonts w:hint="default" w:ascii="Times New Roman" w:hAnsi="Times New Roman" w:eastAsia="宋体" w:cs="Times New Roman"/>
                      <w:color w:val="auto"/>
                      <w:sz w:val="21"/>
                    </w:rPr>
                    <w:t>一套污水处理系统，建筑用房占地约252m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，处理规模50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rPr>
                    <w:t>/t。</w:t>
                  </w:r>
                  <w:r>
                    <w:rPr>
                      <w:rFonts w:hint="default" w:ascii="Times New Roman" w:hAnsi="Times New Roman" w:eastAsia="宋体" w:cs="Times New Roman"/>
                      <w:color w:val="auto"/>
                      <w:sz w:val="21"/>
                      <w:lang w:val="en-US" w:eastAsia="zh-CN"/>
                    </w:rPr>
                    <w:t>处理工艺为“</w:t>
                  </w:r>
                  <w:r>
                    <w:rPr>
                      <w:rFonts w:hint="default" w:ascii="Times New Roman" w:hAnsi="Times New Roman" w:eastAsia="宋体" w:cs="Times New Roman"/>
                      <w:color w:val="auto"/>
                      <w:spacing w:val="-2"/>
                    </w:rPr>
                    <w:t>混凝沉淀</w:t>
                  </w:r>
                  <w:r>
                    <w:rPr>
                      <w:rFonts w:hint="default" w:ascii="Times New Roman" w:hAnsi="Times New Roman" w:eastAsia="宋体" w:cs="Times New Roman"/>
                      <w:color w:val="auto"/>
                    </w:rPr>
                    <w:t>+UASB</w:t>
                  </w:r>
                  <w:r>
                    <w:rPr>
                      <w:rFonts w:hint="default" w:ascii="Times New Roman" w:hAnsi="Times New Roman" w:eastAsia="宋体" w:cs="Times New Roman"/>
                      <w:color w:val="auto"/>
                      <w:spacing w:val="-4"/>
                    </w:rPr>
                    <w:t xml:space="preserve"> </w:t>
                  </w:r>
                  <w:r>
                    <w:rPr>
                      <w:rFonts w:hint="default" w:ascii="Times New Roman" w:hAnsi="Times New Roman" w:eastAsia="宋体" w:cs="Times New Roman"/>
                      <w:color w:val="auto"/>
                      <w:spacing w:val="2"/>
                    </w:rPr>
                    <w:t>反应</w:t>
                  </w:r>
                  <w:r>
                    <w:rPr>
                      <w:rFonts w:hint="default" w:ascii="Times New Roman" w:hAnsi="Times New Roman" w:eastAsia="宋体" w:cs="Times New Roman"/>
                      <w:color w:val="auto"/>
                    </w:rPr>
                    <w:t>+MBR</w:t>
                  </w:r>
                  <w:r>
                    <w:rPr>
                      <w:rFonts w:hint="default" w:ascii="Times New Roman" w:hAnsi="Times New Roman" w:eastAsia="宋体" w:cs="Times New Roman"/>
                      <w:color w:val="auto"/>
                      <w:spacing w:val="2"/>
                    </w:rPr>
                    <w:t xml:space="preserve"> </w:t>
                  </w:r>
                  <w:r>
                    <w:rPr>
                      <w:rFonts w:hint="default" w:ascii="Times New Roman" w:hAnsi="Times New Roman" w:eastAsia="宋体" w:cs="Times New Roman"/>
                      <w:color w:val="auto"/>
                    </w:rPr>
                    <w:t>膜池</w:t>
                  </w:r>
                  <w:r>
                    <w:rPr>
                      <w:rFonts w:hint="default" w:ascii="Times New Roman" w:hAnsi="Times New Roman" w:eastAsia="宋体" w:cs="Times New Roman"/>
                      <w:color w:val="auto"/>
                      <w:sz w:val="21"/>
                      <w:lang w:val="en-US" w:eastAsia="zh-CN"/>
                    </w:rPr>
                    <w:t>”。</w:t>
                  </w:r>
                </w:p>
              </w:tc>
            </w:tr>
            <w:tr w14:paraId="099D4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341" w:type="pct"/>
                  <w:vMerge w:val="continue"/>
                  <w:vAlign w:val="center"/>
                </w:tcPr>
                <w:p w14:paraId="7342D981">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304" w:type="pct"/>
                  <w:vMerge w:val="continue"/>
                  <w:vAlign w:val="center"/>
                </w:tcPr>
                <w:p w14:paraId="46FE8EEF">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rPr>
                  </w:pPr>
                </w:p>
              </w:tc>
              <w:tc>
                <w:tcPr>
                  <w:tcW w:w="747" w:type="pct"/>
                  <w:vAlign w:val="center"/>
                </w:tcPr>
                <w:p w14:paraId="621F77B6">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化粪池</w:t>
                  </w:r>
                </w:p>
              </w:tc>
              <w:tc>
                <w:tcPr>
                  <w:tcW w:w="3606" w:type="pct"/>
                  <w:vAlign w:val="center"/>
                </w:tcPr>
                <w:p w14:paraId="5AF2F041">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厂区内设置了容积不小于</w:t>
                  </w:r>
                  <w:r>
                    <w:rPr>
                      <w:rFonts w:hint="eastAsia" w:cs="Times New Roman"/>
                      <w:color w:val="auto"/>
                      <w:sz w:val="21"/>
                      <w:lang w:val="en-US" w:eastAsia="zh-CN"/>
                    </w:rPr>
                    <w:t>20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的化粪池，用于处理办公生活污水。</w:t>
                  </w:r>
                </w:p>
              </w:tc>
            </w:tr>
            <w:tr w14:paraId="3394B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156B8B18">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304" w:type="pct"/>
                  <w:vMerge w:val="continue"/>
                  <w:vAlign w:val="center"/>
                </w:tcPr>
                <w:p w14:paraId="3BF66A08">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rPr>
                  </w:pPr>
                </w:p>
              </w:tc>
              <w:tc>
                <w:tcPr>
                  <w:tcW w:w="747" w:type="pct"/>
                  <w:vAlign w:val="center"/>
                </w:tcPr>
                <w:p w14:paraId="54327422">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隔油池</w:t>
                  </w:r>
                </w:p>
              </w:tc>
              <w:tc>
                <w:tcPr>
                  <w:tcW w:w="3606" w:type="pct"/>
                  <w:vAlign w:val="center"/>
                </w:tcPr>
                <w:p w14:paraId="75B64AE2">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厂区内设置有1个容积不小于</w:t>
                  </w:r>
                  <w:r>
                    <w:rPr>
                      <w:rFonts w:hint="eastAsia" w:cs="Times New Roman"/>
                      <w:color w:val="auto"/>
                      <w:sz w:val="21"/>
                      <w:lang w:val="en-US" w:eastAsia="zh-CN"/>
                    </w:rPr>
                    <w:t>4</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的隔油池，处理食堂产生的含油废水。</w:t>
                  </w:r>
                </w:p>
              </w:tc>
            </w:tr>
            <w:tr w14:paraId="56636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2BD693B2">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304" w:type="pct"/>
                  <w:vMerge w:val="continue"/>
                  <w:vAlign w:val="center"/>
                </w:tcPr>
                <w:p w14:paraId="36EDAEFB">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rPr>
                  </w:pPr>
                </w:p>
              </w:tc>
              <w:tc>
                <w:tcPr>
                  <w:tcW w:w="747" w:type="pct"/>
                  <w:vAlign w:val="center"/>
                </w:tcPr>
                <w:p w14:paraId="1DD2A86F">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eastAsia="zh-CN"/>
                    </w:rPr>
                    <w:t>初期雨水收集池</w:t>
                  </w:r>
                </w:p>
              </w:tc>
              <w:tc>
                <w:tcPr>
                  <w:tcW w:w="3606" w:type="pct"/>
                  <w:vAlign w:val="center"/>
                </w:tcPr>
                <w:p w14:paraId="66824704">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厂区设置容积为</w:t>
                  </w:r>
                  <w:r>
                    <w:rPr>
                      <w:rFonts w:hint="default" w:ascii="Times New Roman" w:hAnsi="Times New Roman" w:eastAsia="宋体" w:cs="Times New Roman"/>
                      <w:color w:val="auto"/>
                      <w:sz w:val="21"/>
                    </w:rPr>
                    <w:t>972m</w:t>
                  </w:r>
                  <w:r>
                    <w:rPr>
                      <w:rFonts w:hint="default" w:ascii="Times New Roman" w:hAnsi="Times New Roman" w:eastAsia="宋体" w:cs="Times New Roman"/>
                      <w:color w:val="auto"/>
                      <w:sz w:val="21"/>
                      <w:vertAlign w:val="superscript"/>
                    </w:rPr>
                    <w:t>3</w:t>
                  </w:r>
                  <w:r>
                    <w:rPr>
                      <w:rFonts w:hint="eastAsia" w:ascii="Times New Roman" w:hAnsi="Times New Roman" w:eastAsia="宋体" w:cs="Times New Roman"/>
                      <w:color w:val="auto"/>
                      <w:sz w:val="21"/>
                      <w:lang w:val="en-US" w:eastAsia="zh-CN"/>
                    </w:rPr>
                    <w:t>的初期雨水收集池</w:t>
                  </w:r>
                  <w:r>
                    <w:rPr>
                      <w:rFonts w:hint="eastAsia" w:cs="Times New Roman"/>
                      <w:color w:val="auto"/>
                      <w:sz w:val="21"/>
                      <w:lang w:val="en-US" w:eastAsia="zh-CN"/>
                    </w:rPr>
                    <w:t>。</w:t>
                  </w:r>
                </w:p>
              </w:tc>
            </w:tr>
            <w:tr w14:paraId="44F1A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Pr>
                <w:p w14:paraId="44A2EDA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0"/>
                    </w:rPr>
                  </w:pPr>
                </w:p>
              </w:tc>
              <w:tc>
                <w:tcPr>
                  <w:tcW w:w="304" w:type="pct"/>
                  <w:vMerge w:val="restart"/>
                  <w:vAlign w:val="center"/>
                </w:tcPr>
                <w:p w14:paraId="21EB4BE6">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废气</w:t>
                  </w:r>
                </w:p>
              </w:tc>
              <w:tc>
                <w:tcPr>
                  <w:tcW w:w="747" w:type="pct"/>
                  <w:vAlign w:val="center"/>
                </w:tcPr>
                <w:p w14:paraId="084BCFD8">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1套“集气罩+</w:t>
                  </w:r>
                  <w:r>
                    <w:rPr>
                      <w:rFonts w:hint="eastAsia" w:cs="Times New Roman"/>
                      <w:color w:val="auto"/>
                      <w:sz w:val="21"/>
                      <w:lang w:val="en-US" w:eastAsia="zh-CN"/>
                    </w:rPr>
                    <w:t>集中式滤筒除尘器</w:t>
                  </w:r>
                  <w:r>
                    <w:rPr>
                      <w:rFonts w:hint="default" w:ascii="Times New Roman" w:hAnsi="Times New Roman" w:eastAsia="宋体" w:cs="Times New Roman"/>
                      <w:color w:val="auto"/>
                      <w:sz w:val="21"/>
                      <w:lang w:val="en-US" w:eastAsia="zh-CN"/>
                    </w:rPr>
                    <w:t>”+15m排气筒</w:t>
                  </w:r>
                </w:p>
              </w:tc>
              <w:tc>
                <w:tcPr>
                  <w:tcW w:w="3606" w:type="pct"/>
                  <w:vAlign w:val="center"/>
                </w:tcPr>
                <w:p w14:paraId="44B285C3">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eastAsia="zh-CN"/>
                    </w:rPr>
                    <w:t>腻子粉</w:t>
                  </w:r>
                  <w:r>
                    <w:rPr>
                      <w:rFonts w:hint="default" w:ascii="Times New Roman" w:hAnsi="Times New Roman" w:eastAsia="宋体" w:cs="Times New Roman"/>
                      <w:color w:val="auto"/>
                      <w:sz w:val="21"/>
                    </w:rPr>
                    <w:t>生产线</w:t>
                  </w:r>
                  <w:r>
                    <w:rPr>
                      <w:rFonts w:hint="default" w:ascii="Times New Roman" w:hAnsi="Times New Roman" w:eastAsia="宋体" w:cs="Times New Roman"/>
                      <w:color w:val="auto"/>
                      <w:sz w:val="21"/>
                      <w:lang w:eastAsia="zh-CN"/>
                    </w:rPr>
                    <w:t>投料间，投料</w:t>
                  </w:r>
                  <w:r>
                    <w:rPr>
                      <w:rFonts w:hint="eastAsia" w:cs="Times New Roman"/>
                      <w:color w:val="auto"/>
                      <w:sz w:val="21"/>
                      <w:lang w:eastAsia="zh-CN"/>
                    </w:rPr>
                    <w:t>、</w:t>
                  </w:r>
                  <w:r>
                    <w:rPr>
                      <w:rFonts w:hint="eastAsia" w:cs="Times New Roman"/>
                      <w:color w:val="auto"/>
                      <w:sz w:val="21"/>
                      <w:lang w:val="en-US" w:eastAsia="zh-CN"/>
                    </w:rPr>
                    <w:t>配料、混料</w:t>
                  </w:r>
                  <w:r>
                    <w:rPr>
                      <w:rFonts w:hint="default" w:ascii="Times New Roman" w:hAnsi="Times New Roman" w:eastAsia="宋体" w:cs="Times New Roman"/>
                      <w:color w:val="auto"/>
                      <w:sz w:val="21"/>
                      <w:lang w:eastAsia="zh-CN"/>
                    </w:rPr>
                    <w:t>产生的粉尘设置</w:t>
                  </w:r>
                  <w:r>
                    <w:rPr>
                      <w:rFonts w:hint="default" w:ascii="Times New Roman" w:hAnsi="Times New Roman" w:eastAsia="宋体" w:cs="Times New Roman"/>
                      <w:color w:val="auto"/>
                      <w:sz w:val="21"/>
                      <w:lang w:val="en-US" w:eastAsia="zh-CN"/>
                    </w:rPr>
                    <w:t>1套“</w:t>
                  </w:r>
                  <w:r>
                    <w:rPr>
                      <w:rFonts w:hint="default" w:ascii="Times New Roman" w:hAnsi="Times New Roman" w:eastAsia="宋体" w:cs="Times New Roman"/>
                      <w:color w:val="auto"/>
                      <w:sz w:val="21"/>
                      <w:lang w:eastAsia="zh-CN"/>
                    </w:rPr>
                    <w:t>集气罩收集</w:t>
                  </w:r>
                  <w:r>
                    <w:rPr>
                      <w:rFonts w:hint="default" w:ascii="Times New Roman" w:hAnsi="Times New Roman" w:eastAsia="宋体" w:cs="Times New Roman"/>
                      <w:color w:val="auto"/>
                      <w:sz w:val="21"/>
                      <w:lang w:val="en-US" w:eastAsia="zh-CN"/>
                    </w:rPr>
                    <w:t>+</w:t>
                  </w:r>
                  <w:r>
                    <w:rPr>
                      <w:rFonts w:hint="eastAsia" w:cs="Times New Roman"/>
                      <w:color w:val="auto"/>
                      <w:sz w:val="21"/>
                      <w:lang w:val="en-US" w:eastAsia="zh-CN"/>
                    </w:rPr>
                    <w:t>集中式滤筒除尘器</w:t>
                  </w:r>
                  <w:r>
                    <w:rPr>
                      <w:rFonts w:hint="default"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rPr>
                    <w:t>处理后经15m排气筒外排。</w:t>
                  </w:r>
                </w:p>
              </w:tc>
            </w:tr>
            <w:tr w14:paraId="3EF7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Pr>
                <w:p w14:paraId="00687D8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0"/>
                    </w:rPr>
                  </w:pPr>
                </w:p>
              </w:tc>
              <w:tc>
                <w:tcPr>
                  <w:tcW w:w="304" w:type="pct"/>
                  <w:vMerge w:val="continue"/>
                  <w:vAlign w:val="center"/>
                </w:tcPr>
                <w:p w14:paraId="66CADC95">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p>
              </w:tc>
              <w:tc>
                <w:tcPr>
                  <w:tcW w:w="747" w:type="pct"/>
                  <w:vAlign w:val="center"/>
                </w:tcPr>
                <w:p w14:paraId="3DEF0022">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2套布袋除尘装置</w:t>
                  </w:r>
                </w:p>
              </w:tc>
              <w:tc>
                <w:tcPr>
                  <w:tcW w:w="3606" w:type="pct"/>
                  <w:vAlign w:val="center"/>
                </w:tcPr>
                <w:p w14:paraId="22361E4A">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eastAsia" w:cs="Times New Roman"/>
                      <w:color w:val="auto"/>
                      <w:sz w:val="21"/>
                      <w:lang w:eastAsia="zh-CN"/>
                    </w:rPr>
                    <w:t>乳胶漆生产线、砂壁生产线投料粉尘分别采用</w:t>
                  </w:r>
                  <w:r>
                    <w:rPr>
                      <w:rFonts w:hint="eastAsia" w:cs="Times New Roman"/>
                      <w:color w:val="auto"/>
                      <w:sz w:val="21"/>
                      <w:lang w:val="en-US" w:eastAsia="zh-CN"/>
                    </w:rPr>
                    <w:t>1套布袋除尘器除尘后，无组织排放。</w:t>
                  </w:r>
                </w:p>
              </w:tc>
            </w:tr>
            <w:tr w14:paraId="1EC40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Pr>
                <w:p w14:paraId="24EE8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
                      <w:szCs w:val="2"/>
                    </w:rPr>
                  </w:pPr>
                </w:p>
              </w:tc>
              <w:tc>
                <w:tcPr>
                  <w:tcW w:w="304" w:type="pct"/>
                  <w:vAlign w:val="center"/>
                </w:tcPr>
                <w:p w14:paraId="47BB6AE2">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固废</w:t>
                  </w:r>
                </w:p>
              </w:tc>
              <w:tc>
                <w:tcPr>
                  <w:tcW w:w="747" w:type="pct"/>
                  <w:vAlign w:val="center"/>
                </w:tcPr>
                <w:p w14:paraId="54BA92DD">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lang w:eastAsia="zh-CN"/>
                    </w:rPr>
                  </w:pPr>
                  <w:r>
                    <w:rPr>
                      <w:rFonts w:hint="eastAsia"/>
                      <w:color w:val="auto"/>
                      <w:sz w:val="21"/>
                      <w:lang w:val="en-US" w:eastAsia="zh-CN"/>
                    </w:rPr>
                    <w:t>一般</w:t>
                  </w:r>
                  <w:r>
                    <w:rPr>
                      <w:rFonts w:hint="default"/>
                      <w:color w:val="auto"/>
                      <w:sz w:val="21"/>
                    </w:rPr>
                    <w:t>固废站</w:t>
                  </w:r>
                </w:p>
              </w:tc>
              <w:tc>
                <w:tcPr>
                  <w:tcW w:w="3606" w:type="pct"/>
                  <w:vAlign w:val="center"/>
                </w:tcPr>
                <w:p w14:paraId="6547BE04">
                  <w:pPr>
                    <w:pStyle w:val="41"/>
                    <w:keepNext w:val="0"/>
                    <w:keepLines w:val="0"/>
                    <w:suppressLineNumbers w:val="0"/>
                    <w:spacing w:before="20" w:beforeAutospacing="0" w:after="0" w:afterAutospacing="0"/>
                    <w:ind w:left="105" w:right="0"/>
                    <w:jc w:val="center"/>
                    <w:rPr>
                      <w:rFonts w:hint="eastAsia" w:ascii="Times New Roman" w:hAnsi="Times New Roman" w:eastAsia="宋体" w:cs="Times New Roman"/>
                      <w:color w:val="auto"/>
                      <w:sz w:val="21"/>
                      <w:lang w:eastAsia="zh-CN"/>
                    </w:rPr>
                  </w:pPr>
                  <w:r>
                    <w:rPr>
                      <w:rFonts w:hint="eastAsia" w:eastAsia="宋体"/>
                      <w:color w:val="auto"/>
                      <w:sz w:val="21"/>
                      <w:lang w:val="en-US" w:eastAsia="zh-CN"/>
                    </w:rPr>
                    <w:t>建成</w:t>
                  </w:r>
                  <w:r>
                    <w:rPr>
                      <w:rFonts w:hint="default" w:ascii="Times New Roman" w:eastAsia="Times New Roman"/>
                      <w:color w:val="auto"/>
                      <w:sz w:val="21"/>
                    </w:rPr>
                    <w:t>135m</w:t>
                  </w:r>
                  <w:r>
                    <w:rPr>
                      <w:rFonts w:hint="default" w:ascii="Times New Roman" w:eastAsia="Times New Roman"/>
                      <w:color w:val="auto"/>
                      <w:position w:val="7"/>
                      <w:sz w:val="13"/>
                    </w:rPr>
                    <w:t xml:space="preserve">2 </w:t>
                  </w:r>
                  <w:r>
                    <w:rPr>
                      <w:rFonts w:hint="default"/>
                      <w:color w:val="auto"/>
                      <w:sz w:val="21"/>
                    </w:rPr>
                    <w:t>固废站，独立彩钢板厂房，主要贮存生产中包装废弃物</w:t>
                  </w:r>
                  <w:r>
                    <w:rPr>
                      <w:rFonts w:hint="eastAsia"/>
                      <w:color w:val="auto"/>
                      <w:sz w:val="21"/>
                      <w:lang w:eastAsia="zh-CN"/>
                    </w:rPr>
                    <w:t>等一般固体废物。</w:t>
                  </w:r>
                </w:p>
              </w:tc>
            </w:tr>
            <w:tr w14:paraId="0190F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Pr>
                <w:p w14:paraId="4C979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
                      <w:szCs w:val="2"/>
                    </w:rPr>
                  </w:pPr>
                </w:p>
              </w:tc>
              <w:tc>
                <w:tcPr>
                  <w:tcW w:w="304" w:type="pct"/>
                  <w:vAlign w:val="center"/>
                </w:tcPr>
                <w:p w14:paraId="74D24520">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eastAsia"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eastAsia="zh-CN"/>
                    </w:rPr>
                    <w:t>噪声</w:t>
                  </w:r>
                </w:p>
              </w:tc>
              <w:tc>
                <w:tcPr>
                  <w:tcW w:w="4354" w:type="pct"/>
                  <w:gridSpan w:val="2"/>
                  <w:vAlign w:val="center"/>
                </w:tcPr>
                <w:p w14:paraId="3373D34B">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aps w:val="0"/>
                      <w:color w:val="auto"/>
                      <w:spacing w:val="0"/>
                      <w:position w:val="0"/>
                      <w:sz w:val="21"/>
                      <w:szCs w:val="21"/>
                      <w:highlight w:val="none"/>
                      <w:lang w:eastAsia="zh-CN"/>
                    </w:rPr>
                    <w:t>选用低噪声设备</w:t>
                  </w:r>
                  <w:r>
                    <w:rPr>
                      <w:rFonts w:hint="eastAsia" w:cs="Times New Roman"/>
                      <w:caps w:val="0"/>
                      <w:color w:val="auto"/>
                      <w:spacing w:val="0"/>
                      <w:position w:val="0"/>
                      <w:sz w:val="21"/>
                      <w:szCs w:val="21"/>
                      <w:highlight w:val="none"/>
                      <w:lang w:eastAsia="zh-CN"/>
                    </w:rPr>
                    <w:t>、</w:t>
                  </w:r>
                  <w:r>
                    <w:rPr>
                      <w:rFonts w:hint="default" w:ascii="Times New Roman" w:hAnsi="Times New Roman" w:eastAsia="宋体" w:cs="Times New Roman"/>
                      <w:color w:val="auto"/>
                      <w:sz w:val="21"/>
                      <w:lang w:val="en-US" w:eastAsia="zh-CN"/>
                    </w:rPr>
                    <w:t>合理布局、厂房隔声</w:t>
                  </w:r>
                </w:p>
              </w:tc>
            </w:tr>
          </w:tbl>
          <w:p w14:paraId="45745465">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3、</w:t>
            </w:r>
            <w:r>
              <w:rPr>
                <w:rFonts w:hint="eastAsia"/>
                <w:b/>
                <w:color w:val="auto"/>
                <w:lang w:eastAsia="zh-CN"/>
              </w:rPr>
              <w:t>原项目</w:t>
            </w:r>
            <w:r>
              <w:rPr>
                <w:rFonts w:hint="default"/>
                <w:b/>
                <w:color w:val="auto"/>
              </w:rPr>
              <w:t>产品规模</w:t>
            </w:r>
          </w:p>
          <w:p w14:paraId="23D0C75A">
            <w:pPr>
              <w:pStyle w:val="87"/>
              <w:keepNext w:val="0"/>
              <w:keepLines w:val="0"/>
              <w:suppressLineNumbers w:val="0"/>
              <w:spacing w:before="0" w:beforeAutospacing="0" w:after="0" w:afterAutospacing="0"/>
              <w:ind w:left="0" w:right="0" w:firstLine="480"/>
              <w:rPr>
                <w:rFonts w:hint="default"/>
                <w:color w:val="auto"/>
              </w:rPr>
            </w:pPr>
            <w:r>
              <w:rPr>
                <w:rFonts w:hint="default"/>
                <w:color w:val="auto"/>
                <w:spacing w:val="-8"/>
              </w:rPr>
              <w:t>产品及生产规模：设计生产的产品为水性涂料系列和腻子粉系列，设计产品</w:t>
            </w:r>
            <w:r>
              <w:rPr>
                <w:rFonts w:hint="default"/>
                <w:color w:val="auto"/>
                <w:spacing w:val="-14"/>
              </w:rPr>
              <w:t xml:space="preserve">为：水性涂料系列 </w:t>
            </w:r>
            <w:r>
              <w:rPr>
                <w:rFonts w:hint="default" w:ascii="Times New Roman" w:eastAsia="Times New Roman"/>
                <w:color w:val="auto"/>
              </w:rPr>
              <w:t>80000t/</w:t>
            </w:r>
            <w:r>
              <w:rPr>
                <w:rFonts w:hint="default" w:ascii="Times New Roman" w:eastAsia="Times New Roman"/>
                <w:color w:val="auto"/>
                <w:spacing w:val="-1"/>
              </w:rPr>
              <w:t>a</w:t>
            </w:r>
            <w:r>
              <w:rPr>
                <w:rFonts w:hint="default"/>
                <w:color w:val="auto"/>
              </w:rPr>
              <w:t>（</w:t>
            </w:r>
            <w:r>
              <w:rPr>
                <w:rFonts w:hint="eastAsia"/>
                <w:color w:val="auto"/>
                <w:lang w:eastAsia="zh-CN"/>
              </w:rPr>
              <w:t>砂壁</w:t>
            </w:r>
            <w:r>
              <w:rPr>
                <w:rFonts w:hint="eastAsia"/>
                <w:color w:val="auto"/>
                <w:lang w:val="en-US" w:eastAsia="zh-CN"/>
              </w:rPr>
              <w:t>20000吨，乳胶漆60000吨</w:t>
            </w:r>
            <w:r>
              <w:rPr>
                <w:rFonts w:hint="eastAsia"/>
                <w:color w:val="auto"/>
                <w:lang w:eastAsia="zh-CN"/>
              </w:rPr>
              <w:t>），</w:t>
            </w:r>
            <w:r>
              <w:rPr>
                <w:rFonts w:hint="default"/>
                <w:color w:val="auto"/>
                <w:spacing w:val="-9"/>
              </w:rPr>
              <w:t xml:space="preserve">腻子粉系列 </w:t>
            </w:r>
            <w:r>
              <w:rPr>
                <w:rFonts w:hint="default" w:ascii="Times New Roman" w:eastAsia="Times New Roman"/>
                <w:color w:val="auto"/>
              </w:rPr>
              <w:t>18500t/</w:t>
            </w:r>
            <w:r>
              <w:rPr>
                <w:rFonts w:hint="default" w:ascii="Times New Roman" w:eastAsia="Times New Roman"/>
                <w:color w:val="auto"/>
                <w:spacing w:val="-1"/>
              </w:rPr>
              <w:t>a</w:t>
            </w:r>
            <w:r>
              <w:rPr>
                <w:rFonts w:hint="default"/>
                <w:color w:val="auto"/>
                <w:spacing w:val="-14"/>
              </w:rPr>
              <w:t>。</w:t>
            </w:r>
          </w:p>
          <w:p w14:paraId="3BCBA9F2">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表2-</w:t>
            </w:r>
            <w:r>
              <w:rPr>
                <w:rFonts w:hint="eastAsia"/>
                <w:b/>
                <w:color w:val="auto"/>
                <w:szCs w:val="21"/>
                <w:lang w:val="en-US" w:eastAsia="zh-CN"/>
              </w:rPr>
              <w:t>17</w:t>
            </w:r>
            <w:r>
              <w:rPr>
                <w:rFonts w:hint="default"/>
                <w:b/>
                <w:color w:val="auto"/>
                <w:szCs w:val="21"/>
              </w:rPr>
              <w:t xml:space="preserve"> 水提车间原材料及产品方案</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43"/>
              <w:gridCol w:w="1324"/>
              <w:gridCol w:w="1966"/>
              <w:gridCol w:w="2660"/>
              <w:gridCol w:w="1582"/>
            </w:tblGrid>
            <w:tr w14:paraId="64B96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3" w:type="pct"/>
                  <w:vAlign w:val="center"/>
                </w:tcPr>
                <w:p w14:paraId="11BF8942">
                  <w:pPr>
                    <w:pStyle w:val="41"/>
                    <w:keepNext w:val="0"/>
                    <w:keepLines w:val="0"/>
                    <w:suppressLineNumbers w:val="0"/>
                    <w:spacing w:before="18" w:beforeAutospacing="0" w:after="0" w:afterAutospacing="0"/>
                    <w:ind w:left="178" w:right="169"/>
                    <w:jc w:val="center"/>
                    <w:rPr>
                      <w:rFonts w:hint="default"/>
                      <w:b/>
                      <w:bCs/>
                      <w:color w:val="auto"/>
                      <w:sz w:val="21"/>
                    </w:rPr>
                  </w:pPr>
                  <w:r>
                    <w:rPr>
                      <w:rFonts w:hint="default"/>
                      <w:b/>
                      <w:bCs/>
                      <w:color w:val="auto"/>
                      <w:sz w:val="21"/>
                    </w:rPr>
                    <w:t>序号</w:t>
                  </w:r>
                </w:p>
              </w:tc>
              <w:tc>
                <w:tcPr>
                  <w:tcW w:w="1963" w:type="pct"/>
                  <w:gridSpan w:val="2"/>
                  <w:vAlign w:val="center"/>
                </w:tcPr>
                <w:p w14:paraId="585662C8">
                  <w:pPr>
                    <w:pStyle w:val="41"/>
                    <w:keepNext w:val="0"/>
                    <w:keepLines w:val="0"/>
                    <w:suppressLineNumbers w:val="0"/>
                    <w:spacing w:before="18" w:beforeAutospacing="0" w:after="0" w:afterAutospacing="0"/>
                    <w:ind w:left="1305" w:right="1296"/>
                    <w:jc w:val="center"/>
                    <w:rPr>
                      <w:rFonts w:hint="default"/>
                      <w:b/>
                      <w:bCs/>
                      <w:color w:val="auto"/>
                      <w:sz w:val="21"/>
                    </w:rPr>
                  </w:pPr>
                  <w:r>
                    <w:rPr>
                      <w:rFonts w:hint="default"/>
                      <w:b/>
                      <w:bCs/>
                      <w:color w:val="auto"/>
                      <w:sz w:val="21"/>
                    </w:rPr>
                    <w:t>名称</w:t>
                  </w:r>
                </w:p>
              </w:tc>
              <w:tc>
                <w:tcPr>
                  <w:tcW w:w="1587" w:type="pct"/>
                  <w:vAlign w:val="center"/>
                </w:tcPr>
                <w:p w14:paraId="257B7B16">
                  <w:pPr>
                    <w:pStyle w:val="41"/>
                    <w:keepNext w:val="0"/>
                    <w:keepLines w:val="0"/>
                    <w:suppressLineNumbers w:val="0"/>
                    <w:spacing w:before="18" w:beforeAutospacing="0" w:after="0" w:afterAutospacing="0"/>
                    <w:ind w:left="715" w:right="705"/>
                    <w:jc w:val="center"/>
                    <w:rPr>
                      <w:rFonts w:hint="default"/>
                      <w:b/>
                      <w:bCs/>
                      <w:color w:val="auto"/>
                      <w:sz w:val="21"/>
                    </w:rPr>
                  </w:pPr>
                  <w:r>
                    <w:rPr>
                      <w:rFonts w:hint="default"/>
                      <w:b/>
                      <w:bCs/>
                      <w:color w:val="auto"/>
                      <w:sz w:val="21"/>
                    </w:rPr>
                    <w:t>数量（吨）</w:t>
                  </w:r>
                </w:p>
              </w:tc>
              <w:tc>
                <w:tcPr>
                  <w:tcW w:w="944" w:type="pct"/>
                  <w:vAlign w:val="center"/>
                </w:tcPr>
                <w:p w14:paraId="2F68801A">
                  <w:pPr>
                    <w:pStyle w:val="41"/>
                    <w:keepNext w:val="0"/>
                    <w:keepLines w:val="0"/>
                    <w:suppressLineNumbers w:val="0"/>
                    <w:spacing w:before="18" w:beforeAutospacing="0" w:after="0" w:afterAutospacing="0"/>
                    <w:ind w:left="46" w:right="34"/>
                    <w:jc w:val="center"/>
                    <w:rPr>
                      <w:rFonts w:hint="default"/>
                      <w:b/>
                      <w:bCs/>
                      <w:color w:val="auto"/>
                      <w:sz w:val="21"/>
                    </w:rPr>
                  </w:pPr>
                  <w:r>
                    <w:rPr>
                      <w:rFonts w:hint="default"/>
                      <w:b/>
                      <w:bCs/>
                      <w:color w:val="auto"/>
                      <w:sz w:val="21"/>
                    </w:rPr>
                    <w:t>备注</w:t>
                  </w:r>
                </w:p>
              </w:tc>
            </w:tr>
            <w:tr w14:paraId="70438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3" w:type="pct"/>
                  <w:vMerge w:val="restart"/>
                  <w:vAlign w:val="center"/>
                </w:tcPr>
                <w:p w14:paraId="4C95D455">
                  <w:pPr>
                    <w:pStyle w:val="41"/>
                    <w:keepNext w:val="0"/>
                    <w:keepLines w:val="0"/>
                    <w:suppressLineNumbers w:val="0"/>
                    <w:spacing w:before="23" w:beforeAutospacing="0" w:after="0" w:afterAutospacing="0"/>
                    <w:ind w:left="9" w:right="0"/>
                    <w:jc w:val="center"/>
                    <w:rPr>
                      <w:rFonts w:hint="default"/>
                      <w:color w:val="auto"/>
                      <w:sz w:val="21"/>
                    </w:rPr>
                  </w:pPr>
                  <w:r>
                    <w:rPr>
                      <w:rFonts w:hint="default"/>
                      <w:color w:val="auto"/>
                      <w:w w:val="100"/>
                      <w:sz w:val="21"/>
                    </w:rPr>
                    <w:t>1</w:t>
                  </w:r>
                </w:p>
              </w:tc>
              <w:tc>
                <w:tcPr>
                  <w:tcW w:w="790" w:type="pct"/>
                  <w:vMerge w:val="restart"/>
                  <w:vAlign w:val="center"/>
                </w:tcPr>
                <w:p w14:paraId="45FACEAF">
                  <w:pPr>
                    <w:pStyle w:val="41"/>
                    <w:keepNext w:val="0"/>
                    <w:keepLines w:val="0"/>
                    <w:suppressLineNumbers w:val="0"/>
                    <w:spacing w:before="23" w:beforeAutospacing="0" w:after="0" w:afterAutospacing="0"/>
                    <w:ind w:left="196" w:right="0"/>
                    <w:jc w:val="center"/>
                    <w:rPr>
                      <w:rFonts w:hint="default"/>
                      <w:color w:val="auto"/>
                      <w:sz w:val="21"/>
                    </w:rPr>
                  </w:pPr>
                  <w:r>
                    <w:rPr>
                      <w:rFonts w:hint="default"/>
                      <w:color w:val="auto"/>
                      <w:sz w:val="21"/>
                    </w:rPr>
                    <w:t>水性涂料</w:t>
                  </w:r>
                </w:p>
              </w:tc>
              <w:tc>
                <w:tcPr>
                  <w:tcW w:w="1173" w:type="pct"/>
                  <w:vAlign w:val="center"/>
                </w:tcPr>
                <w:p w14:paraId="16AADBB2">
                  <w:pPr>
                    <w:pStyle w:val="41"/>
                    <w:keepNext w:val="0"/>
                    <w:keepLines w:val="0"/>
                    <w:suppressLineNumbers w:val="0"/>
                    <w:spacing w:before="23" w:beforeAutospacing="0" w:after="0" w:afterAutospacing="0" w:line="269" w:lineRule="exact"/>
                    <w:ind w:left="371" w:right="364"/>
                    <w:jc w:val="center"/>
                    <w:rPr>
                      <w:rFonts w:hint="default"/>
                      <w:color w:val="auto"/>
                      <w:sz w:val="21"/>
                    </w:rPr>
                  </w:pPr>
                  <w:r>
                    <w:rPr>
                      <w:rFonts w:hint="default"/>
                      <w:color w:val="auto"/>
                      <w:sz w:val="21"/>
                    </w:rPr>
                    <w:t>水性乳胶漆</w:t>
                  </w:r>
                </w:p>
              </w:tc>
              <w:tc>
                <w:tcPr>
                  <w:tcW w:w="1587" w:type="pct"/>
                  <w:vAlign w:val="center"/>
                </w:tcPr>
                <w:p w14:paraId="08A04407">
                  <w:pPr>
                    <w:pStyle w:val="41"/>
                    <w:keepNext w:val="0"/>
                    <w:keepLines w:val="0"/>
                    <w:suppressLineNumbers w:val="0"/>
                    <w:spacing w:before="23" w:beforeAutospacing="0" w:after="0" w:afterAutospacing="0" w:line="269" w:lineRule="exact"/>
                    <w:ind w:left="715" w:right="700"/>
                    <w:jc w:val="center"/>
                    <w:rPr>
                      <w:rFonts w:hint="default"/>
                      <w:color w:val="auto"/>
                      <w:sz w:val="21"/>
                    </w:rPr>
                  </w:pPr>
                  <w:r>
                    <w:rPr>
                      <w:rFonts w:hint="default"/>
                      <w:color w:val="auto"/>
                      <w:sz w:val="21"/>
                    </w:rPr>
                    <w:t>60000</w:t>
                  </w:r>
                </w:p>
              </w:tc>
              <w:tc>
                <w:tcPr>
                  <w:tcW w:w="944" w:type="pct"/>
                  <w:vAlign w:val="center"/>
                </w:tcPr>
                <w:p w14:paraId="60635377">
                  <w:pPr>
                    <w:pStyle w:val="41"/>
                    <w:keepNext w:val="0"/>
                    <w:keepLines w:val="0"/>
                    <w:suppressLineNumbers w:val="0"/>
                    <w:spacing w:before="23" w:beforeAutospacing="0" w:after="0" w:afterAutospacing="0" w:line="269" w:lineRule="exact"/>
                    <w:ind w:left="42" w:right="34"/>
                    <w:jc w:val="center"/>
                    <w:rPr>
                      <w:rFonts w:hint="default"/>
                      <w:color w:val="auto"/>
                      <w:sz w:val="21"/>
                    </w:rPr>
                  </w:pPr>
                  <w:r>
                    <w:rPr>
                      <w:rFonts w:hint="default"/>
                      <w:color w:val="auto"/>
                      <w:sz w:val="21"/>
                    </w:rPr>
                    <w:t>白色系</w:t>
                  </w:r>
                </w:p>
              </w:tc>
            </w:tr>
            <w:tr w14:paraId="40D47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03" w:type="pct"/>
                  <w:vMerge w:val="continue"/>
                  <w:tcBorders>
                    <w:top w:val="nil"/>
                  </w:tcBorders>
                  <w:vAlign w:val="center"/>
                </w:tcPr>
                <w:p w14:paraId="4C535A1D">
                  <w:pPr>
                    <w:keepNext w:val="0"/>
                    <w:keepLines w:val="0"/>
                    <w:suppressLineNumbers w:val="0"/>
                    <w:spacing w:before="0" w:beforeAutospacing="0" w:after="0" w:afterAutospacing="0"/>
                    <w:ind w:left="0" w:right="0"/>
                    <w:jc w:val="center"/>
                    <w:rPr>
                      <w:rFonts w:hint="default"/>
                      <w:color w:val="auto"/>
                      <w:sz w:val="2"/>
                      <w:szCs w:val="2"/>
                    </w:rPr>
                  </w:pPr>
                </w:p>
              </w:tc>
              <w:tc>
                <w:tcPr>
                  <w:tcW w:w="790" w:type="pct"/>
                  <w:vMerge w:val="continue"/>
                  <w:tcBorders>
                    <w:top w:val="nil"/>
                  </w:tcBorders>
                  <w:vAlign w:val="center"/>
                </w:tcPr>
                <w:p w14:paraId="7EB86F03">
                  <w:pPr>
                    <w:keepNext w:val="0"/>
                    <w:keepLines w:val="0"/>
                    <w:suppressLineNumbers w:val="0"/>
                    <w:spacing w:before="0" w:beforeAutospacing="0" w:after="0" w:afterAutospacing="0"/>
                    <w:ind w:left="0" w:right="0"/>
                    <w:jc w:val="center"/>
                    <w:rPr>
                      <w:rFonts w:hint="default"/>
                      <w:color w:val="auto"/>
                      <w:sz w:val="2"/>
                      <w:szCs w:val="2"/>
                    </w:rPr>
                  </w:pPr>
                </w:p>
              </w:tc>
              <w:tc>
                <w:tcPr>
                  <w:tcW w:w="1173" w:type="pct"/>
                  <w:vAlign w:val="center"/>
                </w:tcPr>
                <w:p w14:paraId="750DFAC9">
                  <w:pPr>
                    <w:pStyle w:val="41"/>
                    <w:keepNext w:val="0"/>
                    <w:keepLines w:val="0"/>
                    <w:suppressLineNumbers w:val="0"/>
                    <w:spacing w:before="23" w:beforeAutospacing="0" w:after="0" w:afterAutospacing="0"/>
                    <w:ind w:left="371" w:right="360"/>
                    <w:jc w:val="center"/>
                    <w:rPr>
                      <w:rFonts w:hint="default"/>
                      <w:color w:val="auto"/>
                      <w:sz w:val="21"/>
                    </w:rPr>
                  </w:pPr>
                  <w:r>
                    <w:rPr>
                      <w:rFonts w:hint="default"/>
                      <w:color w:val="auto"/>
                      <w:sz w:val="21"/>
                    </w:rPr>
                    <w:t>砂壁</w:t>
                  </w:r>
                </w:p>
              </w:tc>
              <w:tc>
                <w:tcPr>
                  <w:tcW w:w="1587" w:type="pct"/>
                  <w:vAlign w:val="center"/>
                </w:tcPr>
                <w:p w14:paraId="75BDFAE4">
                  <w:pPr>
                    <w:pStyle w:val="41"/>
                    <w:keepNext w:val="0"/>
                    <w:keepLines w:val="0"/>
                    <w:suppressLineNumbers w:val="0"/>
                    <w:spacing w:before="23" w:beforeAutospacing="0" w:after="0" w:afterAutospacing="0"/>
                    <w:ind w:left="715" w:right="700"/>
                    <w:jc w:val="center"/>
                    <w:rPr>
                      <w:rFonts w:hint="default"/>
                      <w:color w:val="auto"/>
                      <w:sz w:val="21"/>
                    </w:rPr>
                  </w:pPr>
                  <w:r>
                    <w:rPr>
                      <w:rFonts w:hint="default"/>
                      <w:color w:val="auto"/>
                      <w:sz w:val="21"/>
                    </w:rPr>
                    <w:t>20000</w:t>
                  </w:r>
                </w:p>
              </w:tc>
              <w:tc>
                <w:tcPr>
                  <w:tcW w:w="944" w:type="pct"/>
                  <w:vAlign w:val="center"/>
                </w:tcPr>
                <w:p w14:paraId="1849C3E2">
                  <w:pPr>
                    <w:pStyle w:val="41"/>
                    <w:keepNext w:val="0"/>
                    <w:keepLines w:val="0"/>
                    <w:suppressLineNumbers w:val="0"/>
                    <w:spacing w:before="23" w:beforeAutospacing="0" w:after="0" w:afterAutospacing="0"/>
                    <w:ind w:left="42" w:right="34"/>
                    <w:jc w:val="center"/>
                    <w:rPr>
                      <w:rFonts w:hint="default"/>
                      <w:color w:val="auto"/>
                      <w:sz w:val="21"/>
                    </w:rPr>
                  </w:pPr>
                  <w:r>
                    <w:rPr>
                      <w:rFonts w:hint="default"/>
                      <w:color w:val="auto"/>
                      <w:sz w:val="21"/>
                    </w:rPr>
                    <w:t>黄、红、黑色系</w:t>
                  </w:r>
                </w:p>
              </w:tc>
            </w:tr>
            <w:tr w14:paraId="11336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3" w:type="pct"/>
                  <w:vAlign w:val="center"/>
                </w:tcPr>
                <w:p w14:paraId="5A881786">
                  <w:pPr>
                    <w:pStyle w:val="41"/>
                    <w:keepNext w:val="0"/>
                    <w:keepLines w:val="0"/>
                    <w:suppressLineNumbers w:val="0"/>
                    <w:spacing w:before="22" w:beforeAutospacing="0" w:after="0" w:afterAutospacing="0"/>
                    <w:ind w:left="9" w:right="0"/>
                    <w:jc w:val="center"/>
                    <w:rPr>
                      <w:rFonts w:hint="default"/>
                      <w:color w:val="auto"/>
                      <w:sz w:val="21"/>
                    </w:rPr>
                  </w:pPr>
                  <w:r>
                    <w:rPr>
                      <w:rFonts w:hint="default"/>
                      <w:color w:val="auto"/>
                      <w:w w:val="100"/>
                      <w:sz w:val="21"/>
                    </w:rPr>
                    <w:t>2</w:t>
                  </w:r>
                </w:p>
              </w:tc>
              <w:tc>
                <w:tcPr>
                  <w:tcW w:w="1963" w:type="pct"/>
                  <w:gridSpan w:val="2"/>
                  <w:vAlign w:val="center"/>
                </w:tcPr>
                <w:p w14:paraId="1861D670">
                  <w:pPr>
                    <w:pStyle w:val="41"/>
                    <w:keepNext w:val="0"/>
                    <w:keepLines w:val="0"/>
                    <w:suppressLineNumbers w:val="0"/>
                    <w:spacing w:before="22" w:beforeAutospacing="0" w:after="0" w:afterAutospacing="0"/>
                    <w:ind w:left="1007" w:right="0"/>
                    <w:jc w:val="center"/>
                    <w:rPr>
                      <w:rFonts w:hint="default"/>
                      <w:color w:val="auto"/>
                      <w:sz w:val="21"/>
                    </w:rPr>
                  </w:pPr>
                  <w:r>
                    <w:rPr>
                      <w:rFonts w:hint="default"/>
                      <w:color w:val="auto"/>
                      <w:sz w:val="21"/>
                    </w:rPr>
                    <w:t>腻子粉涂料</w:t>
                  </w:r>
                </w:p>
              </w:tc>
              <w:tc>
                <w:tcPr>
                  <w:tcW w:w="1587" w:type="pct"/>
                  <w:vAlign w:val="center"/>
                </w:tcPr>
                <w:p w14:paraId="2FE7A77A">
                  <w:pPr>
                    <w:pStyle w:val="41"/>
                    <w:keepNext w:val="0"/>
                    <w:keepLines w:val="0"/>
                    <w:suppressLineNumbers w:val="0"/>
                    <w:spacing w:before="22" w:beforeAutospacing="0" w:after="0" w:afterAutospacing="0"/>
                    <w:ind w:left="715" w:right="705"/>
                    <w:jc w:val="center"/>
                    <w:rPr>
                      <w:rFonts w:hint="default"/>
                      <w:color w:val="auto"/>
                      <w:sz w:val="21"/>
                    </w:rPr>
                  </w:pPr>
                  <w:r>
                    <w:rPr>
                      <w:rFonts w:hint="default"/>
                      <w:color w:val="auto"/>
                      <w:sz w:val="21"/>
                    </w:rPr>
                    <w:t>18500</w:t>
                  </w:r>
                </w:p>
              </w:tc>
              <w:tc>
                <w:tcPr>
                  <w:tcW w:w="944" w:type="pct"/>
                  <w:vAlign w:val="center"/>
                </w:tcPr>
                <w:p w14:paraId="5DDB29DC">
                  <w:pPr>
                    <w:pStyle w:val="41"/>
                    <w:keepNext w:val="0"/>
                    <w:keepLines w:val="0"/>
                    <w:suppressLineNumbers w:val="0"/>
                    <w:spacing w:before="22" w:beforeAutospacing="0" w:after="0" w:afterAutospacing="0"/>
                    <w:ind w:left="42" w:right="34"/>
                    <w:jc w:val="center"/>
                    <w:rPr>
                      <w:rFonts w:hint="default"/>
                      <w:color w:val="auto"/>
                      <w:sz w:val="21"/>
                    </w:rPr>
                  </w:pPr>
                  <w:r>
                    <w:rPr>
                      <w:rFonts w:hint="default"/>
                      <w:color w:val="auto"/>
                      <w:sz w:val="21"/>
                    </w:rPr>
                    <w:t>白色系</w:t>
                  </w:r>
                </w:p>
              </w:tc>
            </w:tr>
            <w:tr w14:paraId="42DE0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3" w:type="pct"/>
                  <w:vAlign w:val="center"/>
                </w:tcPr>
                <w:p w14:paraId="2E57E7E0">
                  <w:pPr>
                    <w:pStyle w:val="41"/>
                    <w:keepNext w:val="0"/>
                    <w:keepLines w:val="0"/>
                    <w:suppressLineNumbers w:val="0"/>
                    <w:spacing w:before="22" w:beforeAutospacing="0" w:after="0" w:afterAutospacing="0"/>
                    <w:ind w:left="9" w:right="0"/>
                    <w:jc w:val="center"/>
                    <w:rPr>
                      <w:rFonts w:hint="default"/>
                      <w:color w:val="auto"/>
                      <w:sz w:val="21"/>
                    </w:rPr>
                  </w:pPr>
                  <w:r>
                    <w:rPr>
                      <w:rFonts w:hint="default"/>
                      <w:color w:val="auto"/>
                      <w:w w:val="100"/>
                      <w:sz w:val="21"/>
                    </w:rPr>
                    <w:t>3</w:t>
                  </w:r>
                </w:p>
              </w:tc>
              <w:tc>
                <w:tcPr>
                  <w:tcW w:w="1963" w:type="pct"/>
                  <w:gridSpan w:val="2"/>
                  <w:vAlign w:val="center"/>
                </w:tcPr>
                <w:p w14:paraId="70FC0377">
                  <w:pPr>
                    <w:pStyle w:val="41"/>
                    <w:keepNext w:val="0"/>
                    <w:keepLines w:val="0"/>
                    <w:suppressLineNumbers w:val="0"/>
                    <w:spacing w:before="22" w:beforeAutospacing="0" w:after="0" w:afterAutospacing="0"/>
                    <w:ind w:left="1305" w:right="1296"/>
                    <w:jc w:val="center"/>
                    <w:rPr>
                      <w:rFonts w:hint="default"/>
                      <w:color w:val="auto"/>
                      <w:sz w:val="21"/>
                    </w:rPr>
                  </w:pPr>
                  <w:r>
                    <w:rPr>
                      <w:rFonts w:hint="default"/>
                      <w:color w:val="auto"/>
                      <w:sz w:val="21"/>
                    </w:rPr>
                    <w:t>总计</w:t>
                  </w:r>
                </w:p>
              </w:tc>
              <w:tc>
                <w:tcPr>
                  <w:tcW w:w="1587" w:type="pct"/>
                  <w:vAlign w:val="center"/>
                </w:tcPr>
                <w:p w14:paraId="55415C6D">
                  <w:pPr>
                    <w:pStyle w:val="41"/>
                    <w:keepNext w:val="0"/>
                    <w:keepLines w:val="0"/>
                    <w:suppressLineNumbers w:val="0"/>
                    <w:spacing w:before="22" w:beforeAutospacing="0" w:after="0" w:afterAutospacing="0"/>
                    <w:ind w:left="715" w:right="700"/>
                    <w:jc w:val="center"/>
                    <w:rPr>
                      <w:rFonts w:hint="default"/>
                      <w:color w:val="auto"/>
                      <w:sz w:val="21"/>
                    </w:rPr>
                  </w:pPr>
                  <w:r>
                    <w:rPr>
                      <w:rFonts w:hint="default"/>
                      <w:color w:val="auto"/>
                      <w:sz w:val="21"/>
                    </w:rPr>
                    <w:t>98500</w:t>
                  </w:r>
                </w:p>
              </w:tc>
              <w:tc>
                <w:tcPr>
                  <w:tcW w:w="944" w:type="pct"/>
                  <w:vAlign w:val="center"/>
                </w:tcPr>
                <w:p w14:paraId="24CEB451">
                  <w:pPr>
                    <w:pStyle w:val="41"/>
                    <w:keepNext w:val="0"/>
                    <w:keepLines w:val="0"/>
                    <w:suppressLineNumbers w:val="0"/>
                    <w:spacing w:before="0" w:beforeAutospacing="0" w:after="0" w:afterAutospacing="0"/>
                    <w:ind w:left="0" w:right="0"/>
                    <w:jc w:val="center"/>
                    <w:rPr>
                      <w:rFonts w:hint="default" w:ascii="Times New Roman"/>
                      <w:color w:val="auto"/>
                      <w:sz w:val="22"/>
                    </w:rPr>
                  </w:pPr>
                </w:p>
              </w:tc>
            </w:tr>
          </w:tbl>
          <w:p w14:paraId="0A22DAB7">
            <w:pPr>
              <w:pStyle w:val="87"/>
              <w:keepNext w:val="0"/>
              <w:keepLines w:val="0"/>
              <w:suppressLineNumbers w:val="0"/>
              <w:spacing w:before="0" w:beforeAutospacing="0" w:after="0" w:afterAutospacing="0"/>
              <w:ind w:left="0" w:right="0" w:firstLine="480"/>
              <w:rPr>
                <w:rFonts w:hint="eastAsia"/>
                <w:b w:val="0"/>
                <w:bCs/>
                <w:color w:val="auto"/>
                <w:sz w:val="24"/>
                <w:szCs w:val="21"/>
                <w:lang w:val="en-US" w:eastAsia="zh-CN"/>
              </w:rPr>
            </w:pPr>
            <w:r>
              <w:rPr>
                <w:rFonts w:hint="eastAsia"/>
                <w:b w:val="0"/>
                <w:bCs/>
                <w:color w:val="auto"/>
                <w:sz w:val="24"/>
                <w:szCs w:val="21"/>
                <w:lang w:val="en-US" w:eastAsia="zh-CN"/>
              </w:rPr>
              <w:t xml:space="preserve"> 原项目原辅料材料消耗情况。</w:t>
            </w:r>
          </w:p>
          <w:p w14:paraId="015901E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 xml:space="preserve">表 </w:t>
            </w:r>
            <w:r>
              <w:rPr>
                <w:rFonts w:hint="eastAsia" w:cs="Times New Roman"/>
                <w:b/>
                <w:color w:val="auto"/>
                <w:szCs w:val="21"/>
                <w:lang w:val="en-US" w:eastAsia="zh-CN"/>
              </w:rPr>
              <w:t>2-18</w:t>
            </w:r>
            <w:r>
              <w:rPr>
                <w:rFonts w:hint="default" w:ascii="Times New Roman" w:hAnsi="Times New Roman" w:eastAsia="宋体" w:cs="Times New Roman"/>
                <w:b/>
                <w:color w:val="auto"/>
                <w:szCs w:val="21"/>
              </w:rPr>
              <w:tab/>
            </w:r>
            <w:r>
              <w:rPr>
                <w:rFonts w:hint="default" w:ascii="Times New Roman" w:hAnsi="Times New Roman" w:eastAsia="宋体" w:cs="Times New Roman"/>
                <w:b/>
                <w:color w:val="auto"/>
                <w:szCs w:val="21"/>
              </w:rPr>
              <w:t>水性乳胶涂料系列产品原辅材料消耗表</w:t>
            </w:r>
          </w:p>
          <w:tbl>
            <w:tblPr>
              <w:tblStyle w:val="28"/>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07"/>
              <w:gridCol w:w="693"/>
              <w:gridCol w:w="2455"/>
              <w:gridCol w:w="861"/>
              <w:gridCol w:w="879"/>
              <w:gridCol w:w="2772"/>
            </w:tblGrid>
            <w:tr w14:paraId="1969D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shd w:val="clear" w:color="auto" w:fill="F1F1F1"/>
                  <w:vAlign w:val="center"/>
                </w:tcPr>
                <w:p w14:paraId="050E0503">
                  <w:pPr>
                    <w:pStyle w:val="41"/>
                    <w:keepNext w:val="0"/>
                    <w:keepLines w:val="0"/>
                    <w:suppressLineNumbers w:val="0"/>
                    <w:spacing w:before="0" w:beforeAutospacing="0" w:after="0" w:afterAutospacing="0" w:line="268" w:lineRule="exact"/>
                    <w:ind w:left="129" w:right="114"/>
                    <w:jc w:val="center"/>
                    <w:rPr>
                      <w:rFonts w:hint="default"/>
                      <w:b/>
                      <w:color w:val="auto"/>
                      <w:sz w:val="21"/>
                    </w:rPr>
                  </w:pPr>
                  <w:r>
                    <w:rPr>
                      <w:rFonts w:hint="default"/>
                      <w:b/>
                      <w:color w:val="auto"/>
                      <w:sz w:val="21"/>
                    </w:rPr>
                    <w:t>种类</w:t>
                  </w:r>
                </w:p>
              </w:tc>
              <w:tc>
                <w:tcPr>
                  <w:tcW w:w="720" w:type="dxa"/>
                  <w:tcBorders>
                    <w:right w:val="single" w:color="000000" w:sz="4" w:space="0"/>
                  </w:tcBorders>
                  <w:shd w:val="clear" w:color="auto" w:fill="F1F1F1"/>
                  <w:vAlign w:val="center"/>
                </w:tcPr>
                <w:p w14:paraId="0376A58B">
                  <w:pPr>
                    <w:pStyle w:val="41"/>
                    <w:keepNext w:val="0"/>
                    <w:keepLines w:val="0"/>
                    <w:suppressLineNumbers w:val="0"/>
                    <w:spacing w:before="0" w:beforeAutospacing="0" w:after="0" w:afterAutospacing="0" w:line="268" w:lineRule="exact"/>
                    <w:ind w:left="128" w:right="116"/>
                    <w:jc w:val="center"/>
                    <w:rPr>
                      <w:rFonts w:hint="default"/>
                      <w:b/>
                      <w:color w:val="auto"/>
                      <w:sz w:val="21"/>
                    </w:rPr>
                  </w:pPr>
                  <w:r>
                    <w:rPr>
                      <w:rFonts w:hint="default"/>
                      <w:b/>
                      <w:color w:val="auto"/>
                      <w:sz w:val="21"/>
                    </w:rPr>
                    <w:t>序号</w:t>
                  </w:r>
                </w:p>
              </w:tc>
              <w:tc>
                <w:tcPr>
                  <w:tcW w:w="2700" w:type="dxa"/>
                  <w:tcBorders>
                    <w:left w:val="single" w:color="000000" w:sz="4" w:space="0"/>
                  </w:tcBorders>
                  <w:shd w:val="clear" w:color="auto" w:fill="F1F1F1"/>
                  <w:vAlign w:val="center"/>
                </w:tcPr>
                <w:p w14:paraId="3BBBD189">
                  <w:pPr>
                    <w:pStyle w:val="41"/>
                    <w:keepNext w:val="0"/>
                    <w:keepLines w:val="0"/>
                    <w:suppressLineNumbers w:val="0"/>
                    <w:tabs>
                      <w:tab w:val="left" w:pos="437"/>
                    </w:tabs>
                    <w:spacing w:before="0" w:beforeAutospacing="0" w:after="0" w:afterAutospacing="0" w:line="268" w:lineRule="exact"/>
                    <w:ind w:left="20" w:right="0"/>
                    <w:jc w:val="center"/>
                    <w:rPr>
                      <w:rFonts w:hint="default"/>
                      <w:b/>
                      <w:color w:val="auto"/>
                      <w:sz w:val="21"/>
                    </w:rPr>
                  </w:pPr>
                  <w:r>
                    <w:rPr>
                      <w:rFonts w:hint="default"/>
                      <w:b/>
                      <w:color w:val="auto"/>
                      <w:sz w:val="21"/>
                    </w:rPr>
                    <w:t>名</w:t>
                  </w:r>
                  <w:r>
                    <w:rPr>
                      <w:rFonts w:hint="default"/>
                      <w:b/>
                      <w:color w:val="auto"/>
                      <w:sz w:val="21"/>
                    </w:rPr>
                    <w:tab/>
                  </w:r>
                  <w:r>
                    <w:rPr>
                      <w:rFonts w:hint="default"/>
                      <w:b/>
                      <w:color w:val="auto"/>
                      <w:sz w:val="21"/>
                    </w:rPr>
                    <w:t>称</w:t>
                  </w:r>
                </w:p>
              </w:tc>
              <w:tc>
                <w:tcPr>
                  <w:tcW w:w="900" w:type="dxa"/>
                  <w:shd w:val="clear" w:color="auto" w:fill="F1F1F1"/>
                  <w:vAlign w:val="center"/>
                </w:tcPr>
                <w:p w14:paraId="09BD06BD">
                  <w:pPr>
                    <w:pStyle w:val="41"/>
                    <w:keepNext w:val="0"/>
                    <w:keepLines w:val="0"/>
                    <w:suppressLineNumbers w:val="0"/>
                    <w:spacing w:before="0" w:beforeAutospacing="0" w:after="0" w:afterAutospacing="0" w:line="268" w:lineRule="exact"/>
                    <w:ind w:left="167" w:right="150"/>
                    <w:jc w:val="center"/>
                    <w:rPr>
                      <w:rFonts w:hint="default"/>
                      <w:b/>
                      <w:color w:val="auto"/>
                      <w:sz w:val="21"/>
                    </w:rPr>
                  </w:pPr>
                  <w:r>
                    <w:rPr>
                      <w:rFonts w:hint="default"/>
                      <w:b/>
                      <w:color w:val="auto"/>
                      <w:sz w:val="21"/>
                    </w:rPr>
                    <w:t>单 位</w:t>
                  </w:r>
                </w:p>
              </w:tc>
              <w:tc>
                <w:tcPr>
                  <w:tcW w:w="900" w:type="dxa"/>
                  <w:shd w:val="clear" w:color="auto" w:fill="F1F1F1"/>
                  <w:vAlign w:val="center"/>
                </w:tcPr>
                <w:p w14:paraId="68F89385">
                  <w:pPr>
                    <w:pStyle w:val="41"/>
                    <w:keepNext w:val="0"/>
                    <w:keepLines w:val="0"/>
                    <w:suppressLineNumbers w:val="0"/>
                    <w:spacing w:before="0" w:beforeAutospacing="0" w:after="0" w:afterAutospacing="0" w:line="268" w:lineRule="exact"/>
                    <w:ind w:left="240" w:right="0"/>
                    <w:jc w:val="center"/>
                    <w:rPr>
                      <w:rFonts w:hint="default"/>
                      <w:b/>
                      <w:color w:val="auto"/>
                      <w:sz w:val="21"/>
                    </w:rPr>
                  </w:pPr>
                  <w:r>
                    <w:rPr>
                      <w:rFonts w:hint="default"/>
                      <w:b/>
                      <w:color w:val="auto"/>
                      <w:sz w:val="21"/>
                    </w:rPr>
                    <w:t>数量</w:t>
                  </w:r>
                </w:p>
              </w:tc>
              <w:tc>
                <w:tcPr>
                  <w:tcW w:w="3060" w:type="dxa"/>
                  <w:shd w:val="clear" w:color="auto" w:fill="F1F1F1"/>
                  <w:vAlign w:val="center"/>
                </w:tcPr>
                <w:p w14:paraId="585466B6">
                  <w:pPr>
                    <w:pStyle w:val="41"/>
                    <w:keepNext w:val="0"/>
                    <w:keepLines w:val="0"/>
                    <w:suppressLineNumbers w:val="0"/>
                    <w:spacing w:before="0" w:beforeAutospacing="0" w:after="0" w:afterAutospacing="0" w:line="268" w:lineRule="exact"/>
                    <w:ind w:left="103" w:right="81"/>
                    <w:jc w:val="center"/>
                    <w:rPr>
                      <w:rFonts w:hint="default"/>
                      <w:b/>
                      <w:color w:val="auto"/>
                      <w:sz w:val="21"/>
                    </w:rPr>
                  </w:pPr>
                  <w:r>
                    <w:rPr>
                      <w:rFonts w:hint="default"/>
                      <w:b/>
                      <w:color w:val="auto"/>
                      <w:sz w:val="21"/>
                    </w:rPr>
                    <w:t>来源</w:t>
                  </w:r>
                </w:p>
              </w:tc>
            </w:tr>
            <w:tr w14:paraId="59942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Merge w:val="restart"/>
                  <w:vAlign w:val="center"/>
                </w:tcPr>
                <w:p w14:paraId="56A37718">
                  <w:pPr>
                    <w:pStyle w:val="41"/>
                    <w:keepNext w:val="0"/>
                    <w:keepLines w:val="0"/>
                    <w:suppressLineNumbers w:val="0"/>
                    <w:spacing w:before="0" w:beforeAutospacing="0" w:after="0" w:afterAutospacing="0"/>
                    <w:ind w:left="0" w:right="0"/>
                    <w:jc w:val="center"/>
                    <w:rPr>
                      <w:rFonts w:hint="default"/>
                      <w:color w:val="auto"/>
                      <w:sz w:val="20"/>
                    </w:rPr>
                  </w:pPr>
                </w:p>
                <w:p w14:paraId="6115B772">
                  <w:pPr>
                    <w:pStyle w:val="41"/>
                    <w:keepNext w:val="0"/>
                    <w:keepLines w:val="0"/>
                    <w:suppressLineNumbers w:val="0"/>
                    <w:spacing w:before="10" w:beforeAutospacing="0" w:after="0" w:afterAutospacing="0"/>
                    <w:ind w:left="0" w:right="0"/>
                    <w:jc w:val="center"/>
                    <w:rPr>
                      <w:rFonts w:hint="default"/>
                      <w:color w:val="auto"/>
                      <w:sz w:val="23"/>
                    </w:rPr>
                  </w:pPr>
                </w:p>
                <w:p w14:paraId="6D12BAF5">
                  <w:pPr>
                    <w:pStyle w:val="41"/>
                    <w:keepNext w:val="0"/>
                    <w:keepLines w:val="0"/>
                    <w:suppressLineNumbers w:val="0"/>
                    <w:spacing w:before="0" w:beforeAutospacing="0" w:after="0" w:afterAutospacing="0" w:line="316" w:lineRule="auto"/>
                    <w:ind w:left="254" w:right="131" w:hanging="106"/>
                    <w:jc w:val="center"/>
                    <w:rPr>
                      <w:rFonts w:hint="default"/>
                      <w:color w:val="auto"/>
                      <w:sz w:val="21"/>
                    </w:rPr>
                  </w:pPr>
                  <w:r>
                    <w:rPr>
                      <w:rFonts w:hint="default"/>
                      <w:color w:val="auto"/>
                      <w:sz w:val="21"/>
                    </w:rPr>
                    <w:t>颜填料</w:t>
                  </w:r>
                </w:p>
              </w:tc>
              <w:tc>
                <w:tcPr>
                  <w:tcW w:w="720" w:type="dxa"/>
                  <w:tcBorders>
                    <w:right w:val="single" w:color="000000" w:sz="4" w:space="0"/>
                  </w:tcBorders>
                  <w:vAlign w:val="center"/>
                </w:tcPr>
                <w:p w14:paraId="4ABA4AD0">
                  <w:pPr>
                    <w:pStyle w:val="41"/>
                    <w:keepNext w:val="0"/>
                    <w:keepLines w:val="0"/>
                    <w:suppressLineNumbers w:val="0"/>
                    <w:spacing w:before="18" w:beforeAutospacing="0" w:after="0" w:afterAutospacing="0"/>
                    <w:ind w:left="13" w:right="0"/>
                    <w:jc w:val="center"/>
                    <w:rPr>
                      <w:rFonts w:hint="default" w:ascii="Times New Roman"/>
                      <w:color w:val="auto"/>
                      <w:sz w:val="21"/>
                    </w:rPr>
                  </w:pPr>
                  <w:r>
                    <w:rPr>
                      <w:rFonts w:hint="default" w:ascii="Times New Roman"/>
                      <w:color w:val="auto"/>
                      <w:w w:val="100"/>
                      <w:sz w:val="21"/>
                    </w:rPr>
                    <w:t>1</w:t>
                  </w:r>
                </w:p>
              </w:tc>
              <w:tc>
                <w:tcPr>
                  <w:tcW w:w="2700" w:type="dxa"/>
                  <w:tcBorders>
                    <w:left w:val="single" w:color="000000" w:sz="4" w:space="0"/>
                  </w:tcBorders>
                  <w:vAlign w:val="center"/>
                </w:tcPr>
                <w:p w14:paraId="7E4F2439">
                  <w:pPr>
                    <w:pStyle w:val="41"/>
                    <w:keepNext w:val="0"/>
                    <w:keepLines w:val="0"/>
                    <w:suppressLineNumbers w:val="0"/>
                    <w:spacing w:before="0" w:beforeAutospacing="0" w:after="0" w:afterAutospacing="0" w:line="269" w:lineRule="exact"/>
                    <w:ind w:left="20" w:right="0"/>
                    <w:jc w:val="center"/>
                    <w:rPr>
                      <w:rFonts w:hint="default"/>
                      <w:color w:val="auto"/>
                      <w:sz w:val="21"/>
                    </w:rPr>
                  </w:pPr>
                  <w:r>
                    <w:rPr>
                      <w:rFonts w:hint="default"/>
                      <w:color w:val="auto"/>
                      <w:sz w:val="21"/>
                    </w:rPr>
                    <w:t>金红石钛白粉</w:t>
                  </w:r>
                </w:p>
              </w:tc>
              <w:tc>
                <w:tcPr>
                  <w:tcW w:w="900" w:type="dxa"/>
                  <w:vAlign w:val="center"/>
                </w:tcPr>
                <w:p w14:paraId="4679F05D">
                  <w:pPr>
                    <w:pStyle w:val="41"/>
                    <w:keepNext w:val="0"/>
                    <w:keepLines w:val="0"/>
                    <w:suppressLineNumbers w:val="0"/>
                    <w:spacing w:before="4"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05DC9FF9">
                  <w:pPr>
                    <w:pStyle w:val="41"/>
                    <w:keepNext w:val="0"/>
                    <w:keepLines w:val="0"/>
                    <w:suppressLineNumbers w:val="0"/>
                    <w:spacing w:before="43" w:beforeAutospacing="0" w:after="0" w:afterAutospacing="0"/>
                    <w:ind w:left="0" w:right="172"/>
                    <w:jc w:val="center"/>
                    <w:rPr>
                      <w:rFonts w:hint="default"/>
                      <w:color w:val="auto"/>
                      <w:sz w:val="21"/>
                    </w:rPr>
                  </w:pPr>
                  <w:r>
                    <w:rPr>
                      <w:rFonts w:hint="default"/>
                      <w:color w:val="auto"/>
                      <w:sz w:val="21"/>
                    </w:rPr>
                    <w:t>3042</w:t>
                  </w:r>
                </w:p>
              </w:tc>
              <w:tc>
                <w:tcPr>
                  <w:tcW w:w="3060" w:type="dxa"/>
                  <w:tcBorders>
                    <w:bottom w:val="single" w:color="000000" w:sz="4" w:space="0"/>
                  </w:tcBorders>
                  <w:vAlign w:val="center"/>
                </w:tcPr>
                <w:p w14:paraId="1CA850E3">
                  <w:pPr>
                    <w:pStyle w:val="41"/>
                    <w:keepNext w:val="0"/>
                    <w:keepLines w:val="0"/>
                    <w:suppressLineNumbers w:val="0"/>
                    <w:spacing w:before="43" w:beforeAutospacing="0" w:after="0" w:afterAutospacing="0"/>
                    <w:ind w:left="146" w:right="33"/>
                    <w:jc w:val="center"/>
                    <w:rPr>
                      <w:rFonts w:hint="default"/>
                      <w:color w:val="auto"/>
                      <w:sz w:val="21"/>
                    </w:rPr>
                  </w:pPr>
                  <w:r>
                    <w:rPr>
                      <w:rFonts w:hint="default"/>
                      <w:color w:val="auto"/>
                      <w:sz w:val="21"/>
                    </w:rPr>
                    <w:t>富民工业园区钛白粉生产企业</w:t>
                  </w:r>
                </w:p>
              </w:tc>
            </w:tr>
            <w:tr w14:paraId="76F5D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Merge w:val="continue"/>
                  <w:tcBorders>
                    <w:top w:val="nil"/>
                  </w:tcBorders>
                  <w:vAlign w:val="center"/>
                </w:tcPr>
                <w:p w14:paraId="4C13FC49">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41922955">
                  <w:pPr>
                    <w:pStyle w:val="41"/>
                    <w:keepNext w:val="0"/>
                    <w:keepLines w:val="0"/>
                    <w:suppressLineNumbers w:val="0"/>
                    <w:spacing w:before="19" w:beforeAutospacing="0" w:after="0" w:afterAutospacing="0"/>
                    <w:ind w:left="13" w:right="0"/>
                    <w:jc w:val="center"/>
                    <w:rPr>
                      <w:rFonts w:hint="default" w:ascii="Times New Roman"/>
                      <w:color w:val="auto"/>
                      <w:sz w:val="21"/>
                    </w:rPr>
                  </w:pPr>
                  <w:r>
                    <w:rPr>
                      <w:rFonts w:hint="default" w:ascii="Times New Roman"/>
                      <w:color w:val="auto"/>
                      <w:w w:val="100"/>
                      <w:sz w:val="21"/>
                    </w:rPr>
                    <w:t>2</w:t>
                  </w:r>
                </w:p>
              </w:tc>
              <w:tc>
                <w:tcPr>
                  <w:tcW w:w="2700" w:type="dxa"/>
                  <w:tcBorders>
                    <w:left w:val="single" w:color="000000" w:sz="4" w:space="0"/>
                  </w:tcBorders>
                  <w:vAlign w:val="center"/>
                </w:tcPr>
                <w:p w14:paraId="0BA4256E">
                  <w:pPr>
                    <w:pStyle w:val="41"/>
                    <w:keepNext w:val="0"/>
                    <w:keepLines w:val="0"/>
                    <w:suppressLineNumbers w:val="0"/>
                    <w:spacing w:before="19" w:beforeAutospacing="0" w:after="0" w:afterAutospacing="0"/>
                    <w:ind w:left="20" w:right="0"/>
                    <w:jc w:val="center"/>
                    <w:rPr>
                      <w:rFonts w:hint="default"/>
                      <w:color w:val="auto"/>
                      <w:sz w:val="21"/>
                    </w:rPr>
                  </w:pPr>
                  <w:r>
                    <w:rPr>
                      <w:rFonts w:hint="default"/>
                      <w:color w:val="auto"/>
                      <w:sz w:val="21"/>
                    </w:rPr>
                    <w:t>重质碳酸钙</w:t>
                  </w:r>
                </w:p>
              </w:tc>
              <w:tc>
                <w:tcPr>
                  <w:tcW w:w="900" w:type="dxa"/>
                  <w:vAlign w:val="center"/>
                </w:tcPr>
                <w:p w14:paraId="5CAC77D7">
                  <w:pPr>
                    <w:pStyle w:val="41"/>
                    <w:keepNext w:val="0"/>
                    <w:keepLines w:val="0"/>
                    <w:suppressLineNumbers w:val="0"/>
                    <w:spacing w:before="0"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7CD512D5">
                  <w:pPr>
                    <w:pStyle w:val="41"/>
                    <w:keepNext w:val="0"/>
                    <w:keepLines w:val="0"/>
                    <w:suppressLineNumbers w:val="0"/>
                    <w:spacing w:before="38" w:beforeAutospacing="0" w:after="0" w:afterAutospacing="0"/>
                    <w:ind w:left="0" w:right="167"/>
                    <w:jc w:val="center"/>
                    <w:rPr>
                      <w:rFonts w:hint="default" w:ascii="Times New Roman"/>
                      <w:color w:val="auto"/>
                      <w:sz w:val="21"/>
                    </w:rPr>
                  </w:pPr>
                  <w:r>
                    <w:rPr>
                      <w:rFonts w:hint="default" w:ascii="Times New Roman"/>
                      <w:color w:val="auto"/>
                      <w:sz w:val="21"/>
                    </w:rPr>
                    <w:t>19551</w:t>
                  </w:r>
                </w:p>
              </w:tc>
              <w:tc>
                <w:tcPr>
                  <w:tcW w:w="3060" w:type="dxa"/>
                  <w:tcBorders>
                    <w:top w:val="single" w:color="000000" w:sz="4" w:space="0"/>
                  </w:tcBorders>
                  <w:vAlign w:val="center"/>
                </w:tcPr>
                <w:p w14:paraId="18A9747F">
                  <w:pPr>
                    <w:pStyle w:val="41"/>
                    <w:keepNext w:val="0"/>
                    <w:keepLines w:val="0"/>
                    <w:suppressLineNumbers w:val="0"/>
                    <w:spacing w:before="0" w:beforeAutospacing="0" w:after="0" w:afterAutospacing="0"/>
                    <w:ind w:left="98" w:right="81"/>
                    <w:jc w:val="center"/>
                    <w:rPr>
                      <w:rFonts w:hint="default"/>
                      <w:color w:val="auto"/>
                      <w:sz w:val="21"/>
                    </w:rPr>
                  </w:pPr>
                  <w:r>
                    <w:rPr>
                      <w:rFonts w:hint="default"/>
                      <w:color w:val="auto"/>
                      <w:sz w:val="21"/>
                    </w:rPr>
                    <w:t>省内购买</w:t>
                  </w:r>
                </w:p>
              </w:tc>
            </w:tr>
            <w:tr w14:paraId="4D403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Merge w:val="continue"/>
                  <w:tcBorders>
                    <w:top w:val="nil"/>
                  </w:tcBorders>
                  <w:vAlign w:val="center"/>
                </w:tcPr>
                <w:p w14:paraId="67F17213">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34B9586A">
                  <w:pPr>
                    <w:pStyle w:val="41"/>
                    <w:keepNext w:val="0"/>
                    <w:keepLines w:val="0"/>
                    <w:suppressLineNumbers w:val="0"/>
                    <w:spacing w:before="19" w:beforeAutospacing="0" w:after="0" w:afterAutospacing="0"/>
                    <w:ind w:left="13" w:right="0"/>
                    <w:jc w:val="center"/>
                    <w:rPr>
                      <w:rFonts w:hint="default" w:ascii="Times New Roman"/>
                      <w:color w:val="auto"/>
                      <w:sz w:val="21"/>
                    </w:rPr>
                  </w:pPr>
                  <w:r>
                    <w:rPr>
                      <w:rFonts w:hint="default" w:ascii="Times New Roman"/>
                      <w:color w:val="auto"/>
                      <w:w w:val="100"/>
                      <w:sz w:val="21"/>
                    </w:rPr>
                    <w:t>3</w:t>
                  </w:r>
                </w:p>
              </w:tc>
              <w:tc>
                <w:tcPr>
                  <w:tcW w:w="2700" w:type="dxa"/>
                  <w:tcBorders>
                    <w:left w:val="single" w:color="000000" w:sz="4" w:space="0"/>
                  </w:tcBorders>
                  <w:vAlign w:val="center"/>
                </w:tcPr>
                <w:p w14:paraId="5C192B5D">
                  <w:pPr>
                    <w:pStyle w:val="41"/>
                    <w:keepNext w:val="0"/>
                    <w:keepLines w:val="0"/>
                    <w:suppressLineNumbers w:val="0"/>
                    <w:spacing w:before="20" w:beforeAutospacing="0" w:after="0" w:afterAutospacing="0"/>
                    <w:ind w:left="10" w:right="0"/>
                    <w:jc w:val="center"/>
                    <w:rPr>
                      <w:rFonts w:hint="default"/>
                      <w:color w:val="auto"/>
                      <w:sz w:val="21"/>
                    </w:rPr>
                  </w:pPr>
                  <w:r>
                    <w:rPr>
                      <w:rFonts w:hint="default"/>
                      <w:color w:val="auto"/>
                      <w:sz w:val="21"/>
                    </w:rPr>
                    <w:t>高岭土</w:t>
                  </w:r>
                </w:p>
              </w:tc>
              <w:tc>
                <w:tcPr>
                  <w:tcW w:w="900" w:type="dxa"/>
                  <w:vAlign w:val="center"/>
                </w:tcPr>
                <w:p w14:paraId="7A07DF0B">
                  <w:pPr>
                    <w:pStyle w:val="41"/>
                    <w:keepNext w:val="0"/>
                    <w:keepLines w:val="0"/>
                    <w:suppressLineNumbers w:val="0"/>
                    <w:spacing w:before="1"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1B914049">
                  <w:pPr>
                    <w:pStyle w:val="41"/>
                    <w:keepNext w:val="0"/>
                    <w:keepLines w:val="0"/>
                    <w:suppressLineNumbers w:val="0"/>
                    <w:spacing w:before="63" w:beforeAutospacing="0" w:after="0" w:afterAutospacing="0"/>
                    <w:ind w:left="0" w:right="114"/>
                    <w:jc w:val="center"/>
                    <w:rPr>
                      <w:rFonts w:hint="default"/>
                      <w:color w:val="auto"/>
                      <w:sz w:val="21"/>
                    </w:rPr>
                  </w:pPr>
                  <w:r>
                    <w:rPr>
                      <w:rFonts w:hint="default"/>
                      <w:color w:val="auto"/>
                      <w:sz w:val="21"/>
                    </w:rPr>
                    <w:t>6086</w:t>
                  </w:r>
                </w:p>
              </w:tc>
              <w:tc>
                <w:tcPr>
                  <w:tcW w:w="3060" w:type="dxa"/>
                  <w:vAlign w:val="center"/>
                </w:tcPr>
                <w:p w14:paraId="5375A1BD">
                  <w:pPr>
                    <w:pStyle w:val="41"/>
                    <w:keepNext w:val="0"/>
                    <w:keepLines w:val="0"/>
                    <w:suppressLineNumbers w:val="0"/>
                    <w:spacing w:before="44" w:beforeAutospacing="0" w:after="0" w:afterAutospacing="0"/>
                    <w:ind w:left="146" w:right="42"/>
                    <w:jc w:val="center"/>
                    <w:rPr>
                      <w:rFonts w:hint="default"/>
                      <w:color w:val="auto"/>
                      <w:sz w:val="21"/>
                    </w:rPr>
                  </w:pPr>
                  <w:r>
                    <w:rPr>
                      <w:rFonts w:hint="default"/>
                      <w:color w:val="auto"/>
                      <w:sz w:val="21"/>
                    </w:rPr>
                    <w:t>省内购买</w:t>
                  </w:r>
                </w:p>
              </w:tc>
            </w:tr>
            <w:tr w14:paraId="140C6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720" w:type="dxa"/>
                  <w:vMerge w:val="continue"/>
                  <w:tcBorders>
                    <w:top w:val="nil"/>
                  </w:tcBorders>
                  <w:vAlign w:val="center"/>
                </w:tcPr>
                <w:p w14:paraId="62819A7F">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4262E285">
                  <w:pPr>
                    <w:pStyle w:val="41"/>
                    <w:keepNext w:val="0"/>
                    <w:keepLines w:val="0"/>
                    <w:suppressLineNumbers w:val="0"/>
                    <w:spacing w:before="20" w:beforeAutospacing="0" w:after="0" w:afterAutospacing="0"/>
                    <w:ind w:left="13" w:right="0"/>
                    <w:jc w:val="center"/>
                    <w:rPr>
                      <w:rFonts w:hint="default" w:ascii="Times New Roman"/>
                      <w:color w:val="auto"/>
                      <w:sz w:val="21"/>
                    </w:rPr>
                  </w:pPr>
                  <w:r>
                    <w:rPr>
                      <w:rFonts w:hint="default" w:ascii="Times New Roman"/>
                      <w:color w:val="auto"/>
                      <w:w w:val="100"/>
                      <w:sz w:val="21"/>
                    </w:rPr>
                    <w:t>4</w:t>
                  </w:r>
                </w:p>
              </w:tc>
              <w:tc>
                <w:tcPr>
                  <w:tcW w:w="2700" w:type="dxa"/>
                  <w:tcBorders>
                    <w:left w:val="single" w:color="000000" w:sz="4" w:space="0"/>
                  </w:tcBorders>
                  <w:vAlign w:val="center"/>
                </w:tcPr>
                <w:p w14:paraId="535A5CF9">
                  <w:pPr>
                    <w:pStyle w:val="41"/>
                    <w:keepNext w:val="0"/>
                    <w:keepLines w:val="0"/>
                    <w:suppressLineNumbers w:val="0"/>
                    <w:spacing w:before="1" w:beforeAutospacing="0" w:after="0" w:afterAutospacing="0"/>
                    <w:ind w:left="20" w:right="0"/>
                    <w:jc w:val="center"/>
                    <w:rPr>
                      <w:rFonts w:hint="default"/>
                      <w:color w:val="auto"/>
                      <w:sz w:val="21"/>
                    </w:rPr>
                  </w:pPr>
                  <w:r>
                    <w:rPr>
                      <w:rFonts w:hint="default"/>
                      <w:color w:val="auto"/>
                      <w:sz w:val="21"/>
                    </w:rPr>
                    <w:t>醋丙乳液</w:t>
                  </w:r>
                </w:p>
              </w:tc>
              <w:tc>
                <w:tcPr>
                  <w:tcW w:w="900" w:type="dxa"/>
                  <w:vAlign w:val="center"/>
                </w:tcPr>
                <w:p w14:paraId="66B5601C">
                  <w:pPr>
                    <w:pStyle w:val="41"/>
                    <w:keepNext w:val="0"/>
                    <w:keepLines w:val="0"/>
                    <w:suppressLineNumbers w:val="0"/>
                    <w:spacing w:before="1"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1FE5BD5F">
                  <w:pPr>
                    <w:pStyle w:val="41"/>
                    <w:keepNext w:val="0"/>
                    <w:keepLines w:val="0"/>
                    <w:suppressLineNumbers w:val="0"/>
                    <w:spacing w:before="64" w:beforeAutospacing="0" w:after="0" w:afterAutospacing="0"/>
                    <w:ind w:left="0" w:right="124"/>
                    <w:jc w:val="center"/>
                    <w:rPr>
                      <w:rFonts w:hint="default"/>
                      <w:color w:val="auto"/>
                      <w:sz w:val="21"/>
                    </w:rPr>
                  </w:pPr>
                  <w:r>
                    <w:rPr>
                      <w:rFonts w:hint="default"/>
                      <w:color w:val="auto"/>
                      <w:sz w:val="21"/>
                    </w:rPr>
                    <w:t>2349</w:t>
                  </w:r>
                </w:p>
              </w:tc>
              <w:tc>
                <w:tcPr>
                  <w:tcW w:w="3060" w:type="dxa"/>
                  <w:vAlign w:val="center"/>
                </w:tcPr>
                <w:p w14:paraId="43937810">
                  <w:pPr>
                    <w:pStyle w:val="41"/>
                    <w:keepNext w:val="0"/>
                    <w:keepLines w:val="0"/>
                    <w:suppressLineNumbers w:val="0"/>
                    <w:spacing w:before="1" w:beforeAutospacing="0" w:after="0" w:afterAutospacing="0"/>
                    <w:ind w:left="93" w:right="81"/>
                    <w:jc w:val="center"/>
                    <w:rPr>
                      <w:rFonts w:hint="default"/>
                      <w:color w:val="auto"/>
                      <w:sz w:val="21"/>
                    </w:rPr>
                  </w:pPr>
                  <w:r>
                    <w:rPr>
                      <w:rFonts w:hint="default"/>
                      <w:color w:val="auto"/>
                      <w:sz w:val="21"/>
                    </w:rPr>
                    <w:t>战略合作企业及伙伴</w:t>
                  </w:r>
                </w:p>
              </w:tc>
            </w:tr>
            <w:tr w14:paraId="417B8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Merge w:val="continue"/>
                  <w:tcBorders>
                    <w:top w:val="nil"/>
                  </w:tcBorders>
                  <w:vAlign w:val="center"/>
                </w:tcPr>
                <w:p w14:paraId="3EBFC03A">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0690B105">
                  <w:pPr>
                    <w:pStyle w:val="41"/>
                    <w:keepNext w:val="0"/>
                    <w:keepLines w:val="0"/>
                    <w:suppressLineNumbers w:val="0"/>
                    <w:spacing w:before="21" w:beforeAutospacing="0" w:after="0" w:afterAutospacing="0"/>
                    <w:ind w:left="13" w:right="0"/>
                    <w:jc w:val="center"/>
                    <w:rPr>
                      <w:rFonts w:hint="default" w:ascii="Times New Roman"/>
                      <w:color w:val="auto"/>
                      <w:sz w:val="21"/>
                    </w:rPr>
                  </w:pPr>
                  <w:r>
                    <w:rPr>
                      <w:rFonts w:hint="default" w:ascii="Times New Roman"/>
                      <w:color w:val="auto"/>
                      <w:w w:val="100"/>
                      <w:sz w:val="21"/>
                    </w:rPr>
                    <w:t>5</w:t>
                  </w:r>
                </w:p>
              </w:tc>
              <w:tc>
                <w:tcPr>
                  <w:tcW w:w="2700" w:type="dxa"/>
                  <w:tcBorders>
                    <w:left w:val="single" w:color="000000" w:sz="4" w:space="0"/>
                  </w:tcBorders>
                  <w:vAlign w:val="center"/>
                </w:tcPr>
                <w:p w14:paraId="509B3C09">
                  <w:pPr>
                    <w:pStyle w:val="41"/>
                    <w:keepNext w:val="0"/>
                    <w:keepLines w:val="0"/>
                    <w:suppressLineNumbers w:val="0"/>
                    <w:spacing w:before="2" w:beforeAutospacing="0" w:after="0" w:afterAutospacing="0"/>
                    <w:ind w:left="15" w:right="0"/>
                    <w:jc w:val="center"/>
                    <w:rPr>
                      <w:rFonts w:hint="default"/>
                      <w:color w:val="auto"/>
                      <w:sz w:val="21"/>
                    </w:rPr>
                  </w:pPr>
                  <w:r>
                    <w:rPr>
                      <w:rFonts w:hint="default"/>
                      <w:color w:val="auto"/>
                      <w:sz w:val="21"/>
                    </w:rPr>
                    <w:t>苯乙烯</w:t>
                  </w:r>
                  <w:r>
                    <w:rPr>
                      <w:rFonts w:hint="default" w:ascii="Times New Roman" w:eastAsia="Times New Roman"/>
                      <w:color w:val="auto"/>
                      <w:sz w:val="21"/>
                    </w:rPr>
                    <w:t>-</w:t>
                  </w:r>
                  <w:r>
                    <w:rPr>
                      <w:rFonts w:hint="default"/>
                      <w:color w:val="auto"/>
                      <w:sz w:val="21"/>
                    </w:rPr>
                    <w:t>丙烯酸聚合乳液</w:t>
                  </w:r>
                </w:p>
              </w:tc>
              <w:tc>
                <w:tcPr>
                  <w:tcW w:w="900" w:type="dxa"/>
                  <w:vAlign w:val="center"/>
                </w:tcPr>
                <w:p w14:paraId="36D9A783">
                  <w:pPr>
                    <w:pStyle w:val="41"/>
                    <w:keepNext w:val="0"/>
                    <w:keepLines w:val="0"/>
                    <w:suppressLineNumbers w:val="0"/>
                    <w:spacing w:before="2"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23978007">
                  <w:pPr>
                    <w:pStyle w:val="41"/>
                    <w:keepNext w:val="0"/>
                    <w:keepLines w:val="0"/>
                    <w:suppressLineNumbers w:val="0"/>
                    <w:spacing w:before="64" w:beforeAutospacing="0" w:after="0" w:afterAutospacing="0"/>
                    <w:ind w:left="0" w:right="124"/>
                    <w:jc w:val="center"/>
                    <w:rPr>
                      <w:rFonts w:hint="default"/>
                      <w:color w:val="auto"/>
                      <w:sz w:val="21"/>
                    </w:rPr>
                  </w:pPr>
                  <w:r>
                    <w:rPr>
                      <w:rFonts w:hint="default"/>
                      <w:color w:val="auto"/>
                      <w:sz w:val="21"/>
                    </w:rPr>
                    <w:t>6387</w:t>
                  </w:r>
                </w:p>
              </w:tc>
              <w:tc>
                <w:tcPr>
                  <w:tcW w:w="3060" w:type="dxa"/>
                  <w:vAlign w:val="center"/>
                </w:tcPr>
                <w:p w14:paraId="75AECBFF">
                  <w:pPr>
                    <w:pStyle w:val="41"/>
                    <w:keepNext w:val="0"/>
                    <w:keepLines w:val="0"/>
                    <w:suppressLineNumbers w:val="0"/>
                    <w:spacing w:before="2" w:beforeAutospacing="0" w:after="0" w:afterAutospacing="0"/>
                    <w:ind w:left="93" w:right="81"/>
                    <w:jc w:val="center"/>
                    <w:rPr>
                      <w:rFonts w:hint="default"/>
                      <w:color w:val="auto"/>
                      <w:sz w:val="21"/>
                    </w:rPr>
                  </w:pPr>
                  <w:r>
                    <w:rPr>
                      <w:rFonts w:hint="default"/>
                      <w:color w:val="auto"/>
                      <w:sz w:val="21"/>
                    </w:rPr>
                    <w:t>战略合作企业及伙伴</w:t>
                  </w:r>
                </w:p>
              </w:tc>
            </w:tr>
            <w:tr w14:paraId="51A38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Align w:val="center"/>
                </w:tcPr>
                <w:p w14:paraId="1BD8287A">
                  <w:pPr>
                    <w:pStyle w:val="41"/>
                    <w:keepNext w:val="0"/>
                    <w:keepLines w:val="0"/>
                    <w:suppressLineNumbers w:val="0"/>
                    <w:spacing w:before="2" w:beforeAutospacing="0" w:after="0" w:afterAutospacing="0"/>
                    <w:ind w:left="129" w:right="114"/>
                    <w:jc w:val="center"/>
                    <w:rPr>
                      <w:rFonts w:hint="default"/>
                      <w:color w:val="auto"/>
                      <w:sz w:val="21"/>
                    </w:rPr>
                  </w:pPr>
                  <w:r>
                    <w:rPr>
                      <w:rFonts w:hint="default"/>
                      <w:color w:val="auto"/>
                      <w:sz w:val="21"/>
                    </w:rPr>
                    <w:t>溶剂</w:t>
                  </w:r>
                </w:p>
              </w:tc>
              <w:tc>
                <w:tcPr>
                  <w:tcW w:w="720" w:type="dxa"/>
                  <w:tcBorders>
                    <w:right w:val="single" w:color="000000" w:sz="4" w:space="0"/>
                  </w:tcBorders>
                  <w:vAlign w:val="center"/>
                </w:tcPr>
                <w:p w14:paraId="0FE40FAD">
                  <w:pPr>
                    <w:pStyle w:val="41"/>
                    <w:keepNext w:val="0"/>
                    <w:keepLines w:val="0"/>
                    <w:suppressLineNumbers w:val="0"/>
                    <w:spacing w:before="21" w:beforeAutospacing="0" w:after="0" w:afterAutospacing="0"/>
                    <w:ind w:left="13" w:right="0"/>
                    <w:jc w:val="center"/>
                    <w:rPr>
                      <w:rFonts w:hint="default" w:ascii="Times New Roman"/>
                      <w:color w:val="auto"/>
                      <w:sz w:val="21"/>
                    </w:rPr>
                  </w:pPr>
                  <w:r>
                    <w:rPr>
                      <w:rFonts w:hint="default" w:ascii="Times New Roman"/>
                      <w:color w:val="auto"/>
                      <w:w w:val="100"/>
                      <w:sz w:val="21"/>
                    </w:rPr>
                    <w:t>6</w:t>
                  </w:r>
                </w:p>
              </w:tc>
              <w:tc>
                <w:tcPr>
                  <w:tcW w:w="2700" w:type="dxa"/>
                  <w:tcBorders>
                    <w:left w:val="single" w:color="000000" w:sz="4" w:space="0"/>
                  </w:tcBorders>
                  <w:vAlign w:val="center"/>
                </w:tcPr>
                <w:p w14:paraId="2FFE3D12">
                  <w:pPr>
                    <w:pStyle w:val="41"/>
                    <w:keepNext w:val="0"/>
                    <w:keepLines w:val="0"/>
                    <w:suppressLineNumbers w:val="0"/>
                    <w:spacing w:before="2" w:beforeAutospacing="0" w:after="0" w:afterAutospacing="0"/>
                    <w:ind w:left="20" w:right="0"/>
                    <w:jc w:val="center"/>
                    <w:rPr>
                      <w:rFonts w:hint="default"/>
                      <w:color w:val="auto"/>
                      <w:sz w:val="21"/>
                    </w:rPr>
                  </w:pPr>
                  <w:r>
                    <w:rPr>
                      <w:rFonts w:hint="default"/>
                      <w:color w:val="auto"/>
                      <w:sz w:val="21"/>
                    </w:rPr>
                    <w:t>过滤水</w:t>
                  </w:r>
                </w:p>
              </w:tc>
              <w:tc>
                <w:tcPr>
                  <w:tcW w:w="900" w:type="dxa"/>
                  <w:vAlign w:val="center"/>
                </w:tcPr>
                <w:p w14:paraId="681EB898">
                  <w:pPr>
                    <w:pStyle w:val="41"/>
                    <w:keepNext w:val="0"/>
                    <w:keepLines w:val="0"/>
                    <w:suppressLineNumbers w:val="0"/>
                    <w:spacing w:before="2"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2708EC1D">
                  <w:pPr>
                    <w:pStyle w:val="41"/>
                    <w:keepNext w:val="0"/>
                    <w:keepLines w:val="0"/>
                    <w:suppressLineNumbers w:val="0"/>
                    <w:spacing w:before="40" w:beforeAutospacing="0" w:after="0" w:afterAutospacing="0"/>
                    <w:ind w:left="0" w:right="167"/>
                    <w:jc w:val="center"/>
                    <w:rPr>
                      <w:rFonts w:hint="default" w:ascii="Times New Roman"/>
                      <w:color w:val="auto"/>
                      <w:sz w:val="21"/>
                    </w:rPr>
                  </w:pPr>
                  <w:r>
                    <w:rPr>
                      <w:rFonts w:hint="default" w:ascii="Times New Roman"/>
                      <w:color w:val="auto"/>
                      <w:sz w:val="21"/>
                    </w:rPr>
                    <w:t>21505</w:t>
                  </w:r>
                </w:p>
              </w:tc>
              <w:tc>
                <w:tcPr>
                  <w:tcW w:w="3060" w:type="dxa"/>
                  <w:vAlign w:val="center"/>
                </w:tcPr>
                <w:p w14:paraId="7364F1F3">
                  <w:pPr>
                    <w:pStyle w:val="41"/>
                    <w:keepNext w:val="0"/>
                    <w:keepLines w:val="0"/>
                    <w:suppressLineNumbers w:val="0"/>
                    <w:spacing w:before="65" w:beforeAutospacing="0" w:after="0" w:afterAutospacing="0"/>
                    <w:ind w:left="146" w:right="42"/>
                    <w:jc w:val="center"/>
                    <w:rPr>
                      <w:rFonts w:hint="default"/>
                      <w:color w:val="auto"/>
                      <w:sz w:val="21"/>
                    </w:rPr>
                  </w:pPr>
                  <w:r>
                    <w:rPr>
                      <w:rFonts w:hint="default"/>
                      <w:color w:val="auto"/>
                      <w:sz w:val="21"/>
                    </w:rPr>
                    <w:t>工业园区</w:t>
                  </w:r>
                </w:p>
              </w:tc>
            </w:tr>
            <w:tr w14:paraId="2AF92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Merge w:val="restart"/>
                  <w:vAlign w:val="center"/>
                </w:tcPr>
                <w:p w14:paraId="1E5640C5">
                  <w:pPr>
                    <w:pStyle w:val="41"/>
                    <w:keepNext w:val="0"/>
                    <w:keepLines w:val="0"/>
                    <w:suppressLineNumbers w:val="0"/>
                    <w:spacing w:before="0" w:beforeAutospacing="0" w:after="0" w:afterAutospacing="0"/>
                    <w:ind w:left="0" w:right="0"/>
                    <w:jc w:val="center"/>
                    <w:rPr>
                      <w:rFonts w:hint="default"/>
                      <w:color w:val="auto"/>
                      <w:sz w:val="20"/>
                    </w:rPr>
                  </w:pPr>
                </w:p>
                <w:p w14:paraId="731DA9C9">
                  <w:pPr>
                    <w:pStyle w:val="41"/>
                    <w:keepNext w:val="0"/>
                    <w:keepLines w:val="0"/>
                    <w:suppressLineNumbers w:val="0"/>
                    <w:spacing w:before="0" w:beforeAutospacing="0" w:after="0" w:afterAutospacing="0"/>
                    <w:ind w:left="0" w:right="0"/>
                    <w:jc w:val="center"/>
                    <w:rPr>
                      <w:rFonts w:hint="default"/>
                      <w:color w:val="auto"/>
                      <w:sz w:val="20"/>
                    </w:rPr>
                  </w:pPr>
                </w:p>
                <w:p w14:paraId="4E1BBAAF">
                  <w:pPr>
                    <w:pStyle w:val="41"/>
                    <w:keepNext w:val="0"/>
                    <w:keepLines w:val="0"/>
                    <w:suppressLineNumbers w:val="0"/>
                    <w:spacing w:before="7" w:beforeAutospacing="0" w:after="0" w:afterAutospacing="0"/>
                    <w:ind w:left="0" w:right="0"/>
                    <w:jc w:val="center"/>
                    <w:rPr>
                      <w:rFonts w:hint="default"/>
                      <w:color w:val="auto"/>
                      <w:sz w:val="17"/>
                    </w:rPr>
                  </w:pPr>
                </w:p>
                <w:p w14:paraId="36A32B66">
                  <w:pPr>
                    <w:pStyle w:val="41"/>
                    <w:keepNext w:val="0"/>
                    <w:keepLines w:val="0"/>
                    <w:suppressLineNumbers w:val="0"/>
                    <w:spacing w:before="0" w:beforeAutospacing="0" w:after="0" w:afterAutospacing="0"/>
                    <w:ind w:left="149" w:right="0"/>
                    <w:jc w:val="center"/>
                    <w:rPr>
                      <w:rFonts w:hint="default"/>
                      <w:color w:val="auto"/>
                      <w:sz w:val="21"/>
                    </w:rPr>
                  </w:pPr>
                  <w:r>
                    <w:rPr>
                      <w:rFonts w:hint="default"/>
                      <w:color w:val="auto"/>
                      <w:sz w:val="21"/>
                    </w:rPr>
                    <w:t>助剂</w:t>
                  </w:r>
                </w:p>
              </w:tc>
              <w:tc>
                <w:tcPr>
                  <w:tcW w:w="720" w:type="dxa"/>
                  <w:tcBorders>
                    <w:right w:val="single" w:color="000000" w:sz="4" w:space="0"/>
                  </w:tcBorders>
                  <w:vAlign w:val="center"/>
                </w:tcPr>
                <w:p w14:paraId="4487E524">
                  <w:pPr>
                    <w:pStyle w:val="41"/>
                    <w:keepNext w:val="0"/>
                    <w:keepLines w:val="0"/>
                    <w:suppressLineNumbers w:val="0"/>
                    <w:spacing w:before="22" w:beforeAutospacing="0" w:after="0" w:afterAutospacing="0"/>
                    <w:ind w:left="13" w:right="0"/>
                    <w:jc w:val="center"/>
                    <w:rPr>
                      <w:rFonts w:hint="default" w:ascii="Times New Roman"/>
                      <w:color w:val="auto"/>
                      <w:sz w:val="21"/>
                    </w:rPr>
                  </w:pPr>
                  <w:r>
                    <w:rPr>
                      <w:rFonts w:hint="default" w:ascii="Times New Roman"/>
                      <w:color w:val="auto"/>
                      <w:w w:val="100"/>
                      <w:sz w:val="21"/>
                    </w:rPr>
                    <w:t>7</w:t>
                  </w:r>
                </w:p>
              </w:tc>
              <w:tc>
                <w:tcPr>
                  <w:tcW w:w="2700" w:type="dxa"/>
                  <w:tcBorders>
                    <w:left w:val="single" w:color="000000" w:sz="4" w:space="0"/>
                  </w:tcBorders>
                  <w:vAlign w:val="center"/>
                </w:tcPr>
                <w:p w14:paraId="740E3337">
                  <w:pPr>
                    <w:pStyle w:val="41"/>
                    <w:keepNext w:val="0"/>
                    <w:keepLines w:val="0"/>
                    <w:suppressLineNumbers w:val="0"/>
                    <w:spacing w:before="22" w:beforeAutospacing="0" w:after="0" w:afterAutospacing="0"/>
                    <w:ind w:left="15" w:right="0"/>
                    <w:jc w:val="center"/>
                    <w:rPr>
                      <w:rFonts w:hint="default"/>
                      <w:color w:val="auto"/>
                      <w:sz w:val="21"/>
                    </w:rPr>
                  </w:pPr>
                  <w:r>
                    <w:rPr>
                      <w:rFonts w:hint="default"/>
                      <w:color w:val="auto"/>
                      <w:sz w:val="21"/>
                    </w:rPr>
                    <w:t>成膜助剂（十二碳酸酯）</w:t>
                  </w:r>
                </w:p>
              </w:tc>
              <w:tc>
                <w:tcPr>
                  <w:tcW w:w="900" w:type="dxa"/>
                  <w:vAlign w:val="center"/>
                </w:tcPr>
                <w:p w14:paraId="36ABB1B2">
                  <w:pPr>
                    <w:pStyle w:val="41"/>
                    <w:keepNext w:val="0"/>
                    <w:keepLines w:val="0"/>
                    <w:suppressLineNumbers w:val="0"/>
                    <w:spacing w:before="3"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045F44B2">
                  <w:pPr>
                    <w:pStyle w:val="41"/>
                    <w:keepNext w:val="0"/>
                    <w:keepLines w:val="0"/>
                    <w:suppressLineNumbers w:val="0"/>
                    <w:spacing w:before="40" w:beforeAutospacing="0" w:after="0" w:afterAutospacing="0"/>
                    <w:ind w:left="0" w:right="167"/>
                    <w:jc w:val="center"/>
                    <w:rPr>
                      <w:rFonts w:hint="default" w:ascii="Times New Roman"/>
                      <w:color w:val="auto"/>
                      <w:sz w:val="21"/>
                    </w:rPr>
                  </w:pPr>
                  <w:r>
                    <w:rPr>
                      <w:rFonts w:hint="default" w:ascii="Times New Roman"/>
                      <w:color w:val="auto"/>
                      <w:sz w:val="21"/>
                    </w:rPr>
                    <w:t>477</w:t>
                  </w:r>
                </w:p>
              </w:tc>
              <w:tc>
                <w:tcPr>
                  <w:tcW w:w="3060" w:type="dxa"/>
                  <w:vAlign w:val="center"/>
                </w:tcPr>
                <w:p w14:paraId="2964E6CD">
                  <w:pPr>
                    <w:pStyle w:val="41"/>
                    <w:keepNext w:val="0"/>
                    <w:keepLines w:val="0"/>
                    <w:suppressLineNumbers w:val="0"/>
                    <w:spacing w:before="41" w:beforeAutospacing="0" w:after="0" w:afterAutospacing="0"/>
                    <w:ind w:left="146" w:right="42"/>
                    <w:jc w:val="center"/>
                    <w:rPr>
                      <w:rFonts w:hint="default"/>
                      <w:color w:val="auto"/>
                      <w:sz w:val="21"/>
                    </w:rPr>
                  </w:pPr>
                  <w:r>
                    <w:rPr>
                      <w:rFonts w:hint="default"/>
                      <w:color w:val="auto"/>
                      <w:sz w:val="21"/>
                    </w:rPr>
                    <w:t>省内购买</w:t>
                  </w:r>
                </w:p>
              </w:tc>
            </w:tr>
            <w:tr w14:paraId="387F8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720" w:type="dxa"/>
                  <w:vMerge w:val="continue"/>
                  <w:tcBorders>
                    <w:top w:val="nil"/>
                  </w:tcBorders>
                  <w:vAlign w:val="center"/>
                </w:tcPr>
                <w:p w14:paraId="1A7F45FB">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67703AB7">
                  <w:pPr>
                    <w:pStyle w:val="41"/>
                    <w:keepNext w:val="0"/>
                    <w:keepLines w:val="0"/>
                    <w:suppressLineNumbers w:val="0"/>
                    <w:spacing w:before="18" w:beforeAutospacing="0" w:after="0" w:afterAutospacing="0"/>
                    <w:ind w:left="13" w:right="0"/>
                    <w:jc w:val="center"/>
                    <w:rPr>
                      <w:rFonts w:hint="default" w:ascii="Times New Roman"/>
                      <w:color w:val="auto"/>
                      <w:sz w:val="21"/>
                    </w:rPr>
                  </w:pPr>
                  <w:r>
                    <w:rPr>
                      <w:rFonts w:hint="default" w:ascii="Times New Roman"/>
                      <w:color w:val="auto"/>
                      <w:w w:val="100"/>
                      <w:sz w:val="21"/>
                    </w:rPr>
                    <w:t>8</w:t>
                  </w:r>
                </w:p>
              </w:tc>
              <w:tc>
                <w:tcPr>
                  <w:tcW w:w="2700" w:type="dxa"/>
                  <w:tcBorders>
                    <w:left w:val="single" w:color="000000" w:sz="4" w:space="0"/>
                  </w:tcBorders>
                  <w:vAlign w:val="center"/>
                </w:tcPr>
                <w:p w14:paraId="45517BFE">
                  <w:pPr>
                    <w:pStyle w:val="41"/>
                    <w:keepNext w:val="0"/>
                    <w:keepLines w:val="0"/>
                    <w:suppressLineNumbers w:val="0"/>
                    <w:spacing w:before="23" w:beforeAutospacing="0" w:after="0" w:afterAutospacing="0"/>
                    <w:ind w:left="10" w:right="0"/>
                    <w:jc w:val="center"/>
                    <w:rPr>
                      <w:rFonts w:hint="default"/>
                      <w:color w:val="auto"/>
                      <w:sz w:val="21"/>
                    </w:rPr>
                  </w:pPr>
                  <w:r>
                    <w:rPr>
                      <w:rFonts w:hint="default"/>
                      <w:color w:val="auto"/>
                      <w:sz w:val="21"/>
                    </w:rPr>
                    <w:t>增稠剂（羟乙基纤维素）</w:t>
                  </w:r>
                </w:p>
              </w:tc>
              <w:tc>
                <w:tcPr>
                  <w:tcW w:w="900" w:type="dxa"/>
                  <w:vAlign w:val="center"/>
                </w:tcPr>
                <w:p w14:paraId="5B368C56">
                  <w:pPr>
                    <w:pStyle w:val="41"/>
                    <w:keepNext w:val="0"/>
                    <w:keepLines w:val="0"/>
                    <w:suppressLineNumbers w:val="0"/>
                    <w:spacing w:before="4"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0EB58B9E">
                  <w:pPr>
                    <w:pStyle w:val="41"/>
                    <w:keepNext w:val="0"/>
                    <w:keepLines w:val="0"/>
                    <w:suppressLineNumbers w:val="0"/>
                    <w:spacing w:before="40" w:beforeAutospacing="0" w:after="0" w:afterAutospacing="0"/>
                    <w:ind w:left="0" w:right="167"/>
                    <w:jc w:val="center"/>
                    <w:rPr>
                      <w:rFonts w:hint="default" w:ascii="Times New Roman"/>
                      <w:color w:val="auto"/>
                      <w:sz w:val="21"/>
                    </w:rPr>
                  </w:pPr>
                  <w:r>
                    <w:rPr>
                      <w:rFonts w:hint="default" w:ascii="Times New Roman"/>
                      <w:color w:val="auto"/>
                      <w:sz w:val="21"/>
                    </w:rPr>
                    <w:t>200</w:t>
                  </w:r>
                </w:p>
              </w:tc>
              <w:tc>
                <w:tcPr>
                  <w:tcW w:w="3060" w:type="dxa"/>
                  <w:vAlign w:val="center"/>
                </w:tcPr>
                <w:p w14:paraId="18D6685D">
                  <w:pPr>
                    <w:pStyle w:val="41"/>
                    <w:keepNext w:val="0"/>
                    <w:keepLines w:val="0"/>
                    <w:suppressLineNumbers w:val="0"/>
                    <w:spacing w:before="0" w:beforeAutospacing="0" w:after="0" w:afterAutospacing="0" w:line="268" w:lineRule="exact"/>
                    <w:ind w:left="98" w:right="81"/>
                    <w:jc w:val="center"/>
                    <w:rPr>
                      <w:rFonts w:hint="default"/>
                      <w:color w:val="auto"/>
                      <w:sz w:val="21"/>
                    </w:rPr>
                  </w:pPr>
                  <w:r>
                    <w:rPr>
                      <w:rFonts w:hint="default"/>
                      <w:color w:val="auto"/>
                      <w:sz w:val="21"/>
                    </w:rPr>
                    <w:t>省内购买</w:t>
                  </w:r>
                </w:p>
              </w:tc>
            </w:tr>
            <w:tr w14:paraId="35330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Merge w:val="continue"/>
                  <w:tcBorders>
                    <w:top w:val="nil"/>
                  </w:tcBorders>
                  <w:vAlign w:val="center"/>
                </w:tcPr>
                <w:p w14:paraId="3B15AF01">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3A515DD3">
                  <w:pPr>
                    <w:pStyle w:val="41"/>
                    <w:keepNext w:val="0"/>
                    <w:keepLines w:val="0"/>
                    <w:suppressLineNumbers w:val="0"/>
                    <w:spacing w:before="18" w:beforeAutospacing="0" w:after="0" w:afterAutospacing="0"/>
                    <w:ind w:left="13" w:right="0"/>
                    <w:jc w:val="center"/>
                    <w:rPr>
                      <w:rFonts w:hint="default" w:ascii="Times New Roman"/>
                      <w:color w:val="auto"/>
                      <w:sz w:val="21"/>
                    </w:rPr>
                  </w:pPr>
                  <w:r>
                    <w:rPr>
                      <w:rFonts w:hint="default" w:ascii="Times New Roman"/>
                      <w:color w:val="auto"/>
                      <w:w w:val="100"/>
                      <w:sz w:val="21"/>
                    </w:rPr>
                    <w:t>9</w:t>
                  </w:r>
                </w:p>
              </w:tc>
              <w:tc>
                <w:tcPr>
                  <w:tcW w:w="2700" w:type="dxa"/>
                  <w:tcBorders>
                    <w:left w:val="single" w:color="000000" w:sz="4" w:space="0"/>
                  </w:tcBorders>
                  <w:vAlign w:val="center"/>
                </w:tcPr>
                <w:p w14:paraId="05D0410B">
                  <w:pPr>
                    <w:pStyle w:val="41"/>
                    <w:keepNext w:val="0"/>
                    <w:keepLines w:val="0"/>
                    <w:suppressLineNumbers w:val="0"/>
                    <w:spacing w:before="19" w:beforeAutospacing="0" w:after="0" w:afterAutospacing="0"/>
                    <w:ind w:left="10" w:right="0"/>
                    <w:jc w:val="center"/>
                    <w:rPr>
                      <w:rFonts w:hint="default"/>
                      <w:color w:val="auto"/>
                      <w:sz w:val="21"/>
                    </w:rPr>
                  </w:pPr>
                  <w:r>
                    <w:rPr>
                      <w:rFonts w:hint="default"/>
                      <w:color w:val="auto"/>
                      <w:sz w:val="21"/>
                    </w:rPr>
                    <w:t>分散剂（聚丙烯酸钠盐）</w:t>
                  </w:r>
                </w:p>
              </w:tc>
              <w:tc>
                <w:tcPr>
                  <w:tcW w:w="900" w:type="dxa"/>
                  <w:vAlign w:val="center"/>
                </w:tcPr>
                <w:p w14:paraId="636A5B88">
                  <w:pPr>
                    <w:pStyle w:val="41"/>
                    <w:keepNext w:val="0"/>
                    <w:keepLines w:val="0"/>
                    <w:suppressLineNumbers w:val="0"/>
                    <w:spacing w:before="4"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17B4160E">
                  <w:pPr>
                    <w:pStyle w:val="41"/>
                    <w:keepNext w:val="0"/>
                    <w:keepLines w:val="0"/>
                    <w:suppressLineNumbers w:val="0"/>
                    <w:spacing w:before="40" w:beforeAutospacing="0" w:after="0" w:afterAutospacing="0"/>
                    <w:ind w:left="0" w:right="167"/>
                    <w:jc w:val="center"/>
                    <w:rPr>
                      <w:rFonts w:hint="default" w:ascii="Times New Roman"/>
                      <w:color w:val="auto"/>
                      <w:sz w:val="21"/>
                    </w:rPr>
                  </w:pPr>
                  <w:r>
                    <w:rPr>
                      <w:rFonts w:hint="default" w:ascii="Times New Roman"/>
                      <w:color w:val="auto"/>
                      <w:sz w:val="21"/>
                    </w:rPr>
                    <w:t>200</w:t>
                  </w:r>
                </w:p>
              </w:tc>
              <w:tc>
                <w:tcPr>
                  <w:tcW w:w="3060" w:type="dxa"/>
                  <w:vAlign w:val="center"/>
                </w:tcPr>
                <w:p w14:paraId="235E4EF9">
                  <w:pPr>
                    <w:pStyle w:val="41"/>
                    <w:keepNext w:val="0"/>
                    <w:keepLines w:val="0"/>
                    <w:suppressLineNumbers w:val="0"/>
                    <w:spacing w:before="62" w:beforeAutospacing="0" w:after="0" w:afterAutospacing="0"/>
                    <w:ind w:left="146" w:right="42"/>
                    <w:jc w:val="center"/>
                    <w:rPr>
                      <w:rFonts w:hint="default"/>
                      <w:color w:val="auto"/>
                      <w:sz w:val="21"/>
                    </w:rPr>
                  </w:pPr>
                  <w:r>
                    <w:rPr>
                      <w:rFonts w:hint="default"/>
                      <w:color w:val="auto"/>
                      <w:sz w:val="21"/>
                    </w:rPr>
                    <w:t>省内购买</w:t>
                  </w:r>
                </w:p>
              </w:tc>
            </w:tr>
            <w:tr w14:paraId="216EE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atLeast"/>
              </w:trPr>
              <w:tc>
                <w:tcPr>
                  <w:tcW w:w="720" w:type="dxa"/>
                  <w:vMerge w:val="continue"/>
                  <w:tcBorders>
                    <w:top w:val="nil"/>
                  </w:tcBorders>
                  <w:vAlign w:val="center"/>
                </w:tcPr>
                <w:p w14:paraId="6C68F043">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627CEE6E">
                  <w:pPr>
                    <w:pStyle w:val="41"/>
                    <w:keepNext w:val="0"/>
                    <w:keepLines w:val="0"/>
                    <w:suppressLineNumbers w:val="0"/>
                    <w:spacing w:before="19" w:beforeAutospacing="0" w:after="0" w:afterAutospacing="0"/>
                    <w:ind w:left="128" w:right="116"/>
                    <w:jc w:val="center"/>
                    <w:rPr>
                      <w:rFonts w:hint="default" w:ascii="Times New Roman"/>
                      <w:color w:val="auto"/>
                      <w:sz w:val="21"/>
                    </w:rPr>
                  </w:pPr>
                  <w:r>
                    <w:rPr>
                      <w:rFonts w:hint="default" w:ascii="Times New Roman"/>
                      <w:color w:val="auto"/>
                      <w:sz w:val="21"/>
                    </w:rPr>
                    <w:t>10</w:t>
                  </w:r>
                </w:p>
              </w:tc>
              <w:tc>
                <w:tcPr>
                  <w:tcW w:w="2700" w:type="dxa"/>
                  <w:tcBorders>
                    <w:left w:val="single" w:color="000000" w:sz="4" w:space="0"/>
                  </w:tcBorders>
                  <w:vAlign w:val="center"/>
                </w:tcPr>
                <w:p w14:paraId="39C01F8A">
                  <w:pPr>
                    <w:pStyle w:val="41"/>
                    <w:keepNext w:val="0"/>
                    <w:keepLines w:val="0"/>
                    <w:suppressLineNumbers w:val="0"/>
                    <w:spacing w:before="19" w:beforeAutospacing="0" w:after="0" w:afterAutospacing="0"/>
                    <w:ind w:left="15" w:right="0"/>
                    <w:jc w:val="center"/>
                    <w:rPr>
                      <w:rFonts w:hint="default"/>
                      <w:color w:val="auto"/>
                      <w:sz w:val="21"/>
                    </w:rPr>
                  </w:pPr>
                  <w:r>
                    <w:rPr>
                      <w:rFonts w:hint="default"/>
                      <w:color w:val="auto"/>
                      <w:sz w:val="21"/>
                    </w:rPr>
                    <w:t>消泡剂（矿物油）</w:t>
                  </w:r>
                </w:p>
              </w:tc>
              <w:tc>
                <w:tcPr>
                  <w:tcW w:w="900" w:type="dxa"/>
                  <w:vAlign w:val="center"/>
                </w:tcPr>
                <w:p w14:paraId="56AAFBA7">
                  <w:pPr>
                    <w:pStyle w:val="41"/>
                    <w:keepNext w:val="0"/>
                    <w:keepLines w:val="0"/>
                    <w:suppressLineNumbers w:val="0"/>
                    <w:spacing w:before="0"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1E58A0E4">
                  <w:pPr>
                    <w:pStyle w:val="41"/>
                    <w:keepNext w:val="0"/>
                    <w:keepLines w:val="0"/>
                    <w:suppressLineNumbers w:val="0"/>
                    <w:spacing w:before="40" w:beforeAutospacing="0" w:after="0" w:afterAutospacing="0"/>
                    <w:ind w:left="0" w:right="167"/>
                    <w:jc w:val="center"/>
                    <w:rPr>
                      <w:rFonts w:hint="default" w:ascii="Times New Roman"/>
                      <w:color w:val="auto"/>
                      <w:sz w:val="21"/>
                    </w:rPr>
                  </w:pPr>
                  <w:r>
                    <w:rPr>
                      <w:rFonts w:hint="default" w:ascii="Times New Roman"/>
                      <w:color w:val="auto"/>
                      <w:sz w:val="21"/>
                    </w:rPr>
                    <w:t>134</w:t>
                  </w:r>
                </w:p>
              </w:tc>
              <w:tc>
                <w:tcPr>
                  <w:tcW w:w="3060" w:type="dxa"/>
                  <w:vAlign w:val="center"/>
                </w:tcPr>
                <w:p w14:paraId="4D7CB083">
                  <w:pPr>
                    <w:pStyle w:val="41"/>
                    <w:keepNext w:val="0"/>
                    <w:keepLines w:val="0"/>
                    <w:suppressLineNumbers w:val="0"/>
                    <w:spacing w:before="0" w:beforeAutospacing="0" w:after="0" w:afterAutospacing="0"/>
                    <w:ind w:left="98" w:right="81"/>
                    <w:jc w:val="center"/>
                    <w:rPr>
                      <w:rFonts w:hint="default"/>
                      <w:color w:val="auto"/>
                      <w:sz w:val="21"/>
                    </w:rPr>
                  </w:pPr>
                  <w:r>
                    <w:rPr>
                      <w:rFonts w:hint="default"/>
                      <w:color w:val="auto"/>
                      <w:sz w:val="21"/>
                    </w:rPr>
                    <w:t>省内购买</w:t>
                  </w:r>
                </w:p>
              </w:tc>
            </w:tr>
            <w:tr w14:paraId="4264F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720" w:type="dxa"/>
                  <w:vMerge w:val="continue"/>
                  <w:tcBorders>
                    <w:top w:val="nil"/>
                  </w:tcBorders>
                  <w:vAlign w:val="center"/>
                </w:tcPr>
                <w:p w14:paraId="46EC6912">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2DFC0611">
                  <w:pPr>
                    <w:pStyle w:val="41"/>
                    <w:keepNext w:val="0"/>
                    <w:keepLines w:val="0"/>
                    <w:suppressLineNumbers w:val="0"/>
                    <w:spacing w:before="18" w:beforeAutospacing="0" w:after="0" w:afterAutospacing="0"/>
                    <w:ind w:left="128" w:right="111"/>
                    <w:jc w:val="center"/>
                    <w:rPr>
                      <w:rFonts w:hint="default" w:ascii="Times New Roman"/>
                      <w:color w:val="auto"/>
                      <w:sz w:val="21"/>
                    </w:rPr>
                  </w:pPr>
                  <w:r>
                    <w:rPr>
                      <w:rFonts w:hint="default" w:ascii="Times New Roman"/>
                      <w:color w:val="auto"/>
                      <w:sz w:val="21"/>
                    </w:rPr>
                    <w:t>11</w:t>
                  </w:r>
                </w:p>
              </w:tc>
              <w:tc>
                <w:tcPr>
                  <w:tcW w:w="2700" w:type="dxa"/>
                  <w:tcBorders>
                    <w:left w:val="single" w:color="000000" w:sz="4" w:space="0"/>
                  </w:tcBorders>
                  <w:vAlign w:val="center"/>
                </w:tcPr>
                <w:p w14:paraId="012FEC81">
                  <w:pPr>
                    <w:pStyle w:val="41"/>
                    <w:keepNext w:val="0"/>
                    <w:keepLines w:val="0"/>
                    <w:suppressLineNumbers w:val="0"/>
                    <w:spacing w:before="19" w:beforeAutospacing="0" w:after="0" w:afterAutospacing="0"/>
                    <w:ind w:left="15" w:right="0"/>
                    <w:jc w:val="center"/>
                    <w:rPr>
                      <w:rFonts w:hint="default"/>
                      <w:color w:val="auto"/>
                      <w:sz w:val="21"/>
                    </w:rPr>
                  </w:pPr>
                  <w:r>
                    <w:rPr>
                      <w:rFonts w:hint="default"/>
                      <w:color w:val="auto"/>
                      <w:sz w:val="21"/>
                    </w:rPr>
                    <w:t>防冻剂（丙二醇）</w:t>
                  </w:r>
                </w:p>
              </w:tc>
              <w:tc>
                <w:tcPr>
                  <w:tcW w:w="900" w:type="dxa"/>
                  <w:vAlign w:val="center"/>
                </w:tcPr>
                <w:p w14:paraId="2F4C1FB1">
                  <w:pPr>
                    <w:pStyle w:val="41"/>
                    <w:keepNext w:val="0"/>
                    <w:keepLines w:val="0"/>
                    <w:suppressLineNumbers w:val="0"/>
                    <w:spacing w:before="0"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20C88D42">
                  <w:pPr>
                    <w:pStyle w:val="41"/>
                    <w:keepNext w:val="0"/>
                    <w:keepLines w:val="0"/>
                    <w:suppressLineNumbers w:val="0"/>
                    <w:spacing w:before="40" w:beforeAutospacing="0" w:after="0" w:afterAutospacing="0"/>
                    <w:ind w:left="0" w:right="167"/>
                    <w:jc w:val="center"/>
                    <w:rPr>
                      <w:rFonts w:hint="default" w:ascii="Times New Roman"/>
                      <w:color w:val="auto"/>
                      <w:sz w:val="21"/>
                    </w:rPr>
                  </w:pPr>
                  <w:r>
                    <w:rPr>
                      <w:rFonts w:hint="default" w:ascii="Times New Roman"/>
                      <w:color w:val="auto"/>
                      <w:sz w:val="21"/>
                    </w:rPr>
                    <w:t>69</w:t>
                  </w:r>
                </w:p>
              </w:tc>
              <w:tc>
                <w:tcPr>
                  <w:tcW w:w="3060" w:type="dxa"/>
                  <w:vAlign w:val="center"/>
                </w:tcPr>
                <w:p w14:paraId="236359EF">
                  <w:pPr>
                    <w:pStyle w:val="41"/>
                    <w:keepNext w:val="0"/>
                    <w:keepLines w:val="0"/>
                    <w:suppressLineNumbers w:val="0"/>
                    <w:spacing w:before="62" w:beforeAutospacing="0" w:after="0" w:afterAutospacing="0"/>
                    <w:ind w:left="146" w:right="42"/>
                    <w:jc w:val="center"/>
                    <w:rPr>
                      <w:rFonts w:hint="default"/>
                      <w:color w:val="auto"/>
                      <w:sz w:val="21"/>
                    </w:rPr>
                  </w:pPr>
                  <w:r>
                    <w:rPr>
                      <w:rFonts w:hint="default"/>
                      <w:color w:val="auto"/>
                      <w:sz w:val="21"/>
                    </w:rPr>
                    <w:t>省内购买</w:t>
                  </w:r>
                </w:p>
              </w:tc>
            </w:tr>
          </w:tbl>
          <w:p w14:paraId="4A7E388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 xml:space="preserve">表 </w:t>
            </w:r>
            <w:r>
              <w:rPr>
                <w:rFonts w:hint="eastAsia" w:cs="Times New Roman"/>
                <w:b/>
                <w:color w:val="auto"/>
                <w:szCs w:val="21"/>
                <w:lang w:val="en-US" w:eastAsia="zh-CN"/>
              </w:rPr>
              <w:t>2-19</w:t>
            </w:r>
            <w:r>
              <w:rPr>
                <w:rFonts w:hint="default" w:ascii="Times New Roman" w:hAnsi="Times New Roman" w:eastAsia="宋体" w:cs="Times New Roman"/>
                <w:b/>
                <w:color w:val="auto"/>
                <w:szCs w:val="21"/>
              </w:rPr>
              <w:tab/>
            </w:r>
            <w:r>
              <w:rPr>
                <w:rFonts w:hint="default" w:ascii="Times New Roman" w:hAnsi="Times New Roman" w:eastAsia="宋体" w:cs="Times New Roman"/>
                <w:b/>
                <w:color w:val="auto"/>
                <w:szCs w:val="21"/>
              </w:rPr>
              <w:t>砂壁产品原辅材料消耗表</w:t>
            </w:r>
          </w:p>
          <w:tbl>
            <w:tblPr>
              <w:tblStyle w:val="28"/>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77"/>
              <w:gridCol w:w="683"/>
              <w:gridCol w:w="2470"/>
              <w:gridCol w:w="846"/>
              <w:gridCol w:w="899"/>
              <w:gridCol w:w="2795"/>
            </w:tblGrid>
            <w:tr w14:paraId="53177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shd w:val="clear" w:color="auto" w:fill="F1F1F1"/>
                </w:tcPr>
                <w:p w14:paraId="46E4F94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种类</w:t>
                  </w:r>
                </w:p>
              </w:tc>
              <w:tc>
                <w:tcPr>
                  <w:tcW w:w="408" w:type="pct"/>
                  <w:tcBorders>
                    <w:right w:val="single" w:color="000000" w:sz="4" w:space="0"/>
                  </w:tcBorders>
                  <w:shd w:val="clear" w:color="auto" w:fill="F1F1F1"/>
                </w:tcPr>
                <w:p w14:paraId="0732AFD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1475" w:type="pct"/>
                  <w:tcBorders>
                    <w:left w:val="single" w:color="000000" w:sz="4" w:space="0"/>
                  </w:tcBorders>
                  <w:shd w:val="clear" w:color="auto" w:fill="F1F1F1"/>
                </w:tcPr>
                <w:p w14:paraId="54DC985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名</w:t>
                  </w:r>
                  <w:r>
                    <w:rPr>
                      <w:rFonts w:hint="default" w:ascii="Times New Roman" w:hAnsi="Times New Roman" w:eastAsia="宋体" w:cs="Times New Roman"/>
                      <w:b/>
                      <w:color w:val="auto"/>
                      <w:szCs w:val="21"/>
                    </w:rPr>
                    <w:tab/>
                  </w:r>
                  <w:r>
                    <w:rPr>
                      <w:rFonts w:hint="default" w:ascii="Times New Roman" w:hAnsi="Times New Roman" w:eastAsia="宋体" w:cs="Times New Roman"/>
                      <w:b/>
                      <w:color w:val="auto"/>
                      <w:szCs w:val="21"/>
                    </w:rPr>
                    <w:t>称</w:t>
                  </w:r>
                </w:p>
              </w:tc>
              <w:tc>
                <w:tcPr>
                  <w:tcW w:w="505" w:type="pct"/>
                  <w:shd w:val="clear" w:color="auto" w:fill="F1F1F1"/>
                </w:tcPr>
                <w:p w14:paraId="0102B11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单 位</w:t>
                  </w:r>
                </w:p>
              </w:tc>
              <w:tc>
                <w:tcPr>
                  <w:tcW w:w="537" w:type="pct"/>
                  <w:shd w:val="clear" w:color="auto" w:fill="F1F1F1"/>
                </w:tcPr>
                <w:p w14:paraId="614B369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数量</w:t>
                  </w:r>
                </w:p>
              </w:tc>
              <w:tc>
                <w:tcPr>
                  <w:tcW w:w="1669" w:type="pct"/>
                  <w:shd w:val="clear" w:color="auto" w:fill="F1F1F1"/>
                </w:tcPr>
                <w:p w14:paraId="682069A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来源</w:t>
                  </w:r>
                </w:p>
              </w:tc>
            </w:tr>
            <w:tr w14:paraId="6BB24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04" w:type="pct"/>
                  <w:vMerge w:val="restart"/>
                </w:tcPr>
                <w:p w14:paraId="2D40F9E6">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p>
                <w:p w14:paraId="58008D2F">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颜填料</w:t>
                  </w:r>
                </w:p>
              </w:tc>
              <w:tc>
                <w:tcPr>
                  <w:tcW w:w="408" w:type="pct"/>
                  <w:tcBorders>
                    <w:right w:val="single" w:color="000000" w:sz="4" w:space="0"/>
                  </w:tcBorders>
                </w:tcPr>
                <w:p w14:paraId="2ED28A49">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475" w:type="pct"/>
                  <w:tcBorders>
                    <w:left w:val="single" w:color="000000" w:sz="4" w:space="0"/>
                  </w:tcBorders>
                </w:tcPr>
                <w:p w14:paraId="217CC6E0">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白砂</w:t>
                  </w:r>
                </w:p>
              </w:tc>
              <w:tc>
                <w:tcPr>
                  <w:tcW w:w="505" w:type="pct"/>
                </w:tcPr>
                <w:p w14:paraId="2E882AE4">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37" w:type="pct"/>
                </w:tcPr>
                <w:p w14:paraId="5DC3DD6D">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12944</w:t>
                  </w:r>
                </w:p>
              </w:tc>
              <w:tc>
                <w:tcPr>
                  <w:tcW w:w="1669" w:type="pct"/>
                  <w:tcBorders>
                    <w:bottom w:val="single" w:color="000000" w:sz="4" w:space="0"/>
                  </w:tcBorders>
                </w:tcPr>
                <w:p w14:paraId="34B6D87D">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3F20A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continue"/>
                  <w:tcBorders>
                    <w:top w:val="nil"/>
                  </w:tcBorders>
                </w:tcPr>
                <w:p w14:paraId="7213180E">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p>
              </w:tc>
              <w:tc>
                <w:tcPr>
                  <w:tcW w:w="408" w:type="pct"/>
                  <w:tcBorders>
                    <w:right w:val="single" w:color="000000" w:sz="4" w:space="0"/>
                  </w:tcBorders>
                </w:tcPr>
                <w:p w14:paraId="44171902">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1475" w:type="pct"/>
                  <w:tcBorders>
                    <w:left w:val="single" w:color="000000" w:sz="4" w:space="0"/>
                  </w:tcBorders>
                </w:tcPr>
                <w:p w14:paraId="16D20D3F">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苯乙烯-丙烯酸聚合乳液</w:t>
                  </w:r>
                </w:p>
              </w:tc>
              <w:tc>
                <w:tcPr>
                  <w:tcW w:w="505" w:type="pct"/>
                </w:tcPr>
                <w:p w14:paraId="13817C0C">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37" w:type="pct"/>
                </w:tcPr>
                <w:p w14:paraId="606CE2B4">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2879</w:t>
                  </w:r>
                </w:p>
              </w:tc>
              <w:tc>
                <w:tcPr>
                  <w:tcW w:w="1669" w:type="pct"/>
                  <w:tcBorders>
                    <w:top w:val="single" w:color="000000" w:sz="4" w:space="0"/>
                  </w:tcBorders>
                </w:tcPr>
                <w:p w14:paraId="225F282D">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战略合作企业及伙伴</w:t>
                  </w:r>
                </w:p>
              </w:tc>
            </w:tr>
            <w:tr w14:paraId="50C80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continue"/>
                  <w:tcBorders>
                    <w:top w:val="nil"/>
                  </w:tcBorders>
                </w:tcPr>
                <w:p w14:paraId="60C96E36">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p>
              </w:tc>
              <w:tc>
                <w:tcPr>
                  <w:tcW w:w="408" w:type="pct"/>
                  <w:tcBorders>
                    <w:right w:val="single" w:color="000000" w:sz="4" w:space="0"/>
                  </w:tcBorders>
                </w:tcPr>
                <w:p w14:paraId="280D9F2C">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1475" w:type="pct"/>
                  <w:tcBorders>
                    <w:left w:val="single" w:color="000000" w:sz="4" w:space="0"/>
                  </w:tcBorders>
                </w:tcPr>
                <w:p w14:paraId="0EE2F8A4">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重质碳酸钙</w:t>
                  </w:r>
                </w:p>
              </w:tc>
              <w:tc>
                <w:tcPr>
                  <w:tcW w:w="505" w:type="pct"/>
                </w:tcPr>
                <w:p w14:paraId="42E2E0EF">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37" w:type="pct"/>
                </w:tcPr>
                <w:p w14:paraId="132D83B7">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1746</w:t>
                  </w:r>
                </w:p>
              </w:tc>
              <w:tc>
                <w:tcPr>
                  <w:tcW w:w="1669" w:type="pct"/>
                </w:tcPr>
                <w:p w14:paraId="13F1FC4A">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6FE99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04" w:type="pct"/>
                  <w:vMerge w:val="continue"/>
                  <w:tcBorders>
                    <w:top w:val="nil"/>
                  </w:tcBorders>
                </w:tcPr>
                <w:p w14:paraId="693D4D03">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p>
              </w:tc>
              <w:tc>
                <w:tcPr>
                  <w:tcW w:w="408" w:type="pct"/>
                  <w:tcBorders>
                    <w:right w:val="single" w:color="000000" w:sz="4" w:space="0"/>
                  </w:tcBorders>
                </w:tcPr>
                <w:p w14:paraId="516992D5">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1475" w:type="pct"/>
                  <w:tcBorders>
                    <w:left w:val="single" w:color="000000" w:sz="4" w:space="0"/>
                  </w:tcBorders>
                </w:tcPr>
                <w:p w14:paraId="2D82367C">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钛白粉</w:t>
                  </w:r>
                </w:p>
              </w:tc>
              <w:tc>
                <w:tcPr>
                  <w:tcW w:w="505" w:type="pct"/>
                </w:tcPr>
                <w:p w14:paraId="28E6DC10">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37" w:type="pct"/>
                </w:tcPr>
                <w:p w14:paraId="6C68FAB2">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147</w:t>
                  </w:r>
                </w:p>
              </w:tc>
              <w:tc>
                <w:tcPr>
                  <w:tcW w:w="1669" w:type="pct"/>
                </w:tcPr>
                <w:p w14:paraId="32C4FADB">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富民工业园区钛白粉生产企业</w:t>
                  </w:r>
                </w:p>
              </w:tc>
            </w:tr>
            <w:tr w14:paraId="12298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404" w:type="pct"/>
                </w:tcPr>
                <w:p w14:paraId="61324A90">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溶剂</w:t>
                  </w:r>
                </w:p>
              </w:tc>
              <w:tc>
                <w:tcPr>
                  <w:tcW w:w="408" w:type="pct"/>
                  <w:tcBorders>
                    <w:right w:val="single" w:color="000000" w:sz="4" w:space="0"/>
                  </w:tcBorders>
                </w:tcPr>
                <w:p w14:paraId="51E3E75F">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w:t>
                  </w:r>
                </w:p>
              </w:tc>
              <w:tc>
                <w:tcPr>
                  <w:tcW w:w="1475" w:type="pct"/>
                  <w:tcBorders>
                    <w:left w:val="single" w:color="000000" w:sz="4" w:space="0"/>
                  </w:tcBorders>
                </w:tcPr>
                <w:p w14:paraId="13C066C0">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过滤水</w:t>
                  </w:r>
                </w:p>
              </w:tc>
              <w:tc>
                <w:tcPr>
                  <w:tcW w:w="505" w:type="pct"/>
                </w:tcPr>
                <w:p w14:paraId="40D4363B">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37" w:type="pct"/>
                </w:tcPr>
                <w:p w14:paraId="78E49EEE">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1911</w:t>
                  </w:r>
                </w:p>
              </w:tc>
              <w:tc>
                <w:tcPr>
                  <w:tcW w:w="1669" w:type="pct"/>
                </w:tcPr>
                <w:p w14:paraId="5A3B47C2">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工业园区</w:t>
                  </w:r>
                </w:p>
              </w:tc>
            </w:tr>
            <w:tr w14:paraId="37624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restart"/>
                </w:tcPr>
                <w:p w14:paraId="11C543D5">
                  <w:pPr>
                    <w:pStyle w:val="41"/>
                    <w:keepNext w:val="0"/>
                    <w:keepLines w:val="0"/>
                    <w:suppressLineNumbers w:val="0"/>
                    <w:spacing w:before="0" w:beforeAutospacing="0" w:after="0" w:afterAutospacing="0"/>
                    <w:ind w:left="0" w:right="0"/>
                    <w:rPr>
                      <w:rFonts w:hint="default"/>
                      <w:color w:val="auto"/>
                      <w:sz w:val="20"/>
                    </w:rPr>
                  </w:pPr>
                </w:p>
                <w:p w14:paraId="1CC4DD91">
                  <w:pPr>
                    <w:pStyle w:val="41"/>
                    <w:keepNext w:val="0"/>
                    <w:keepLines w:val="0"/>
                    <w:suppressLineNumbers w:val="0"/>
                    <w:spacing w:before="0" w:beforeAutospacing="0" w:after="0" w:afterAutospacing="0"/>
                    <w:ind w:left="0" w:right="0"/>
                    <w:rPr>
                      <w:rFonts w:hint="default"/>
                      <w:color w:val="auto"/>
                      <w:sz w:val="20"/>
                    </w:rPr>
                  </w:pPr>
                </w:p>
                <w:p w14:paraId="49A02F2A">
                  <w:pPr>
                    <w:pStyle w:val="41"/>
                    <w:keepNext w:val="0"/>
                    <w:keepLines w:val="0"/>
                    <w:suppressLineNumbers w:val="0"/>
                    <w:spacing w:before="5" w:beforeAutospacing="0" w:after="0" w:afterAutospacing="0"/>
                    <w:ind w:left="0" w:right="0"/>
                    <w:rPr>
                      <w:rFonts w:hint="default"/>
                      <w:color w:val="auto"/>
                      <w:sz w:val="17"/>
                    </w:rPr>
                  </w:pPr>
                </w:p>
                <w:p w14:paraId="65604F2A">
                  <w:pPr>
                    <w:pStyle w:val="41"/>
                    <w:keepNext w:val="0"/>
                    <w:keepLines w:val="0"/>
                    <w:suppressLineNumbers w:val="0"/>
                    <w:spacing w:before="1" w:beforeAutospacing="0" w:after="0" w:afterAutospacing="0"/>
                    <w:ind w:left="149" w:right="0"/>
                    <w:rPr>
                      <w:rFonts w:hint="default"/>
                      <w:color w:val="auto"/>
                      <w:sz w:val="21"/>
                    </w:rPr>
                  </w:pPr>
                  <w:r>
                    <w:rPr>
                      <w:rFonts w:hint="default"/>
                      <w:color w:val="auto"/>
                      <w:sz w:val="21"/>
                    </w:rPr>
                    <w:t>助剂</w:t>
                  </w:r>
                </w:p>
              </w:tc>
              <w:tc>
                <w:tcPr>
                  <w:tcW w:w="408" w:type="pct"/>
                  <w:tcBorders>
                    <w:right w:val="single" w:color="000000" w:sz="4" w:space="0"/>
                  </w:tcBorders>
                </w:tcPr>
                <w:p w14:paraId="4185D665">
                  <w:pPr>
                    <w:pStyle w:val="41"/>
                    <w:keepNext w:val="0"/>
                    <w:keepLines w:val="0"/>
                    <w:suppressLineNumbers w:val="0"/>
                    <w:spacing w:before="20" w:beforeAutospacing="0" w:after="0" w:afterAutospacing="0"/>
                    <w:ind w:left="13" w:right="0"/>
                    <w:jc w:val="center"/>
                    <w:rPr>
                      <w:rFonts w:hint="default" w:ascii="Times New Roman"/>
                      <w:color w:val="auto"/>
                      <w:sz w:val="21"/>
                    </w:rPr>
                  </w:pPr>
                  <w:r>
                    <w:rPr>
                      <w:rFonts w:hint="default" w:ascii="Times New Roman"/>
                      <w:color w:val="auto"/>
                      <w:w w:val="100"/>
                      <w:sz w:val="21"/>
                    </w:rPr>
                    <w:t>6</w:t>
                  </w:r>
                </w:p>
              </w:tc>
              <w:tc>
                <w:tcPr>
                  <w:tcW w:w="1475" w:type="pct"/>
                  <w:tcBorders>
                    <w:left w:val="single" w:color="000000" w:sz="4" w:space="0"/>
                  </w:tcBorders>
                </w:tcPr>
                <w:p w14:paraId="4A3B678C">
                  <w:pPr>
                    <w:pStyle w:val="41"/>
                    <w:keepNext w:val="0"/>
                    <w:keepLines w:val="0"/>
                    <w:suppressLineNumbers w:val="0"/>
                    <w:spacing w:before="40" w:beforeAutospacing="0" w:after="0" w:afterAutospacing="0"/>
                    <w:ind w:left="15" w:right="0"/>
                    <w:jc w:val="center"/>
                    <w:rPr>
                      <w:rFonts w:hint="default"/>
                      <w:color w:val="auto"/>
                      <w:sz w:val="21"/>
                    </w:rPr>
                  </w:pPr>
                  <w:r>
                    <w:rPr>
                      <w:rFonts w:hint="default"/>
                      <w:color w:val="auto"/>
                      <w:sz w:val="21"/>
                    </w:rPr>
                    <w:t>成膜助剂（十二碳酸酯）</w:t>
                  </w:r>
                </w:p>
              </w:tc>
              <w:tc>
                <w:tcPr>
                  <w:tcW w:w="505" w:type="pct"/>
                </w:tcPr>
                <w:p w14:paraId="72E87F39">
                  <w:pPr>
                    <w:pStyle w:val="41"/>
                    <w:keepNext w:val="0"/>
                    <w:keepLines w:val="0"/>
                    <w:suppressLineNumbers w:val="0"/>
                    <w:spacing w:before="2"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63665C75">
                  <w:pPr>
                    <w:pStyle w:val="41"/>
                    <w:keepNext w:val="0"/>
                    <w:keepLines w:val="0"/>
                    <w:suppressLineNumbers w:val="0"/>
                    <w:spacing w:before="40" w:beforeAutospacing="0" w:after="0" w:afterAutospacing="0"/>
                    <w:ind w:left="167" w:right="150"/>
                    <w:jc w:val="center"/>
                    <w:rPr>
                      <w:rFonts w:hint="default"/>
                      <w:color w:val="auto"/>
                      <w:sz w:val="21"/>
                    </w:rPr>
                  </w:pPr>
                  <w:r>
                    <w:rPr>
                      <w:rFonts w:hint="default"/>
                      <w:color w:val="auto"/>
                      <w:sz w:val="21"/>
                    </w:rPr>
                    <w:t>146</w:t>
                  </w:r>
                </w:p>
              </w:tc>
              <w:tc>
                <w:tcPr>
                  <w:tcW w:w="1669" w:type="pct"/>
                </w:tcPr>
                <w:p w14:paraId="777FB9FD">
                  <w:pPr>
                    <w:pStyle w:val="41"/>
                    <w:keepNext w:val="0"/>
                    <w:keepLines w:val="0"/>
                    <w:suppressLineNumbers w:val="0"/>
                    <w:spacing w:before="40" w:beforeAutospacing="0" w:after="0" w:afterAutospacing="0"/>
                    <w:ind w:left="1154" w:right="0"/>
                    <w:rPr>
                      <w:rFonts w:hint="default"/>
                      <w:color w:val="auto"/>
                      <w:sz w:val="21"/>
                    </w:rPr>
                  </w:pPr>
                  <w:r>
                    <w:rPr>
                      <w:rFonts w:hint="default"/>
                      <w:color w:val="auto"/>
                      <w:sz w:val="21"/>
                    </w:rPr>
                    <w:t>省内购买</w:t>
                  </w:r>
                </w:p>
              </w:tc>
            </w:tr>
            <w:tr w14:paraId="28165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04" w:type="pct"/>
                  <w:vMerge w:val="continue"/>
                  <w:tcBorders>
                    <w:top w:val="nil"/>
                  </w:tcBorders>
                </w:tcPr>
                <w:p w14:paraId="4C0DE507">
                  <w:pPr>
                    <w:keepNext w:val="0"/>
                    <w:keepLines w:val="0"/>
                    <w:suppressLineNumbers w:val="0"/>
                    <w:spacing w:before="0" w:beforeAutospacing="0" w:after="0" w:afterAutospacing="0"/>
                    <w:ind w:left="0" w:right="0"/>
                    <w:rPr>
                      <w:rFonts w:hint="default"/>
                      <w:color w:val="auto"/>
                      <w:sz w:val="2"/>
                      <w:szCs w:val="2"/>
                    </w:rPr>
                  </w:pPr>
                </w:p>
              </w:tc>
              <w:tc>
                <w:tcPr>
                  <w:tcW w:w="408" w:type="pct"/>
                  <w:tcBorders>
                    <w:right w:val="single" w:color="000000" w:sz="4" w:space="0"/>
                  </w:tcBorders>
                </w:tcPr>
                <w:p w14:paraId="368332A9">
                  <w:pPr>
                    <w:pStyle w:val="41"/>
                    <w:keepNext w:val="0"/>
                    <w:keepLines w:val="0"/>
                    <w:suppressLineNumbers w:val="0"/>
                    <w:spacing w:before="21" w:beforeAutospacing="0" w:after="0" w:afterAutospacing="0"/>
                    <w:ind w:left="13" w:right="0"/>
                    <w:jc w:val="center"/>
                    <w:rPr>
                      <w:rFonts w:hint="default" w:ascii="Times New Roman"/>
                      <w:color w:val="auto"/>
                      <w:sz w:val="21"/>
                    </w:rPr>
                  </w:pPr>
                  <w:r>
                    <w:rPr>
                      <w:rFonts w:hint="default" w:ascii="Times New Roman"/>
                      <w:color w:val="auto"/>
                      <w:w w:val="100"/>
                      <w:sz w:val="21"/>
                    </w:rPr>
                    <w:t>7</w:t>
                  </w:r>
                </w:p>
              </w:tc>
              <w:tc>
                <w:tcPr>
                  <w:tcW w:w="1475" w:type="pct"/>
                  <w:tcBorders>
                    <w:left w:val="single" w:color="000000" w:sz="4" w:space="0"/>
                  </w:tcBorders>
                </w:tcPr>
                <w:p w14:paraId="340FBD7F">
                  <w:pPr>
                    <w:pStyle w:val="41"/>
                    <w:keepNext w:val="0"/>
                    <w:keepLines w:val="0"/>
                    <w:suppressLineNumbers w:val="0"/>
                    <w:spacing w:before="41" w:beforeAutospacing="0" w:after="0" w:afterAutospacing="0"/>
                    <w:ind w:left="10" w:right="0"/>
                    <w:jc w:val="center"/>
                    <w:rPr>
                      <w:rFonts w:hint="default"/>
                      <w:color w:val="auto"/>
                      <w:sz w:val="21"/>
                    </w:rPr>
                  </w:pPr>
                  <w:r>
                    <w:rPr>
                      <w:rFonts w:hint="default"/>
                      <w:color w:val="auto"/>
                      <w:sz w:val="21"/>
                    </w:rPr>
                    <w:t>增稠剂（羟乙基纤维素）</w:t>
                  </w:r>
                </w:p>
              </w:tc>
              <w:tc>
                <w:tcPr>
                  <w:tcW w:w="505" w:type="pct"/>
                </w:tcPr>
                <w:p w14:paraId="36A3F7A7">
                  <w:pPr>
                    <w:pStyle w:val="41"/>
                    <w:keepNext w:val="0"/>
                    <w:keepLines w:val="0"/>
                    <w:suppressLineNumbers w:val="0"/>
                    <w:spacing w:before="2"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0BAF6E92">
                  <w:pPr>
                    <w:pStyle w:val="41"/>
                    <w:keepNext w:val="0"/>
                    <w:keepLines w:val="0"/>
                    <w:suppressLineNumbers w:val="0"/>
                    <w:spacing w:before="41" w:beforeAutospacing="0" w:after="0" w:afterAutospacing="0"/>
                    <w:ind w:left="167" w:right="150"/>
                    <w:jc w:val="center"/>
                    <w:rPr>
                      <w:rFonts w:hint="default"/>
                      <w:color w:val="auto"/>
                      <w:sz w:val="21"/>
                    </w:rPr>
                  </w:pPr>
                  <w:r>
                    <w:rPr>
                      <w:rFonts w:hint="default"/>
                      <w:color w:val="auto"/>
                      <w:sz w:val="21"/>
                    </w:rPr>
                    <w:t>27</w:t>
                  </w:r>
                </w:p>
              </w:tc>
              <w:tc>
                <w:tcPr>
                  <w:tcW w:w="1669" w:type="pct"/>
                </w:tcPr>
                <w:p w14:paraId="67BEEE32">
                  <w:pPr>
                    <w:pStyle w:val="41"/>
                    <w:keepNext w:val="0"/>
                    <w:keepLines w:val="0"/>
                    <w:suppressLineNumbers w:val="0"/>
                    <w:spacing w:before="2" w:beforeAutospacing="0" w:after="0" w:afterAutospacing="0"/>
                    <w:ind w:left="1111" w:right="0"/>
                    <w:rPr>
                      <w:rFonts w:hint="default"/>
                      <w:color w:val="auto"/>
                      <w:sz w:val="21"/>
                    </w:rPr>
                  </w:pPr>
                  <w:r>
                    <w:rPr>
                      <w:rFonts w:hint="default"/>
                      <w:color w:val="auto"/>
                      <w:sz w:val="21"/>
                    </w:rPr>
                    <w:t>省内购买</w:t>
                  </w:r>
                </w:p>
              </w:tc>
            </w:tr>
            <w:tr w14:paraId="2234F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continue"/>
                  <w:tcBorders>
                    <w:top w:val="nil"/>
                  </w:tcBorders>
                </w:tcPr>
                <w:p w14:paraId="4E314656">
                  <w:pPr>
                    <w:keepNext w:val="0"/>
                    <w:keepLines w:val="0"/>
                    <w:suppressLineNumbers w:val="0"/>
                    <w:spacing w:before="0" w:beforeAutospacing="0" w:after="0" w:afterAutospacing="0"/>
                    <w:ind w:left="0" w:right="0"/>
                    <w:rPr>
                      <w:rFonts w:hint="default"/>
                      <w:color w:val="auto"/>
                      <w:sz w:val="2"/>
                      <w:szCs w:val="2"/>
                    </w:rPr>
                  </w:pPr>
                </w:p>
              </w:tc>
              <w:tc>
                <w:tcPr>
                  <w:tcW w:w="408" w:type="pct"/>
                  <w:tcBorders>
                    <w:right w:val="single" w:color="000000" w:sz="4" w:space="0"/>
                  </w:tcBorders>
                </w:tcPr>
                <w:p w14:paraId="3697B480">
                  <w:pPr>
                    <w:pStyle w:val="41"/>
                    <w:keepNext w:val="0"/>
                    <w:keepLines w:val="0"/>
                    <w:suppressLineNumbers w:val="0"/>
                    <w:spacing w:before="22" w:beforeAutospacing="0" w:after="0" w:afterAutospacing="0"/>
                    <w:ind w:left="13" w:right="0"/>
                    <w:jc w:val="center"/>
                    <w:rPr>
                      <w:rFonts w:hint="default" w:ascii="Times New Roman"/>
                      <w:color w:val="auto"/>
                      <w:sz w:val="21"/>
                    </w:rPr>
                  </w:pPr>
                  <w:r>
                    <w:rPr>
                      <w:rFonts w:hint="default" w:ascii="Times New Roman"/>
                      <w:color w:val="auto"/>
                      <w:w w:val="100"/>
                      <w:sz w:val="21"/>
                    </w:rPr>
                    <w:t>8</w:t>
                  </w:r>
                </w:p>
              </w:tc>
              <w:tc>
                <w:tcPr>
                  <w:tcW w:w="1475" w:type="pct"/>
                  <w:tcBorders>
                    <w:left w:val="single" w:color="000000" w:sz="4" w:space="0"/>
                  </w:tcBorders>
                </w:tcPr>
                <w:p w14:paraId="033E42CE">
                  <w:pPr>
                    <w:pStyle w:val="41"/>
                    <w:keepNext w:val="0"/>
                    <w:keepLines w:val="0"/>
                    <w:suppressLineNumbers w:val="0"/>
                    <w:spacing w:before="41" w:beforeAutospacing="0" w:after="0" w:afterAutospacing="0"/>
                    <w:ind w:left="20" w:right="0"/>
                    <w:jc w:val="center"/>
                    <w:rPr>
                      <w:rFonts w:hint="default"/>
                      <w:color w:val="auto"/>
                      <w:sz w:val="21"/>
                    </w:rPr>
                  </w:pPr>
                  <w:r>
                    <w:rPr>
                      <w:rFonts w:hint="default"/>
                      <w:color w:val="auto"/>
                      <w:sz w:val="21"/>
                    </w:rPr>
                    <w:t>阻聚剂（氨水 25%）</w:t>
                  </w:r>
                </w:p>
              </w:tc>
              <w:tc>
                <w:tcPr>
                  <w:tcW w:w="505" w:type="pct"/>
                </w:tcPr>
                <w:p w14:paraId="61582CFC">
                  <w:pPr>
                    <w:pStyle w:val="41"/>
                    <w:keepNext w:val="0"/>
                    <w:keepLines w:val="0"/>
                    <w:suppressLineNumbers w:val="0"/>
                    <w:spacing w:before="3"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072E85FE">
                  <w:pPr>
                    <w:pStyle w:val="41"/>
                    <w:keepNext w:val="0"/>
                    <w:keepLines w:val="0"/>
                    <w:suppressLineNumbers w:val="0"/>
                    <w:spacing w:before="41" w:beforeAutospacing="0" w:after="0" w:afterAutospacing="0"/>
                    <w:ind w:left="167" w:right="150"/>
                    <w:jc w:val="center"/>
                    <w:rPr>
                      <w:rFonts w:hint="default"/>
                      <w:color w:val="auto"/>
                      <w:sz w:val="21"/>
                    </w:rPr>
                  </w:pPr>
                  <w:r>
                    <w:rPr>
                      <w:rFonts w:hint="default"/>
                      <w:color w:val="auto"/>
                      <w:sz w:val="21"/>
                    </w:rPr>
                    <w:t>14</w:t>
                  </w:r>
                </w:p>
              </w:tc>
              <w:tc>
                <w:tcPr>
                  <w:tcW w:w="1669" w:type="pct"/>
                </w:tcPr>
                <w:p w14:paraId="4EF1BCEA">
                  <w:pPr>
                    <w:pStyle w:val="41"/>
                    <w:keepNext w:val="0"/>
                    <w:keepLines w:val="0"/>
                    <w:suppressLineNumbers w:val="0"/>
                    <w:spacing w:before="3" w:beforeAutospacing="0" w:after="0" w:afterAutospacing="0"/>
                    <w:ind w:left="1111" w:right="0"/>
                    <w:rPr>
                      <w:rFonts w:hint="default"/>
                      <w:color w:val="auto"/>
                      <w:sz w:val="21"/>
                    </w:rPr>
                  </w:pPr>
                  <w:r>
                    <w:rPr>
                      <w:rFonts w:hint="default"/>
                      <w:color w:val="auto"/>
                      <w:sz w:val="21"/>
                    </w:rPr>
                    <w:t>省内购买</w:t>
                  </w:r>
                </w:p>
              </w:tc>
            </w:tr>
            <w:tr w14:paraId="3A6E7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04" w:type="pct"/>
                  <w:vMerge w:val="continue"/>
                  <w:tcBorders>
                    <w:top w:val="nil"/>
                  </w:tcBorders>
                </w:tcPr>
                <w:p w14:paraId="7E192B01">
                  <w:pPr>
                    <w:keepNext w:val="0"/>
                    <w:keepLines w:val="0"/>
                    <w:suppressLineNumbers w:val="0"/>
                    <w:spacing w:before="0" w:beforeAutospacing="0" w:after="0" w:afterAutospacing="0"/>
                    <w:ind w:left="0" w:right="0"/>
                    <w:rPr>
                      <w:rFonts w:hint="default"/>
                      <w:color w:val="auto"/>
                      <w:sz w:val="2"/>
                      <w:szCs w:val="2"/>
                    </w:rPr>
                  </w:pPr>
                </w:p>
              </w:tc>
              <w:tc>
                <w:tcPr>
                  <w:tcW w:w="408" w:type="pct"/>
                  <w:tcBorders>
                    <w:right w:val="single" w:color="000000" w:sz="4" w:space="0"/>
                  </w:tcBorders>
                </w:tcPr>
                <w:p w14:paraId="61761309">
                  <w:pPr>
                    <w:pStyle w:val="41"/>
                    <w:keepNext w:val="0"/>
                    <w:keepLines w:val="0"/>
                    <w:suppressLineNumbers w:val="0"/>
                    <w:spacing w:before="22" w:beforeAutospacing="0" w:after="0" w:afterAutospacing="0"/>
                    <w:ind w:left="13" w:right="0"/>
                    <w:jc w:val="center"/>
                    <w:rPr>
                      <w:rFonts w:hint="default" w:ascii="Times New Roman"/>
                      <w:color w:val="auto"/>
                      <w:sz w:val="21"/>
                    </w:rPr>
                  </w:pPr>
                  <w:r>
                    <w:rPr>
                      <w:rFonts w:hint="default" w:ascii="Times New Roman"/>
                      <w:color w:val="auto"/>
                      <w:w w:val="100"/>
                      <w:sz w:val="21"/>
                    </w:rPr>
                    <w:t>9</w:t>
                  </w:r>
                </w:p>
              </w:tc>
              <w:tc>
                <w:tcPr>
                  <w:tcW w:w="1475" w:type="pct"/>
                  <w:tcBorders>
                    <w:left w:val="single" w:color="000000" w:sz="4" w:space="0"/>
                  </w:tcBorders>
                </w:tcPr>
                <w:p w14:paraId="60A5E214">
                  <w:pPr>
                    <w:pStyle w:val="41"/>
                    <w:keepNext w:val="0"/>
                    <w:keepLines w:val="0"/>
                    <w:suppressLineNumbers w:val="0"/>
                    <w:spacing w:before="42" w:beforeAutospacing="0" w:after="0" w:afterAutospacing="0"/>
                    <w:ind w:left="10" w:right="0"/>
                    <w:jc w:val="center"/>
                    <w:rPr>
                      <w:rFonts w:hint="default"/>
                      <w:color w:val="auto"/>
                      <w:sz w:val="21"/>
                    </w:rPr>
                  </w:pPr>
                  <w:r>
                    <w:rPr>
                      <w:rFonts w:hint="default"/>
                      <w:color w:val="auto"/>
                      <w:sz w:val="21"/>
                    </w:rPr>
                    <w:t>分散剂（聚丙烯酸钠盐）</w:t>
                  </w:r>
                </w:p>
              </w:tc>
              <w:tc>
                <w:tcPr>
                  <w:tcW w:w="505" w:type="pct"/>
                </w:tcPr>
                <w:p w14:paraId="0794A343">
                  <w:pPr>
                    <w:pStyle w:val="41"/>
                    <w:keepNext w:val="0"/>
                    <w:keepLines w:val="0"/>
                    <w:suppressLineNumbers w:val="0"/>
                    <w:spacing w:before="3"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5D3A9FA6">
                  <w:pPr>
                    <w:pStyle w:val="41"/>
                    <w:keepNext w:val="0"/>
                    <w:keepLines w:val="0"/>
                    <w:suppressLineNumbers w:val="0"/>
                    <w:spacing w:before="42" w:beforeAutospacing="0" w:after="0" w:afterAutospacing="0"/>
                    <w:ind w:left="167" w:right="150"/>
                    <w:jc w:val="center"/>
                    <w:rPr>
                      <w:rFonts w:hint="default"/>
                      <w:color w:val="auto"/>
                      <w:sz w:val="21"/>
                    </w:rPr>
                  </w:pPr>
                  <w:r>
                    <w:rPr>
                      <w:rFonts w:hint="default"/>
                      <w:color w:val="auto"/>
                      <w:sz w:val="21"/>
                    </w:rPr>
                    <w:t>40</w:t>
                  </w:r>
                </w:p>
              </w:tc>
              <w:tc>
                <w:tcPr>
                  <w:tcW w:w="1669" w:type="pct"/>
                </w:tcPr>
                <w:p w14:paraId="4F70931B">
                  <w:pPr>
                    <w:pStyle w:val="41"/>
                    <w:keepNext w:val="0"/>
                    <w:keepLines w:val="0"/>
                    <w:suppressLineNumbers w:val="0"/>
                    <w:spacing w:before="42" w:beforeAutospacing="0" w:after="0" w:afterAutospacing="0"/>
                    <w:ind w:left="1154" w:right="0"/>
                    <w:rPr>
                      <w:rFonts w:hint="default"/>
                      <w:color w:val="auto"/>
                      <w:sz w:val="21"/>
                    </w:rPr>
                  </w:pPr>
                  <w:r>
                    <w:rPr>
                      <w:rFonts w:hint="default"/>
                      <w:color w:val="auto"/>
                      <w:sz w:val="21"/>
                    </w:rPr>
                    <w:t>省内购买</w:t>
                  </w:r>
                </w:p>
              </w:tc>
            </w:tr>
            <w:tr w14:paraId="563C4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continue"/>
                  <w:tcBorders>
                    <w:top w:val="nil"/>
                  </w:tcBorders>
                </w:tcPr>
                <w:p w14:paraId="665890C9">
                  <w:pPr>
                    <w:keepNext w:val="0"/>
                    <w:keepLines w:val="0"/>
                    <w:suppressLineNumbers w:val="0"/>
                    <w:spacing w:before="0" w:beforeAutospacing="0" w:after="0" w:afterAutospacing="0"/>
                    <w:ind w:left="0" w:right="0"/>
                    <w:rPr>
                      <w:rFonts w:hint="default"/>
                      <w:color w:val="auto"/>
                      <w:sz w:val="2"/>
                      <w:szCs w:val="2"/>
                    </w:rPr>
                  </w:pPr>
                </w:p>
              </w:tc>
              <w:tc>
                <w:tcPr>
                  <w:tcW w:w="408" w:type="pct"/>
                  <w:tcBorders>
                    <w:right w:val="single" w:color="000000" w:sz="4" w:space="0"/>
                  </w:tcBorders>
                </w:tcPr>
                <w:p w14:paraId="2DC66A88">
                  <w:pPr>
                    <w:pStyle w:val="41"/>
                    <w:keepNext w:val="0"/>
                    <w:keepLines w:val="0"/>
                    <w:suppressLineNumbers w:val="0"/>
                    <w:spacing w:before="18" w:beforeAutospacing="0" w:after="0" w:afterAutospacing="0"/>
                    <w:ind w:left="128" w:right="116"/>
                    <w:jc w:val="center"/>
                    <w:rPr>
                      <w:rFonts w:hint="default" w:ascii="Times New Roman"/>
                      <w:color w:val="auto"/>
                      <w:sz w:val="21"/>
                    </w:rPr>
                  </w:pPr>
                  <w:r>
                    <w:rPr>
                      <w:rFonts w:hint="default" w:ascii="Times New Roman"/>
                      <w:color w:val="auto"/>
                      <w:sz w:val="21"/>
                    </w:rPr>
                    <w:t>10</w:t>
                  </w:r>
                </w:p>
              </w:tc>
              <w:tc>
                <w:tcPr>
                  <w:tcW w:w="1475" w:type="pct"/>
                  <w:tcBorders>
                    <w:left w:val="single" w:color="000000" w:sz="4" w:space="0"/>
                  </w:tcBorders>
                </w:tcPr>
                <w:p w14:paraId="5490348F">
                  <w:pPr>
                    <w:pStyle w:val="41"/>
                    <w:keepNext w:val="0"/>
                    <w:keepLines w:val="0"/>
                    <w:suppressLineNumbers w:val="0"/>
                    <w:spacing w:before="42" w:beforeAutospacing="0" w:after="0" w:afterAutospacing="0"/>
                    <w:ind w:left="15" w:right="0"/>
                    <w:jc w:val="center"/>
                    <w:rPr>
                      <w:rFonts w:hint="default"/>
                      <w:color w:val="auto"/>
                      <w:sz w:val="21"/>
                    </w:rPr>
                  </w:pPr>
                  <w:r>
                    <w:rPr>
                      <w:rFonts w:hint="default"/>
                      <w:color w:val="auto"/>
                      <w:sz w:val="21"/>
                    </w:rPr>
                    <w:t>防冻剂（丙二醇）</w:t>
                  </w:r>
                </w:p>
              </w:tc>
              <w:tc>
                <w:tcPr>
                  <w:tcW w:w="505" w:type="pct"/>
                </w:tcPr>
                <w:p w14:paraId="6C1D777F">
                  <w:pPr>
                    <w:pStyle w:val="41"/>
                    <w:keepNext w:val="0"/>
                    <w:keepLines w:val="0"/>
                    <w:suppressLineNumbers w:val="0"/>
                    <w:spacing w:before="4"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6C0837A1">
                  <w:pPr>
                    <w:pStyle w:val="41"/>
                    <w:keepNext w:val="0"/>
                    <w:keepLines w:val="0"/>
                    <w:suppressLineNumbers w:val="0"/>
                    <w:spacing w:before="42" w:beforeAutospacing="0" w:after="0" w:afterAutospacing="0"/>
                    <w:ind w:left="167" w:right="150"/>
                    <w:jc w:val="center"/>
                    <w:rPr>
                      <w:rFonts w:hint="default"/>
                      <w:color w:val="auto"/>
                      <w:sz w:val="21"/>
                    </w:rPr>
                  </w:pPr>
                  <w:r>
                    <w:rPr>
                      <w:rFonts w:hint="default"/>
                      <w:color w:val="auto"/>
                      <w:sz w:val="21"/>
                    </w:rPr>
                    <w:t>146</w:t>
                  </w:r>
                </w:p>
              </w:tc>
              <w:tc>
                <w:tcPr>
                  <w:tcW w:w="1669" w:type="pct"/>
                </w:tcPr>
                <w:p w14:paraId="7244585D">
                  <w:pPr>
                    <w:pStyle w:val="41"/>
                    <w:keepNext w:val="0"/>
                    <w:keepLines w:val="0"/>
                    <w:suppressLineNumbers w:val="0"/>
                    <w:spacing w:before="42" w:beforeAutospacing="0" w:after="0" w:afterAutospacing="0"/>
                    <w:ind w:left="1154" w:right="0"/>
                    <w:rPr>
                      <w:rFonts w:hint="default"/>
                      <w:color w:val="auto"/>
                      <w:sz w:val="21"/>
                    </w:rPr>
                  </w:pPr>
                  <w:r>
                    <w:rPr>
                      <w:rFonts w:hint="default"/>
                      <w:color w:val="auto"/>
                      <w:sz w:val="21"/>
                    </w:rPr>
                    <w:t>省内购买</w:t>
                  </w:r>
                </w:p>
              </w:tc>
            </w:tr>
            <w:tr w14:paraId="5453D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restart"/>
                </w:tcPr>
                <w:p w14:paraId="234BE160">
                  <w:pPr>
                    <w:pStyle w:val="41"/>
                    <w:keepNext w:val="0"/>
                    <w:keepLines w:val="0"/>
                    <w:suppressLineNumbers w:val="0"/>
                    <w:spacing w:before="10" w:beforeAutospacing="0" w:after="0" w:afterAutospacing="0"/>
                    <w:ind w:left="0" w:right="0"/>
                    <w:rPr>
                      <w:rFonts w:hint="default"/>
                      <w:color w:val="auto"/>
                      <w:sz w:val="28"/>
                    </w:rPr>
                  </w:pPr>
                </w:p>
                <w:p w14:paraId="12EC5A0F">
                  <w:pPr>
                    <w:pStyle w:val="41"/>
                    <w:keepNext w:val="0"/>
                    <w:keepLines w:val="0"/>
                    <w:suppressLineNumbers w:val="0"/>
                    <w:spacing w:before="1" w:beforeAutospacing="0" w:after="0" w:afterAutospacing="0"/>
                    <w:ind w:left="149" w:right="0"/>
                    <w:rPr>
                      <w:rFonts w:hint="default"/>
                      <w:color w:val="auto"/>
                      <w:sz w:val="21"/>
                    </w:rPr>
                  </w:pPr>
                  <w:r>
                    <w:rPr>
                      <w:rFonts w:hint="default"/>
                      <w:color w:val="auto"/>
                      <w:sz w:val="21"/>
                    </w:rPr>
                    <w:t>色浆</w:t>
                  </w:r>
                </w:p>
              </w:tc>
              <w:tc>
                <w:tcPr>
                  <w:tcW w:w="408" w:type="pct"/>
                  <w:tcBorders>
                    <w:right w:val="single" w:color="000000" w:sz="4" w:space="0"/>
                  </w:tcBorders>
                </w:tcPr>
                <w:p w14:paraId="1E7B6E51">
                  <w:pPr>
                    <w:pStyle w:val="41"/>
                    <w:keepNext w:val="0"/>
                    <w:keepLines w:val="0"/>
                    <w:suppressLineNumbers w:val="0"/>
                    <w:spacing w:before="19" w:beforeAutospacing="0" w:after="0" w:afterAutospacing="0"/>
                    <w:ind w:left="128" w:right="111"/>
                    <w:jc w:val="center"/>
                    <w:rPr>
                      <w:rFonts w:hint="default" w:ascii="Times New Roman"/>
                      <w:color w:val="auto"/>
                      <w:sz w:val="21"/>
                    </w:rPr>
                  </w:pPr>
                  <w:r>
                    <w:rPr>
                      <w:rFonts w:hint="default" w:ascii="Times New Roman"/>
                      <w:color w:val="auto"/>
                      <w:sz w:val="21"/>
                    </w:rPr>
                    <w:t>11</w:t>
                  </w:r>
                </w:p>
              </w:tc>
              <w:tc>
                <w:tcPr>
                  <w:tcW w:w="1475" w:type="pct"/>
                  <w:tcBorders>
                    <w:left w:val="single" w:color="000000" w:sz="4" w:space="0"/>
                  </w:tcBorders>
                </w:tcPr>
                <w:p w14:paraId="0902CC63">
                  <w:pPr>
                    <w:pStyle w:val="41"/>
                    <w:keepNext w:val="0"/>
                    <w:keepLines w:val="0"/>
                    <w:suppressLineNumbers w:val="0"/>
                    <w:spacing w:before="43" w:beforeAutospacing="0" w:after="0" w:afterAutospacing="0"/>
                    <w:ind w:left="15" w:right="0"/>
                    <w:jc w:val="center"/>
                    <w:rPr>
                      <w:rFonts w:hint="default"/>
                      <w:color w:val="auto"/>
                      <w:sz w:val="21"/>
                    </w:rPr>
                  </w:pPr>
                  <w:r>
                    <w:rPr>
                      <w:rFonts w:hint="default"/>
                      <w:color w:val="auto"/>
                      <w:sz w:val="21"/>
                    </w:rPr>
                    <w:t>铁红</w:t>
                  </w:r>
                </w:p>
              </w:tc>
              <w:tc>
                <w:tcPr>
                  <w:tcW w:w="505" w:type="pct"/>
                </w:tcPr>
                <w:p w14:paraId="5FEA3222">
                  <w:pPr>
                    <w:pStyle w:val="41"/>
                    <w:keepNext w:val="0"/>
                    <w:keepLines w:val="0"/>
                    <w:suppressLineNumbers w:val="0"/>
                    <w:spacing w:before="0"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4A4C4A1C">
                  <w:pPr>
                    <w:pStyle w:val="41"/>
                    <w:keepNext w:val="0"/>
                    <w:keepLines w:val="0"/>
                    <w:suppressLineNumbers w:val="0"/>
                    <w:spacing w:before="43" w:beforeAutospacing="0" w:after="0" w:afterAutospacing="0"/>
                    <w:ind w:left="17" w:right="0"/>
                    <w:jc w:val="center"/>
                    <w:rPr>
                      <w:rFonts w:hint="default"/>
                      <w:color w:val="auto"/>
                      <w:sz w:val="21"/>
                    </w:rPr>
                  </w:pPr>
                  <w:r>
                    <w:rPr>
                      <w:rFonts w:hint="default"/>
                      <w:color w:val="auto"/>
                      <w:w w:val="100"/>
                      <w:sz w:val="21"/>
                    </w:rPr>
                    <w:t>1</w:t>
                  </w:r>
                </w:p>
              </w:tc>
              <w:tc>
                <w:tcPr>
                  <w:tcW w:w="1669" w:type="pct"/>
                </w:tcPr>
                <w:p w14:paraId="2822EC1A">
                  <w:pPr>
                    <w:pStyle w:val="41"/>
                    <w:keepNext w:val="0"/>
                    <w:keepLines w:val="0"/>
                    <w:suppressLineNumbers w:val="0"/>
                    <w:spacing w:before="43" w:beforeAutospacing="0" w:after="0" w:afterAutospacing="0"/>
                    <w:ind w:left="1053" w:right="0"/>
                    <w:rPr>
                      <w:rFonts w:hint="default"/>
                      <w:color w:val="auto"/>
                      <w:sz w:val="21"/>
                    </w:rPr>
                  </w:pPr>
                  <w:r>
                    <w:rPr>
                      <w:rFonts w:hint="default"/>
                      <w:color w:val="auto"/>
                      <w:sz w:val="21"/>
                    </w:rPr>
                    <w:t>成都厂提供</w:t>
                  </w:r>
                </w:p>
              </w:tc>
            </w:tr>
            <w:tr w14:paraId="60350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04" w:type="pct"/>
                  <w:vMerge w:val="continue"/>
                  <w:tcBorders>
                    <w:top w:val="nil"/>
                  </w:tcBorders>
                </w:tcPr>
                <w:p w14:paraId="0E6FC57A">
                  <w:pPr>
                    <w:keepNext w:val="0"/>
                    <w:keepLines w:val="0"/>
                    <w:suppressLineNumbers w:val="0"/>
                    <w:spacing w:before="0" w:beforeAutospacing="0" w:after="0" w:afterAutospacing="0"/>
                    <w:ind w:left="0" w:right="0"/>
                    <w:rPr>
                      <w:rFonts w:hint="default"/>
                      <w:color w:val="auto"/>
                      <w:sz w:val="2"/>
                      <w:szCs w:val="2"/>
                    </w:rPr>
                  </w:pPr>
                </w:p>
              </w:tc>
              <w:tc>
                <w:tcPr>
                  <w:tcW w:w="408" w:type="pct"/>
                  <w:tcBorders>
                    <w:right w:val="single" w:color="000000" w:sz="4" w:space="0"/>
                  </w:tcBorders>
                </w:tcPr>
                <w:p w14:paraId="34BC76B7">
                  <w:pPr>
                    <w:pStyle w:val="41"/>
                    <w:keepNext w:val="0"/>
                    <w:keepLines w:val="0"/>
                    <w:suppressLineNumbers w:val="0"/>
                    <w:spacing w:before="19" w:beforeAutospacing="0" w:after="0" w:afterAutospacing="0"/>
                    <w:ind w:left="128" w:right="116"/>
                    <w:jc w:val="center"/>
                    <w:rPr>
                      <w:rFonts w:hint="default" w:ascii="Times New Roman"/>
                      <w:color w:val="auto"/>
                      <w:sz w:val="21"/>
                    </w:rPr>
                  </w:pPr>
                  <w:r>
                    <w:rPr>
                      <w:rFonts w:hint="default" w:ascii="Times New Roman"/>
                      <w:color w:val="auto"/>
                      <w:sz w:val="21"/>
                    </w:rPr>
                    <w:t>12</w:t>
                  </w:r>
                </w:p>
              </w:tc>
              <w:tc>
                <w:tcPr>
                  <w:tcW w:w="1475" w:type="pct"/>
                  <w:tcBorders>
                    <w:left w:val="single" w:color="000000" w:sz="4" w:space="0"/>
                  </w:tcBorders>
                </w:tcPr>
                <w:p w14:paraId="2C0C1FBE">
                  <w:pPr>
                    <w:pStyle w:val="41"/>
                    <w:keepNext w:val="0"/>
                    <w:keepLines w:val="0"/>
                    <w:suppressLineNumbers w:val="0"/>
                    <w:spacing w:before="44" w:beforeAutospacing="0" w:after="0" w:afterAutospacing="0"/>
                    <w:ind w:left="15" w:right="0"/>
                    <w:jc w:val="center"/>
                    <w:rPr>
                      <w:rFonts w:hint="default"/>
                      <w:color w:val="auto"/>
                      <w:sz w:val="21"/>
                    </w:rPr>
                  </w:pPr>
                  <w:r>
                    <w:rPr>
                      <w:rFonts w:hint="default"/>
                      <w:color w:val="auto"/>
                      <w:sz w:val="21"/>
                    </w:rPr>
                    <w:t>铁黄</w:t>
                  </w:r>
                </w:p>
              </w:tc>
              <w:tc>
                <w:tcPr>
                  <w:tcW w:w="505" w:type="pct"/>
                </w:tcPr>
                <w:p w14:paraId="53DCC2C9">
                  <w:pPr>
                    <w:pStyle w:val="41"/>
                    <w:keepNext w:val="0"/>
                    <w:keepLines w:val="0"/>
                    <w:suppressLineNumbers w:val="0"/>
                    <w:spacing w:before="0"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4B6978B0">
                  <w:pPr>
                    <w:pStyle w:val="41"/>
                    <w:keepNext w:val="0"/>
                    <w:keepLines w:val="0"/>
                    <w:suppressLineNumbers w:val="0"/>
                    <w:spacing w:before="44" w:beforeAutospacing="0" w:after="0" w:afterAutospacing="0"/>
                    <w:ind w:left="167" w:right="150"/>
                    <w:jc w:val="center"/>
                    <w:rPr>
                      <w:rFonts w:hint="default"/>
                      <w:color w:val="auto"/>
                      <w:sz w:val="21"/>
                    </w:rPr>
                  </w:pPr>
                  <w:r>
                    <w:rPr>
                      <w:rFonts w:hint="default"/>
                      <w:color w:val="auto"/>
                      <w:sz w:val="21"/>
                    </w:rPr>
                    <w:t>24</w:t>
                  </w:r>
                </w:p>
              </w:tc>
              <w:tc>
                <w:tcPr>
                  <w:tcW w:w="1669" w:type="pct"/>
                </w:tcPr>
                <w:p w14:paraId="142C7B51">
                  <w:pPr>
                    <w:pStyle w:val="41"/>
                    <w:keepNext w:val="0"/>
                    <w:keepLines w:val="0"/>
                    <w:suppressLineNumbers w:val="0"/>
                    <w:spacing w:before="44" w:beforeAutospacing="0" w:after="0" w:afterAutospacing="0"/>
                    <w:ind w:left="1053" w:right="0"/>
                    <w:rPr>
                      <w:rFonts w:hint="default"/>
                      <w:color w:val="auto"/>
                      <w:sz w:val="21"/>
                    </w:rPr>
                  </w:pPr>
                  <w:r>
                    <w:rPr>
                      <w:rFonts w:hint="default"/>
                      <w:color w:val="auto"/>
                      <w:sz w:val="21"/>
                    </w:rPr>
                    <w:t>成都厂提供</w:t>
                  </w:r>
                </w:p>
              </w:tc>
            </w:tr>
            <w:tr w14:paraId="34BB6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continue"/>
                  <w:tcBorders>
                    <w:top w:val="nil"/>
                  </w:tcBorders>
                </w:tcPr>
                <w:p w14:paraId="4BB5D467">
                  <w:pPr>
                    <w:keepNext w:val="0"/>
                    <w:keepLines w:val="0"/>
                    <w:suppressLineNumbers w:val="0"/>
                    <w:spacing w:before="0" w:beforeAutospacing="0" w:after="0" w:afterAutospacing="0"/>
                    <w:ind w:left="0" w:right="0"/>
                    <w:rPr>
                      <w:rFonts w:hint="default"/>
                      <w:color w:val="auto"/>
                      <w:sz w:val="2"/>
                      <w:szCs w:val="2"/>
                    </w:rPr>
                  </w:pPr>
                </w:p>
              </w:tc>
              <w:tc>
                <w:tcPr>
                  <w:tcW w:w="408" w:type="pct"/>
                  <w:tcBorders>
                    <w:right w:val="single" w:color="000000" w:sz="4" w:space="0"/>
                  </w:tcBorders>
                </w:tcPr>
                <w:p w14:paraId="78838835">
                  <w:pPr>
                    <w:pStyle w:val="41"/>
                    <w:keepNext w:val="0"/>
                    <w:keepLines w:val="0"/>
                    <w:suppressLineNumbers w:val="0"/>
                    <w:spacing w:before="20" w:beforeAutospacing="0" w:after="0" w:afterAutospacing="0"/>
                    <w:ind w:left="128" w:right="116"/>
                    <w:jc w:val="center"/>
                    <w:rPr>
                      <w:rFonts w:hint="default" w:ascii="Times New Roman"/>
                      <w:color w:val="auto"/>
                      <w:sz w:val="21"/>
                    </w:rPr>
                  </w:pPr>
                  <w:r>
                    <w:rPr>
                      <w:rFonts w:hint="default" w:ascii="Times New Roman"/>
                      <w:color w:val="auto"/>
                      <w:sz w:val="21"/>
                    </w:rPr>
                    <w:t>13</w:t>
                  </w:r>
                </w:p>
              </w:tc>
              <w:tc>
                <w:tcPr>
                  <w:tcW w:w="1475" w:type="pct"/>
                  <w:tcBorders>
                    <w:left w:val="single" w:color="000000" w:sz="4" w:space="0"/>
                  </w:tcBorders>
                </w:tcPr>
                <w:p w14:paraId="14CF2AE1">
                  <w:pPr>
                    <w:pStyle w:val="41"/>
                    <w:keepNext w:val="0"/>
                    <w:keepLines w:val="0"/>
                    <w:suppressLineNumbers w:val="0"/>
                    <w:spacing w:before="44" w:beforeAutospacing="0" w:after="0" w:afterAutospacing="0"/>
                    <w:ind w:left="15" w:right="0"/>
                    <w:jc w:val="center"/>
                    <w:rPr>
                      <w:rFonts w:hint="default"/>
                      <w:color w:val="auto"/>
                      <w:sz w:val="21"/>
                    </w:rPr>
                  </w:pPr>
                  <w:r>
                    <w:rPr>
                      <w:rFonts w:hint="default"/>
                      <w:color w:val="auto"/>
                      <w:w w:val="100"/>
                      <w:sz w:val="21"/>
                    </w:rPr>
                    <w:t>黑</w:t>
                  </w:r>
                </w:p>
              </w:tc>
              <w:tc>
                <w:tcPr>
                  <w:tcW w:w="505" w:type="pct"/>
                </w:tcPr>
                <w:p w14:paraId="10975926">
                  <w:pPr>
                    <w:pStyle w:val="41"/>
                    <w:keepNext w:val="0"/>
                    <w:keepLines w:val="0"/>
                    <w:suppressLineNumbers w:val="0"/>
                    <w:spacing w:before="1"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4513FF61">
                  <w:pPr>
                    <w:pStyle w:val="41"/>
                    <w:keepNext w:val="0"/>
                    <w:keepLines w:val="0"/>
                    <w:suppressLineNumbers w:val="0"/>
                    <w:spacing w:before="44" w:beforeAutospacing="0" w:after="0" w:afterAutospacing="0"/>
                    <w:ind w:left="167" w:right="150"/>
                    <w:jc w:val="center"/>
                    <w:rPr>
                      <w:rFonts w:hint="default"/>
                      <w:color w:val="auto"/>
                      <w:sz w:val="21"/>
                    </w:rPr>
                  </w:pPr>
                  <w:r>
                    <w:rPr>
                      <w:rFonts w:hint="default"/>
                      <w:color w:val="auto"/>
                      <w:sz w:val="21"/>
                    </w:rPr>
                    <w:t>36</w:t>
                  </w:r>
                </w:p>
              </w:tc>
              <w:tc>
                <w:tcPr>
                  <w:tcW w:w="1669" w:type="pct"/>
                </w:tcPr>
                <w:p w14:paraId="78E8B960">
                  <w:pPr>
                    <w:pStyle w:val="41"/>
                    <w:keepNext w:val="0"/>
                    <w:keepLines w:val="0"/>
                    <w:suppressLineNumbers w:val="0"/>
                    <w:spacing w:before="44" w:beforeAutospacing="0" w:after="0" w:afterAutospacing="0"/>
                    <w:ind w:left="1053" w:right="0"/>
                    <w:rPr>
                      <w:rFonts w:hint="default"/>
                      <w:color w:val="auto"/>
                      <w:sz w:val="21"/>
                    </w:rPr>
                  </w:pPr>
                  <w:r>
                    <w:rPr>
                      <w:rFonts w:hint="default"/>
                      <w:color w:val="auto"/>
                      <w:sz w:val="21"/>
                    </w:rPr>
                    <w:t>成都厂提供</w:t>
                  </w:r>
                </w:p>
              </w:tc>
            </w:tr>
          </w:tbl>
          <w:p w14:paraId="31FF9AFF">
            <w:pPr>
              <w:keepNext w:val="0"/>
              <w:keepLines w:val="0"/>
              <w:suppressLineNumbers w:val="0"/>
              <w:spacing w:before="0" w:beforeAutospacing="0" w:after="0" w:afterAutospacing="0"/>
              <w:ind w:left="0" w:right="0"/>
              <w:jc w:val="center"/>
              <w:rPr>
                <w:rFonts w:hint="default"/>
                <w:b/>
                <w:bCs/>
                <w:color w:val="auto"/>
              </w:rPr>
            </w:pPr>
            <w:r>
              <w:rPr>
                <w:rFonts w:hint="default"/>
                <w:b/>
                <w:bCs/>
                <w:color w:val="auto"/>
              </w:rPr>
              <w:t xml:space="preserve">表 </w:t>
            </w:r>
            <w:r>
              <w:rPr>
                <w:rFonts w:hint="eastAsia"/>
                <w:b/>
                <w:bCs/>
                <w:color w:val="auto"/>
                <w:lang w:val="en-US" w:eastAsia="zh-CN"/>
              </w:rPr>
              <w:t>2-20</w:t>
            </w:r>
            <w:r>
              <w:rPr>
                <w:rFonts w:hint="default"/>
                <w:b/>
                <w:bCs/>
                <w:color w:val="auto"/>
              </w:rPr>
              <w:tab/>
            </w:r>
            <w:r>
              <w:rPr>
                <w:rFonts w:hint="default"/>
                <w:b/>
                <w:bCs/>
                <w:color w:val="auto"/>
              </w:rPr>
              <w:t>腻子粉系列产品原辅材料消耗表</w:t>
            </w:r>
          </w:p>
          <w:tbl>
            <w:tblPr>
              <w:tblStyle w:val="28"/>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88"/>
              <w:gridCol w:w="688"/>
              <w:gridCol w:w="2467"/>
              <w:gridCol w:w="849"/>
              <w:gridCol w:w="886"/>
              <w:gridCol w:w="2792"/>
            </w:tblGrid>
            <w:tr w14:paraId="02CC6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11" w:type="pct"/>
                  <w:shd w:val="clear" w:color="auto" w:fill="F1F1F1"/>
                </w:tcPr>
                <w:p w14:paraId="0E52CD73">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种类</w:t>
                  </w:r>
                </w:p>
              </w:tc>
              <w:tc>
                <w:tcPr>
                  <w:tcW w:w="411" w:type="pct"/>
                  <w:tcBorders>
                    <w:right w:val="single" w:color="000000" w:sz="4" w:space="0"/>
                  </w:tcBorders>
                  <w:shd w:val="clear" w:color="auto" w:fill="F1F1F1"/>
                </w:tcPr>
                <w:p w14:paraId="36F6DFF0">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473" w:type="pct"/>
                  <w:tcBorders>
                    <w:left w:val="single" w:color="000000" w:sz="4" w:space="0"/>
                  </w:tcBorders>
                  <w:shd w:val="clear" w:color="auto" w:fill="F1F1F1"/>
                </w:tcPr>
                <w:p w14:paraId="42680859">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名</w:t>
                  </w:r>
                  <w:r>
                    <w:rPr>
                      <w:rFonts w:hint="default" w:ascii="Times New Roman" w:hAnsi="Times New Roman" w:eastAsia="宋体" w:cs="Times New Roman"/>
                      <w:color w:val="auto"/>
                      <w:sz w:val="21"/>
                    </w:rPr>
                    <w:tab/>
                  </w:r>
                  <w:r>
                    <w:rPr>
                      <w:rFonts w:hint="default" w:ascii="Times New Roman" w:hAnsi="Times New Roman" w:eastAsia="宋体" w:cs="Times New Roman"/>
                      <w:color w:val="auto"/>
                      <w:sz w:val="21"/>
                    </w:rPr>
                    <w:t>称</w:t>
                  </w:r>
                </w:p>
              </w:tc>
              <w:tc>
                <w:tcPr>
                  <w:tcW w:w="507" w:type="pct"/>
                  <w:shd w:val="clear" w:color="auto" w:fill="F1F1F1"/>
                </w:tcPr>
                <w:p w14:paraId="43881E15">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单 位</w:t>
                  </w:r>
                </w:p>
              </w:tc>
              <w:tc>
                <w:tcPr>
                  <w:tcW w:w="529" w:type="pct"/>
                  <w:shd w:val="clear" w:color="auto" w:fill="F1F1F1"/>
                </w:tcPr>
                <w:p w14:paraId="7E02FF78">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数量</w:t>
                  </w:r>
                </w:p>
              </w:tc>
              <w:tc>
                <w:tcPr>
                  <w:tcW w:w="1666" w:type="pct"/>
                  <w:shd w:val="clear" w:color="auto" w:fill="F1F1F1"/>
                </w:tcPr>
                <w:p w14:paraId="0244122A">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来源</w:t>
                  </w:r>
                </w:p>
              </w:tc>
            </w:tr>
            <w:tr w14:paraId="35F3E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11" w:type="pct"/>
                  <w:vMerge w:val="restart"/>
                </w:tcPr>
                <w:p w14:paraId="71C4B6DA">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p>
                <w:p w14:paraId="03D8DB0B">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p>
                <w:p w14:paraId="70F27290">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原料</w:t>
                  </w:r>
                </w:p>
              </w:tc>
              <w:tc>
                <w:tcPr>
                  <w:tcW w:w="411" w:type="pct"/>
                  <w:tcBorders>
                    <w:right w:val="single" w:color="000000" w:sz="4" w:space="0"/>
                  </w:tcBorders>
                </w:tcPr>
                <w:p w14:paraId="1F1F9624">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473" w:type="pct"/>
                  <w:tcBorders>
                    <w:left w:val="single" w:color="000000" w:sz="4" w:space="0"/>
                  </w:tcBorders>
                </w:tcPr>
                <w:p w14:paraId="629D8444">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水泥</w:t>
                  </w:r>
                </w:p>
              </w:tc>
              <w:tc>
                <w:tcPr>
                  <w:tcW w:w="507" w:type="pct"/>
                </w:tcPr>
                <w:p w14:paraId="0D64365C">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29" w:type="pct"/>
                </w:tcPr>
                <w:p w14:paraId="5142A82D">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5289</w:t>
                  </w:r>
                </w:p>
              </w:tc>
              <w:tc>
                <w:tcPr>
                  <w:tcW w:w="1666" w:type="pct"/>
                </w:tcPr>
                <w:p w14:paraId="534D68A0">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2C6EA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atLeast"/>
              </w:trPr>
              <w:tc>
                <w:tcPr>
                  <w:tcW w:w="411" w:type="pct"/>
                  <w:vMerge w:val="continue"/>
                  <w:tcBorders>
                    <w:top w:val="nil"/>
                  </w:tcBorders>
                </w:tcPr>
                <w:p w14:paraId="1AF95FA0">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p>
              </w:tc>
              <w:tc>
                <w:tcPr>
                  <w:tcW w:w="411" w:type="pct"/>
                  <w:tcBorders>
                    <w:right w:val="single" w:color="000000" w:sz="4" w:space="0"/>
                  </w:tcBorders>
                </w:tcPr>
                <w:p w14:paraId="7BAD93D4">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1473" w:type="pct"/>
                  <w:tcBorders>
                    <w:left w:val="single" w:color="000000" w:sz="4" w:space="0"/>
                  </w:tcBorders>
                </w:tcPr>
                <w:p w14:paraId="11D76356">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白砂</w:t>
                  </w:r>
                </w:p>
              </w:tc>
              <w:tc>
                <w:tcPr>
                  <w:tcW w:w="507" w:type="pct"/>
                </w:tcPr>
                <w:p w14:paraId="63420CAB">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29" w:type="pct"/>
                </w:tcPr>
                <w:p w14:paraId="0EDA28F7">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9111</w:t>
                  </w:r>
                </w:p>
              </w:tc>
              <w:tc>
                <w:tcPr>
                  <w:tcW w:w="1666" w:type="pct"/>
                </w:tcPr>
                <w:p w14:paraId="634BB714">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7D674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11" w:type="pct"/>
                  <w:vMerge w:val="continue"/>
                  <w:tcBorders>
                    <w:top w:val="nil"/>
                  </w:tcBorders>
                </w:tcPr>
                <w:p w14:paraId="202226F2">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p>
              </w:tc>
              <w:tc>
                <w:tcPr>
                  <w:tcW w:w="411" w:type="pct"/>
                  <w:tcBorders>
                    <w:right w:val="single" w:color="000000" w:sz="4" w:space="0"/>
                  </w:tcBorders>
                </w:tcPr>
                <w:p w14:paraId="5175A6D8">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1473" w:type="pct"/>
                  <w:tcBorders>
                    <w:left w:val="single" w:color="000000" w:sz="4" w:space="0"/>
                  </w:tcBorders>
                </w:tcPr>
                <w:p w14:paraId="459BC52C">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碳酸钙</w:t>
                  </w:r>
                </w:p>
              </w:tc>
              <w:tc>
                <w:tcPr>
                  <w:tcW w:w="507" w:type="pct"/>
                </w:tcPr>
                <w:p w14:paraId="1ABC03A9">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29" w:type="pct"/>
                </w:tcPr>
                <w:p w14:paraId="6A1932DB">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3742</w:t>
                  </w:r>
                </w:p>
              </w:tc>
              <w:tc>
                <w:tcPr>
                  <w:tcW w:w="1666" w:type="pct"/>
                </w:tcPr>
                <w:p w14:paraId="4E4E3254">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5E298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11" w:type="pct"/>
                  <w:vMerge w:val="continue"/>
                  <w:tcBorders>
                    <w:top w:val="nil"/>
                  </w:tcBorders>
                </w:tcPr>
                <w:p w14:paraId="6995BF50">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p>
              </w:tc>
              <w:tc>
                <w:tcPr>
                  <w:tcW w:w="411" w:type="pct"/>
                  <w:tcBorders>
                    <w:right w:val="single" w:color="000000" w:sz="4" w:space="0"/>
                  </w:tcBorders>
                </w:tcPr>
                <w:p w14:paraId="53801A7C">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1473" w:type="pct"/>
                  <w:tcBorders>
                    <w:left w:val="single" w:color="000000" w:sz="4" w:space="0"/>
                  </w:tcBorders>
                </w:tcPr>
                <w:p w14:paraId="383E8EF1">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纤维素</w:t>
                  </w:r>
                </w:p>
              </w:tc>
              <w:tc>
                <w:tcPr>
                  <w:tcW w:w="507" w:type="pct"/>
                </w:tcPr>
                <w:p w14:paraId="3799D913">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29" w:type="pct"/>
                </w:tcPr>
                <w:p w14:paraId="45394365">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358</w:t>
                  </w:r>
                </w:p>
              </w:tc>
              <w:tc>
                <w:tcPr>
                  <w:tcW w:w="1666" w:type="pct"/>
                </w:tcPr>
                <w:p w14:paraId="0CA40618">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bl>
          <w:p w14:paraId="211FC05F">
            <w:pPr>
              <w:pStyle w:val="87"/>
              <w:keepNext w:val="0"/>
              <w:keepLines w:val="0"/>
              <w:suppressLineNumbers w:val="0"/>
              <w:spacing w:before="0" w:beforeAutospacing="0" w:after="0" w:afterAutospacing="0"/>
              <w:ind w:left="0" w:right="0" w:firstLine="480"/>
              <w:rPr>
                <w:rFonts w:hint="default"/>
                <w:b/>
                <w:color w:val="auto"/>
              </w:rPr>
            </w:pPr>
            <w:r>
              <w:rPr>
                <w:rFonts w:hint="default"/>
                <w:b/>
                <w:color w:val="auto"/>
              </w:rPr>
              <w:t>4、原项目生产设备</w:t>
            </w:r>
          </w:p>
          <w:p w14:paraId="0408950C">
            <w:pPr>
              <w:keepNext w:val="0"/>
              <w:keepLines w:val="0"/>
              <w:suppressLineNumbers w:val="0"/>
              <w:spacing w:before="0" w:beforeAutospacing="0" w:after="0" w:afterAutospacing="0" w:line="360" w:lineRule="auto"/>
              <w:ind w:left="0" w:right="0" w:firstLine="480" w:firstLineChars="200"/>
              <w:rPr>
                <w:rFonts w:hint="default"/>
                <w:color w:val="auto"/>
                <w:sz w:val="24"/>
                <w:szCs w:val="21"/>
              </w:rPr>
            </w:pPr>
            <w:r>
              <w:rPr>
                <w:rFonts w:hint="eastAsia"/>
                <w:color w:val="auto"/>
                <w:sz w:val="24"/>
                <w:szCs w:val="21"/>
              </w:rPr>
              <w:t>原</w:t>
            </w:r>
            <w:r>
              <w:rPr>
                <w:rFonts w:hint="default"/>
                <w:color w:val="auto"/>
                <w:sz w:val="24"/>
                <w:szCs w:val="21"/>
              </w:rPr>
              <w:t>项目生产设备见表2-</w:t>
            </w:r>
            <w:r>
              <w:rPr>
                <w:rFonts w:hint="eastAsia"/>
                <w:color w:val="auto"/>
                <w:sz w:val="24"/>
                <w:szCs w:val="21"/>
                <w:lang w:val="en-US" w:eastAsia="zh-CN"/>
              </w:rPr>
              <w:t>21</w:t>
            </w:r>
            <w:r>
              <w:rPr>
                <w:rFonts w:hint="default"/>
                <w:color w:val="auto"/>
                <w:sz w:val="24"/>
                <w:szCs w:val="21"/>
              </w:rPr>
              <w:t>。</w:t>
            </w:r>
          </w:p>
          <w:p w14:paraId="4C22E7BA">
            <w:pPr>
              <w:keepNext w:val="0"/>
              <w:keepLines w:val="0"/>
              <w:suppressLineNumbers w:val="0"/>
              <w:snapToGrid w:val="0"/>
              <w:spacing w:before="0" w:beforeAutospacing="0" w:after="0" w:afterAutospacing="0"/>
              <w:ind w:left="0" w:right="0" w:firstLine="482"/>
              <w:jc w:val="center"/>
              <w:rPr>
                <w:rFonts w:hint="default"/>
                <w:b/>
                <w:color w:val="auto"/>
                <w:szCs w:val="21"/>
              </w:rPr>
            </w:pPr>
            <w:r>
              <w:rPr>
                <w:rFonts w:hint="default"/>
                <w:b/>
                <w:color w:val="auto"/>
                <w:szCs w:val="21"/>
              </w:rPr>
              <w:t>表2-</w:t>
            </w:r>
            <w:r>
              <w:rPr>
                <w:rFonts w:hint="eastAsia"/>
                <w:b/>
                <w:color w:val="auto"/>
                <w:szCs w:val="21"/>
                <w:lang w:val="en-US" w:eastAsia="zh-CN"/>
              </w:rPr>
              <w:t>21</w:t>
            </w:r>
            <w:r>
              <w:rPr>
                <w:rFonts w:hint="default"/>
                <w:b/>
                <w:color w:val="auto"/>
                <w:szCs w:val="21"/>
              </w:rPr>
              <w:t xml:space="preserve"> </w:t>
            </w:r>
            <w:r>
              <w:rPr>
                <w:rFonts w:hint="eastAsia"/>
                <w:b/>
                <w:color w:val="auto"/>
                <w:szCs w:val="21"/>
                <w:lang w:eastAsia="zh-CN"/>
              </w:rPr>
              <w:t>原项目</w:t>
            </w:r>
            <w:r>
              <w:rPr>
                <w:rFonts w:hint="default"/>
                <w:b/>
                <w:color w:val="auto"/>
                <w:szCs w:val="21"/>
              </w:rPr>
              <w:t>主要生产设备一览表</w:t>
            </w:r>
          </w:p>
          <w:tbl>
            <w:tblPr>
              <w:tblStyle w:val="28"/>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38"/>
              <w:gridCol w:w="1030"/>
              <w:gridCol w:w="1493"/>
              <w:gridCol w:w="1820"/>
              <w:gridCol w:w="1243"/>
              <w:gridCol w:w="1225"/>
              <w:gridCol w:w="624"/>
            </w:tblGrid>
            <w:tr w14:paraId="2F0AD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Align w:val="center"/>
                </w:tcPr>
                <w:p w14:paraId="594FABB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生产线</w:t>
                  </w:r>
                </w:p>
              </w:tc>
              <w:tc>
                <w:tcPr>
                  <w:tcW w:w="615" w:type="pct"/>
                  <w:vAlign w:val="center"/>
                </w:tcPr>
                <w:p w14:paraId="2A8CC6D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891" w:type="pct"/>
                  <w:vAlign w:val="center"/>
                </w:tcPr>
                <w:p w14:paraId="7A1648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086" w:type="pct"/>
                  <w:vAlign w:val="center"/>
                </w:tcPr>
                <w:p w14:paraId="7B093CF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参数</w:t>
                  </w:r>
                </w:p>
              </w:tc>
              <w:tc>
                <w:tcPr>
                  <w:tcW w:w="742" w:type="pct"/>
                  <w:vAlign w:val="center"/>
                </w:tcPr>
                <w:p w14:paraId="2B869AB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功率</w:t>
                  </w:r>
                </w:p>
              </w:tc>
              <w:tc>
                <w:tcPr>
                  <w:tcW w:w="731" w:type="pct"/>
                  <w:vAlign w:val="center"/>
                </w:tcPr>
                <w:p w14:paraId="4AB015E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372" w:type="pct"/>
                  <w:vAlign w:val="center"/>
                </w:tcPr>
                <w:p w14:paraId="272EA86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r>
            <w:tr w14:paraId="1D41E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restart"/>
                  <w:vAlign w:val="center"/>
                </w:tcPr>
                <w:p w14:paraId="612DBD1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水性乳胶漆生产线</w:t>
                  </w:r>
                </w:p>
              </w:tc>
              <w:tc>
                <w:tcPr>
                  <w:tcW w:w="615" w:type="pct"/>
                  <w:vAlign w:val="center"/>
                </w:tcPr>
                <w:p w14:paraId="0BED7A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891" w:type="pct"/>
                  <w:vAlign w:val="center"/>
                </w:tcPr>
                <w:p w14:paraId="4D590E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86" w:type="pct"/>
                  <w:vAlign w:val="center"/>
                </w:tcPr>
                <w:p w14:paraId="664077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8000L 缸</w:t>
                  </w:r>
                </w:p>
              </w:tc>
              <w:tc>
                <w:tcPr>
                  <w:tcW w:w="742" w:type="pct"/>
                  <w:vAlign w:val="center"/>
                </w:tcPr>
                <w:p w14:paraId="18D727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250kw</w:t>
                  </w:r>
                </w:p>
              </w:tc>
              <w:tc>
                <w:tcPr>
                  <w:tcW w:w="731" w:type="pct"/>
                  <w:vAlign w:val="center"/>
                </w:tcPr>
                <w:p w14:paraId="418BB04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1C0F16D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599A0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68C9FC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8B528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891" w:type="pct"/>
                  <w:vAlign w:val="center"/>
                </w:tcPr>
                <w:p w14:paraId="58FA23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86" w:type="pct"/>
                  <w:vAlign w:val="center"/>
                </w:tcPr>
                <w:p w14:paraId="7852B00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10000L 缸</w:t>
                  </w:r>
                </w:p>
              </w:tc>
              <w:tc>
                <w:tcPr>
                  <w:tcW w:w="742" w:type="pct"/>
                  <w:vAlign w:val="center"/>
                </w:tcPr>
                <w:p w14:paraId="6D3801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45kw</w:t>
                  </w:r>
                </w:p>
              </w:tc>
              <w:tc>
                <w:tcPr>
                  <w:tcW w:w="731" w:type="pct"/>
                  <w:vAlign w:val="center"/>
                </w:tcPr>
                <w:p w14:paraId="5EC8E2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76B9206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71B20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0C157A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06A3E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891" w:type="pct"/>
                  <w:vAlign w:val="center"/>
                </w:tcPr>
                <w:p w14:paraId="7F6C239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喷码机</w:t>
                  </w:r>
                </w:p>
              </w:tc>
              <w:tc>
                <w:tcPr>
                  <w:tcW w:w="1086" w:type="pct"/>
                  <w:vAlign w:val="center"/>
                </w:tcPr>
                <w:p w14:paraId="5741D2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1BD76B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292DE6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1D91056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C8BD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504B30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2EB9BD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891" w:type="pct"/>
                  <w:vAlign w:val="center"/>
                </w:tcPr>
                <w:p w14:paraId="2342AE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码垛机</w:t>
                  </w:r>
                </w:p>
              </w:tc>
              <w:tc>
                <w:tcPr>
                  <w:tcW w:w="1086" w:type="pct"/>
                  <w:vAlign w:val="center"/>
                </w:tcPr>
                <w:p w14:paraId="6DDF3A4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05BB1B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10kw</w:t>
                  </w:r>
                </w:p>
              </w:tc>
              <w:tc>
                <w:tcPr>
                  <w:tcW w:w="731" w:type="pct"/>
                  <w:vAlign w:val="center"/>
                </w:tcPr>
                <w:p w14:paraId="7F7BEF0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42D07F5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5D3D5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3104B6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628E87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891" w:type="pct"/>
                  <w:vAlign w:val="center"/>
                </w:tcPr>
                <w:p w14:paraId="0AABB8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原水罐</w:t>
                  </w:r>
                </w:p>
              </w:tc>
              <w:tc>
                <w:tcPr>
                  <w:tcW w:w="1086" w:type="pct"/>
                  <w:vAlign w:val="center"/>
                </w:tcPr>
                <w:p w14:paraId="16FAD2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 立方</w:t>
                  </w:r>
                </w:p>
              </w:tc>
              <w:tc>
                <w:tcPr>
                  <w:tcW w:w="742" w:type="pct"/>
                  <w:vAlign w:val="center"/>
                </w:tcPr>
                <w:p w14:paraId="2E7099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141270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0ED4F68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6B8CD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9C39DE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D04447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891" w:type="pct"/>
                  <w:vAlign w:val="center"/>
                </w:tcPr>
                <w:p w14:paraId="66511F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乳液罐（+泵）</w:t>
                  </w:r>
                </w:p>
              </w:tc>
              <w:tc>
                <w:tcPr>
                  <w:tcW w:w="1086" w:type="pct"/>
                  <w:vAlign w:val="center"/>
                </w:tcPr>
                <w:p w14:paraId="131E178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 寸气动隔膜泵 30 立方</w:t>
                  </w:r>
                </w:p>
              </w:tc>
              <w:tc>
                <w:tcPr>
                  <w:tcW w:w="742" w:type="pct"/>
                  <w:vAlign w:val="center"/>
                </w:tcPr>
                <w:p w14:paraId="00E4F7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62E22F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6CCF71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8</w:t>
                  </w:r>
                </w:p>
              </w:tc>
            </w:tr>
            <w:tr w14:paraId="5F2E6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6340325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410B67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891" w:type="pct"/>
                  <w:vAlign w:val="center"/>
                </w:tcPr>
                <w:p w14:paraId="02C6A39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CZ12 罐（+泵）</w:t>
                  </w:r>
                </w:p>
              </w:tc>
              <w:tc>
                <w:tcPr>
                  <w:tcW w:w="1086" w:type="pct"/>
                  <w:vAlign w:val="center"/>
                </w:tcPr>
                <w:p w14:paraId="33CFEBE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齿轮泵 30 立方</w:t>
                  </w:r>
                </w:p>
              </w:tc>
              <w:tc>
                <w:tcPr>
                  <w:tcW w:w="742" w:type="pct"/>
                  <w:vAlign w:val="center"/>
                </w:tcPr>
                <w:p w14:paraId="7787BA3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4kw</w:t>
                  </w:r>
                </w:p>
              </w:tc>
              <w:tc>
                <w:tcPr>
                  <w:tcW w:w="731" w:type="pct"/>
                  <w:vAlign w:val="center"/>
                </w:tcPr>
                <w:p w14:paraId="48F0B5A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6A8FFC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00920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5F703C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04EB24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8</w:t>
                  </w:r>
                </w:p>
              </w:tc>
              <w:tc>
                <w:tcPr>
                  <w:tcW w:w="891" w:type="pct"/>
                  <w:vAlign w:val="center"/>
                </w:tcPr>
                <w:p w14:paraId="0B348B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乙二醇罐（+泵）</w:t>
                  </w:r>
                </w:p>
              </w:tc>
              <w:tc>
                <w:tcPr>
                  <w:tcW w:w="1086" w:type="pct"/>
                  <w:vAlign w:val="center"/>
                </w:tcPr>
                <w:p w14:paraId="6490B0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齿轮泵 30 立方</w:t>
                  </w:r>
                </w:p>
              </w:tc>
              <w:tc>
                <w:tcPr>
                  <w:tcW w:w="742" w:type="pct"/>
                  <w:vAlign w:val="center"/>
                </w:tcPr>
                <w:p w14:paraId="0C7377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4kw</w:t>
                  </w:r>
                </w:p>
              </w:tc>
              <w:tc>
                <w:tcPr>
                  <w:tcW w:w="731" w:type="pct"/>
                  <w:vAlign w:val="center"/>
                </w:tcPr>
                <w:p w14:paraId="465CB13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680464E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E9C4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7B4004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4193DB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9</w:t>
                  </w:r>
                </w:p>
              </w:tc>
              <w:tc>
                <w:tcPr>
                  <w:tcW w:w="891" w:type="pct"/>
                  <w:vAlign w:val="center"/>
                </w:tcPr>
                <w:p w14:paraId="05FFE1B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高压水泵</w:t>
                  </w:r>
                </w:p>
              </w:tc>
              <w:tc>
                <w:tcPr>
                  <w:tcW w:w="1086" w:type="pct"/>
                  <w:vAlign w:val="center"/>
                </w:tcPr>
                <w:p w14:paraId="5E6582C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227BFFA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25kw</w:t>
                  </w:r>
                </w:p>
              </w:tc>
              <w:tc>
                <w:tcPr>
                  <w:tcW w:w="731" w:type="pct"/>
                  <w:vAlign w:val="center"/>
                </w:tcPr>
                <w:p w14:paraId="701B7C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6A77AC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3ACD6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880E6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44E71E4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91" w:type="pct"/>
                  <w:vAlign w:val="center"/>
                </w:tcPr>
                <w:p w14:paraId="5B774B4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投料口收尘处理装置</w:t>
                  </w:r>
                </w:p>
              </w:tc>
              <w:tc>
                <w:tcPr>
                  <w:tcW w:w="1086" w:type="pct"/>
                  <w:vAlign w:val="center"/>
                </w:tcPr>
                <w:p w14:paraId="0B10FD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0A7FBEF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3A8A184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7B04B76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64F9A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201D71B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1B2C76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891" w:type="pct"/>
                  <w:vAlign w:val="center"/>
                </w:tcPr>
                <w:p w14:paraId="7662B6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乳液原料罐</w:t>
                  </w:r>
                </w:p>
              </w:tc>
              <w:tc>
                <w:tcPr>
                  <w:tcW w:w="1086" w:type="pct"/>
                  <w:vAlign w:val="center"/>
                </w:tcPr>
                <w:p w14:paraId="33B7B6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30m</w:t>
                  </w:r>
                  <w:r>
                    <w:rPr>
                      <w:rFonts w:hint="default" w:ascii="Times New Roman" w:hAnsi="Times New Roman" w:eastAsia="宋体" w:cs="Times New Roman"/>
                      <w:color w:val="auto"/>
                      <w:position w:val="7"/>
                      <w:sz w:val="21"/>
                      <w:szCs w:val="21"/>
                    </w:rPr>
                    <w:t>3</w:t>
                  </w:r>
                </w:p>
              </w:tc>
              <w:tc>
                <w:tcPr>
                  <w:tcW w:w="742" w:type="pct"/>
                  <w:vAlign w:val="center"/>
                </w:tcPr>
                <w:p w14:paraId="70E9BB9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32E8B7A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0D1986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r>
            <w:tr w14:paraId="5F760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09F8244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AFE8D7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91" w:type="pct"/>
                  <w:vAlign w:val="center"/>
                </w:tcPr>
                <w:p w14:paraId="3B2A847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工艺水罐</w:t>
                  </w:r>
                </w:p>
              </w:tc>
              <w:tc>
                <w:tcPr>
                  <w:tcW w:w="1086" w:type="pct"/>
                  <w:vAlign w:val="center"/>
                </w:tcPr>
                <w:p w14:paraId="06F076C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w:t>
                  </w:r>
                  <w:r>
                    <w:rPr>
                      <w:rFonts w:hint="default" w:ascii="Times New Roman" w:hAnsi="Times New Roman" w:eastAsia="宋体" w:cs="Times New Roman"/>
                      <w:color w:val="auto"/>
                      <w:position w:val="7"/>
                      <w:sz w:val="21"/>
                      <w:szCs w:val="21"/>
                    </w:rPr>
                    <w:t>3</w:t>
                  </w:r>
                </w:p>
              </w:tc>
              <w:tc>
                <w:tcPr>
                  <w:tcW w:w="742" w:type="pct"/>
                  <w:vAlign w:val="center"/>
                </w:tcPr>
                <w:p w14:paraId="41058C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29E389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36A8324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08191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6E3387C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1BE0A96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891" w:type="pct"/>
                  <w:vAlign w:val="center"/>
                </w:tcPr>
                <w:p w14:paraId="0F2B46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助剂原料罐</w:t>
                  </w:r>
                </w:p>
              </w:tc>
              <w:tc>
                <w:tcPr>
                  <w:tcW w:w="1086" w:type="pct"/>
                  <w:vAlign w:val="center"/>
                </w:tcPr>
                <w:p w14:paraId="6841CD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2000L</w:t>
                  </w:r>
                </w:p>
              </w:tc>
              <w:tc>
                <w:tcPr>
                  <w:tcW w:w="742" w:type="pct"/>
                  <w:vAlign w:val="center"/>
                </w:tcPr>
                <w:p w14:paraId="288B38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283E29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579335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r>
            <w:tr w14:paraId="2AD4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7E364F8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3C2C7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891" w:type="pct"/>
                  <w:vAlign w:val="center"/>
                </w:tcPr>
                <w:p w14:paraId="4D5ED6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助剂原料罐</w:t>
                  </w:r>
                </w:p>
              </w:tc>
              <w:tc>
                <w:tcPr>
                  <w:tcW w:w="1086" w:type="pct"/>
                  <w:vAlign w:val="center"/>
                </w:tcPr>
                <w:p w14:paraId="0835471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1000L</w:t>
                  </w:r>
                </w:p>
              </w:tc>
              <w:tc>
                <w:tcPr>
                  <w:tcW w:w="742" w:type="pct"/>
                  <w:vAlign w:val="center"/>
                </w:tcPr>
                <w:p w14:paraId="6C6D38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731" w:type="pct"/>
                  <w:vAlign w:val="center"/>
                </w:tcPr>
                <w:p w14:paraId="15DA01D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6B97F03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0AF26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6DDDD2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60C2EA0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91" w:type="pct"/>
                  <w:vAlign w:val="center"/>
                </w:tcPr>
                <w:p w14:paraId="7445F1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助剂原料罐</w:t>
                  </w:r>
                </w:p>
              </w:tc>
              <w:tc>
                <w:tcPr>
                  <w:tcW w:w="1086" w:type="pct"/>
                  <w:vAlign w:val="center"/>
                </w:tcPr>
                <w:p w14:paraId="5F686B1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1000L</w:t>
                  </w:r>
                </w:p>
              </w:tc>
              <w:tc>
                <w:tcPr>
                  <w:tcW w:w="742" w:type="pct"/>
                  <w:vAlign w:val="center"/>
                </w:tcPr>
                <w:p w14:paraId="33574E1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c>
                <w:tcPr>
                  <w:tcW w:w="731" w:type="pct"/>
                  <w:vAlign w:val="center"/>
                </w:tcPr>
                <w:p w14:paraId="520C2F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4A161EB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r>
            <w:tr w14:paraId="1F0C1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5F5524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D45FEE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891" w:type="pct"/>
                  <w:vAlign w:val="center"/>
                </w:tcPr>
                <w:p w14:paraId="0621CE3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乳胶漆预混罐</w:t>
                  </w:r>
                </w:p>
              </w:tc>
              <w:tc>
                <w:tcPr>
                  <w:tcW w:w="1086" w:type="pct"/>
                  <w:vAlign w:val="center"/>
                </w:tcPr>
                <w:p w14:paraId="67C680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8000L</w:t>
                  </w:r>
                </w:p>
              </w:tc>
              <w:tc>
                <w:tcPr>
                  <w:tcW w:w="742" w:type="pct"/>
                  <w:vAlign w:val="center"/>
                </w:tcPr>
                <w:p w14:paraId="1CF0E13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200KW</w:t>
                  </w:r>
                </w:p>
              </w:tc>
              <w:tc>
                <w:tcPr>
                  <w:tcW w:w="731" w:type="pct"/>
                  <w:vAlign w:val="center"/>
                </w:tcPr>
                <w:p w14:paraId="618224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2FCA832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215BD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7C6991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265F18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891" w:type="pct"/>
                  <w:vAlign w:val="center"/>
                </w:tcPr>
                <w:p w14:paraId="72CD19F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乳胶漆调稀罐</w:t>
                  </w:r>
                </w:p>
              </w:tc>
              <w:tc>
                <w:tcPr>
                  <w:tcW w:w="1086" w:type="pct"/>
                  <w:vAlign w:val="center"/>
                </w:tcPr>
                <w:p w14:paraId="60DC88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10000L</w:t>
                  </w:r>
                </w:p>
              </w:tc>
              <w:tc>
                <w:tcPr>
                  <w:tcW w:w="742" w:type="pct"/>
                  <w:vAlign w:val="center"/>
                </w:tcPr>
                <w:p w14:paraId="01CCCB7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c>
                <w:tcPr>
                  <w:tcW w:w="731" w:type="pct"/>
                  <w:vAlign w:val="center"/>
                </w:tcPr>
                <w:p w14:paraId="44D3C51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036B51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7CD54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2104B0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2B6AB41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891" w:type="pct"/>
                  <w:vAlign w:val="center"/>
                </w:tcPr>
                <w:p w14:paraId="0A6D1DE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包装机</w:t>
                  </w:r>
                </w:p>
              </w:tc>
              <w:tc>
                <w:tcPr>
                  <w:tcW w:w="1086" w:type="pct"/>
                  <w:vAlign w:val="center"/>
                </w:tcPr>
                <w:p w14:paraId="038EC1A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0CD327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3C3CC95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441AF8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0F012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53EE81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60454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891" w:type="pct"/>
                  <w:vAlign w:val="center"/>
                </w:tcPr>
                <w:p w14:paraId="6220F57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空气压缩机</w:t>
                  </w:r>
                </w:p>
              </w:tc>
              <w:tc>
                <w:tcPr>
                  <w:tcW w:w="1086" w:type="pct"/>
                  <w:vAlign w:val="center"/>
                </w:tcPr>
                <w:p w14:paraId="3F93B5F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GAe22P A 8.5</w:t>
                  </w:r>
                </w:p>
              </w:tc>
              <w:tc>
                <w:tcPr>
                  <w:tcW w:w="742" w:type="pct"/>
                  <w:vAlign w:val="center"/>
                </w:tcPr>
                <w:p w14:paraId="69B0CC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c>
                <w:tcPr>
                  <w:tcW w:w="731" w:type="pct"/>
                  <w:vAlign w:val="center"/>
                </w:tcPr>
                <w:p w14:paraId="41C7F8E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4573A2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r>
            <w:tr w14:paraId="4750F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2EB1147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C7667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91" w:type="pct"/>
                  <w:vAlign w:val="center"/>
                </w:tcPr>
                <w:p w14:paraId="2B060F5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空气压缩机</w:t>
                  </w:r>
                </w:p>
              </w:tc>
              <w:tc>
                <w:tcPr>
                  <w:tcW w:w="1086" w:type="pct"/>
                  <w:vAlign w:val="center"/>
                </w:tcPr>
                <w:p w14:paraId="6C38E44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7A2E60A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45kW</w:t>
                  </w:r>
                </w:p>
              </w:tc>
              <w:tc>
                <w:tcPr>
                  <w:tcW w:w="731" w:type="pct"/>
                  <w:vAlign w:val="center"/>
                </w:tcPr>
                <w:p w14:paraId="2E1A58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5A0D30B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50DB7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4082A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24D1B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891" w:type="pct"/>
                  <w:vAlign w:val="center"/>
                </w:tcPr>
                <w:p w14:paraId="71FC504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冷冻式干燥机</w:t>
                  </w:r>
                </w:p>
              </w:tc>
              <w:tc>
                <w:tcPr>
                  <w:tcW w:w="1086" w:type="pct"/>
                  <w:vAlign w:val="center"/>
                </w:tcPr>
                <w:p w14:paraId="484605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FXe8 8102494633</w:t>
                  </w:r>
                </w:p>
              </w:tc>
              <w:tc>
                <w:tcPr>
                  <w:tcW w:w="742" w:type="pct"/>
                  <w:vAlign w:val="center"/>
                </w:tcPr>
                <w:p w14:paraId="0825899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0.77KW</w:t>
                  </w:r>
                </w:p>
              </w:tc>
              <w:tc>
                <w:tcPr>
                  <w:tcW w:w="731" w:type="pct"/>
                  <w:vAlign w:val="center"/>
                </w:tcPr>
                <w:p w14:paraId="6401806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2D6025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7F56D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567545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4ABA1D0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891" w:type="pct"/>
                  <w:vAlign w:val="center"/>
                </w:tcPr>
                <w:p w14:paraId="7FDF32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乳胶漆控制室</w:t>
                  </w:r>
                </w:p>
              </w:tc>
              <w:tc>
                <w:tcPr>
                  <w:tcW w:w="1086" w:type="pct"/>
                  <w:vAlign w:val="center"/>
                </w:tcPr>
                <w:p w14:paraId="741555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791C94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22A965D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54BEEE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AEA0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2362327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280CCE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891" w:type="pct"/>
                  <w:vAlign w:val="center"/>
                </w:tcPr>
                <w:p w14:paraId="775F8E4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工艺水泵</w:t>
                  </w:r>
                </w:p>
              </w:tc>
              <w:tc>
                <w:tcPr>
                  <w:tcW w:w="1086" w:type="pct"/>
                  <w:vAlign w:val="center"/>
                </w:tcPr>
                <w:p w14:paraId="13F66DA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010E76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50CC06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00712C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3A9FF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342DEC7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5CBB789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891" w:type="pct"/>
                  <w:vAlign w:val="center"/>
                </w:tcPr>
                <w:p w14:paraId="6D178C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高压水泵</w:t>
                  </w:r>
                </w:p>
              </w:tc>
              <w:tc>
                <w:tcPr>
                  <w:tcW w:w="1086" w:type="pct"/>
                  <w:vAlign w:val="center"/>
                </w:tcPr>
                <w:p w14:paraId="1FD4A5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34676CD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5CE7ECA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2E9A79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42B9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9C108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3C817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891" w:type="pct"/>
                  <w:vAlign w:val="center"/>
                </w:tcPr>
                <w:p w14:paraId="2C877FF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隔膜泵</w:t>
                  </w:r>
                </w:p>
              </w:tc>
              <w:tc>
                <w:tcPr>
                  <w:tcW w:w="1086" w:type="pct"/>
                  <w:vAlign w:val="center"/>
                </w:tcPr>
                <w:p w14:paraId="18301F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1E41CE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3FE2D0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428A198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r>
            <w:tr w14:paraId="54574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restart"/>
                  <w:vAlign w:val="center"/>
                </w:tcPr>
                <w:p w14:paraId="4C3ABA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砂壁生</w:t>
                  </w:r>
                  <w:r>
                    <w:rPr>
                      <w:rFonts w:hint="default" w:ascii="Times New Roman" w:hAnsi="Times New Roman" w:eastAsia="宋体" w:cs="Times New Roman"/>
                      <w:color w:val="auto"/>
                      <w:sz w:val="21"/>
                      <w:szCs w:val="21"/>
                      <w:lang w:eastAsia="zh-CN"/>
                    </w:rPr>
                    <w:t>产线</w:t>
                  </w:r>
                </w:p>
              </w:tc>
              <w:tc>
                <w:tcPr>
                  <w:tcW w:w="615" w:type="pct"/>
                  <w:vAlign w:val="center"/>
                </w:tcPr>
                <w:p w14:paraId="5BCF8E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891" w:type="pct"/>
                  <w:vAlign w:val="center"/>
                </w:tcPr>
                <w:p w14:paraId="5F3FA6F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86" w:type="pct"/>
                  <w:vAlign w:val="center"/>
                </w:tcPr>
                <w:p w14:paraId="5E27943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2000L 缸</w:t>
                  </w:r>
                </w:p>
              </w:tc>
              <w:tc>
                <w:tcPr>
                  <w:tcW w:w="742" w:type="pct"/>
                  <w:vAlign w:val="center"/>
                </w:tcPr>
                <w:p w14:paraId="7A0B16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75kw</w:t>
                  </w:r>
                </w:p>
              </w:tc>
              <w:tc>
                <w:tcPr>
                  <w:tcW w:w="731" w:type="pct"/>
                  <w:vAlign w:val="center"/>
                </w:tcPr>
                <w:p w14:paraId="55D897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79F1B9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0D1BE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40A212F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5468890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891" w:type="pct"/>
                  <w:vAlign w:val="center"/>
                </w:tcPr>
                <w:p w14:paraId="086DFC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86" w:type="pct"/>
                  <w:vAlign w:val="center"/>
                </w:tcPr>
                <w:p w14:paraId="2D80157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3000L 缸</w:t>
                  </w:r>
                </w:p>
              </w:tc>
              <w:tc>
                <w:tcPr>
                  <w:tcW w:w="742" w:type="pct"/>
                  <w:vAlign w:val="center"/>
                </w:tcPr>
                <w:p w14:paraId="439FE0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83kw</w:t>
                  </w:r>
                </w:p>
              </w:tc>
              <w:tc>
                <w:tcPr>
                  <w:tcW w:w="731" w:type="pct"/>
                  <w:vAlign w:val="center"/>
                </w:tcPr>
                <w:p w14:paraId="2D6D873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742EF37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6539A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34B7198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656D41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891" w:type="pct"/>
                  <w:vAlign w:val="center"/>
                </w:tcPr>
                <w:p w14:paraId="5B68D3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86" w:type="pct"/>
                  <w:vAlign w:val="center"/>
                </w:tcPr>
                <w:p w14:paraId="45891D3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5000L 缸</w:t>
                  </w:r>
                </w:p>
              </w:tc>
              <w:tc>
                <w:tcPr>
                  <w:tcW w:w="742" w:type="pct"/>
                  <w:vAlign w:val="center"/>
                </w:tcPr>
                <w:p w14:paraId="65B093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66kw</w:t>
                  </w:r>
                </w:p>
              </w:tc>
              <w:tc>
                <w:tcPr>
                  <w:tcW w:w="731" w:type="pct"/>
                  <w:vAlign w:val="center"/>
                </w:tcPr>
                <w:p w14:paraId="5603EA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23B019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18151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196C7A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499ADC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891" w:type="pct"/>
                  <w:vAlign w:val="center"/>
                </w:tcPr>
                <w:p w14:paraId="688FEA5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86" w:type="pct"/>
                  <w:vAlign w:val="center"/>
                </w:tcPr>
                <w:p w14:paraId="3D8AE96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10000L 缸</w:t>
                  </w:r>
                </w:p>
              </w:tc>
              <w:tc>
                <w:tcPr>
                  <w:tcW w:w="742" w:type="pct"/>
                  <w:vAlign w:val="center"/>
                </w:tcPr>
                <w:p w14:paraId="4F5877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140kw</w:t>
                  </w:r>
                </w:p>
              </w:tc>
              <w:tc>
                <w:tcPr>
                  <w:tcW w:w="731" w:type="pct"/>
                  <w:vAlign w:val="center"/>
                </w:tcPr>
                <w:p w14:paraId="36B668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552B07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65EFE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139A34C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BBE68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891" w:type="pct"/>
                  <w:vAlign w:val="center"/>
                </w:tcPr>
                <w:p w14:paraId="43938D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高压清洗装置</w:t>
                  </w:r>
                </w:p>
              </w:tc>
              <w:tc>
                <w:tcPr>
                  <w:tcW w:w="1086" w:type="pct"/>
                  <w:vAlign w:val="center"/>
                </w:tcPr>
                <w:p w14:paraId="178CA92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2CCF91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25kw</w:t>
                  </w:r>
                </w:p>
              </w:tc>
              <w:tc>
                <w:tcPr>
                  <w:tcW w:w="731" w:type="pct"/>
                  <w:vAlign w:val="center"/>
                </w:tcPr>
                <w:p w14:paraId="0B9891E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1CCBF4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769D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3FB400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6916886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891" w:type="pct"/>
                  <w:vAlign w:val="center"/>
                </w:tcPr>
                <w:p w14:paraId="1ADA8E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空压机及储罐</w:t>
                  </w:r>
                </w:p>
              </w:tc>
              <w:tc>
                <w:tcPr>
                  <w:tcW w:w="1086" w:type="pct"/>
                  <w:vAlign w:val="center"/>
                </w:tcPr>
                <w:p w14:paraId="1265874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GA-55</w:t>
                  </w:r>
                </w:p>
              </w:tc>
              <w:tc>
                <w:tcPr>
                  <w:tcW w:w="742" w:type="pct"/>
                  <w:vAlign w:val="center"/>
                </w:tcPr>
                <w:p w14:paraId="5A2D021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55kw</w:t>
                  </w:r>
                </w:p>
              </w:tc>
              <w:tc>
                <w:tcPr>
                  <w:tcW w:w="731" w:type="pct"/>
                  <w:vAlign w:val="center"/>
                </w:tcPr>
                <w:p w14:paraId="0F0369A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29F6EE0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6755D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10425A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0C663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891" w:type="pct"/>
                  <w:vAlign w:val="center"/>
                </w:tcPr>
                <w:p w14:paraId="34191D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电动葫芦</w:t>
                  </w:r>
                </w:p>
              </w:tc>
              <w:tc>
                <w:tcPr>
                  <w:tcW w:w="1086" w:type="pct"/>
                  <w:vAlign w:val="center"/>
                </w:tcPr>
                <w:p w14:paraId="7DD48C3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3845EB3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731" w:type="pct"/>
                  <w:vAlign w:val="center"/>
                </w:tcPr>
                <w:p w14:paraId="4760C9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5D9F526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r>
            <w:tr w14:paraId="6ED7A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537634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115C87B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9</w:t>
                  </w:r>
                </w:p>
              </w:tc>
              <w:tc>
                <w:tcPr>
                  <w:tcW w:w="891" w:type="pct"/>
                  <w:vAlign w:val="center"/>
                </w:tcPr>
                <w:p w14:paraId="548EC08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收尘及处理装置</w:t>
                  </w:r>
                </w:p>
              </w:tc>
              <w:tc>
                <w:tcPr>
                  <w:tcW w:w="1086" w:type="pct"/>
                  <w:vAlign w:val="center"/>
                </w:tcPr>
                <w:p w14:paraId="5E1ECF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1B14D5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35kw</w:t>
                  </w:r>
                </w:p>
              </w:tc>
              <w:tc>
                <w:tcPr>
                  <w:tcW w:w="731" w:type="pct"/>
                  <w:vAlign w:val="center"/>
                </w:tcPr>
                <w:p w14:paraId="38B4735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07E67C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01E11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210B567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6E6A69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91" w:type="pct"/>
                  <w:vAlign w:val="center"/>
                </w:tcPr>
                <w:p w14:paraId="2AAAA1E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高压水泵</w:t>
                  </w:r>
                </w:p>
              </w:tc>
              <w:tc>
                <w:tcPr>
                  <w:tcW w:w="1086" w:type="pct"/>
                  <w:vAlign w:val="center"/>
                </w:tcPr>
                <w:p w14:paraId="108C32F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4772393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10kw</w:t>
                  </w:r>
                </w:p>
              </w:tc>
              <w:tc>
                <w:tcPr>
                  <w:tcW w:w="731" w:type="pct"/>
                  <w:vAlign w:val="center"/>
                </w:tcPr>
                <w:p w14:paraId="7F3AF7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43AD7D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068FD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5ADB17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953C0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891" w:type="pct"/>
                  <w:vAlign w:val="center"/>
                </w:tcPr>
                <w:p w14:paraId="72F3727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砂壁高粘包装机</w:t>
                  </w:r>
                </w:p>
              </w:tc>
              <w:tc>
                <w:tcPr>
                  <w:tcW w:w="1086" w:type="pct"/>
                  <w:vAlign w:val="center"/>
                </w:tcPr>
                <w:p w14:paraId="341F775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65DA4A8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731" w:type="pct"/>
                  <w:vAlign w:val="center"/>
                </w:tcPr>
                <w:p w14:paraId="51F163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21D443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r>
            <w:tr w14:paraId="2E45F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restart"/>
                  <w:vAlign w:val="center"/>
                </w:tcPr>
                <w:p w14:paraId="4D2DE5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腻子粉生产线</w:t>
                  </w:r>
                </w:p>
              </w:tc>
              <w:tc>
                <w:tcPr>
                  <w:tcW w:w="615" w:type="pct"/>
                  <w:vAlign w:val="center"/>
                </w:tcPr>
                <w:p w14:paraId="69A39B5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891" w:type="pct"/>
                  <w:vAlign w:val="center"/>
                </w:tcPr>
                <w:p w14:paraId="648B90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空气储罐</w:t>
                  </w:r>
                </w:p>
              </w:tc>
              <w:tc>
                <w:tcPr>
                  <w:tcW w:w="1086" w:type="pct"/>
                  <w:vAlign w:val="center"/>
                </w:tcPr>
                <w:p w14:paraId="5A1CB09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3m</w:t>
                  </w:r>
                  <w:r>
                    <w:rPr>
                      <w:rFonts w:hint="default" w:ascii="Times New Roman" w:hAnsi="Times New Roman" w:eastAsia="宋体" w:cs="Times New Roman"/>
                      <w:color w:val="auto"/>
                      <w:position w:val="7"/>
                      <w:sz w:val="21"/>
                      <w:szCs w:val="21"/>
                    </w:rPr>
                    <w:t>3</w:t>
                  </w:r>
                </w:p>
              </w:tc>
              <w:tc>
                <w:tcPr>
                  <w:tcW w:w="742" w:type="pct"/>
                  <w:vAlign w:val="center"/>
                </w:tcPr>
                <w:p w14:paraId="5A2433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64BDC6D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31CA0E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286D3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69DA84C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4D2655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891" w:type="pct"/>
                  <w:vAlign w:val="center"/>
                </w:tcPr>
                <w:p w14:paraId="31763FB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腻子粉生产设备</w:t>
                  </w:r>
                </w:p>
              </w:tc>
              <w:tc>
                <w:tcPr>
                  <w:tcW w:w="1086" w:type="pct"/>
                  <w:vAlign w:val="center"/>
                </w:tcPr>
                <w:p w14:paraId="482D8A9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5t/h</w:t>
                  </w:r>
                </w:p>
              </w:tc>
              <w:tc>
                <w:tcPr>
                  <w:tcW w:w="742" w:type="pct"/>
                  <w:vAlign w:val="center"/>
                </w:tcPr>
                <w:p w14:paraId="761CEE1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3F8924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31CDF01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86F6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22D7FF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D68CC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891" w:type="pct"/>
                  <w:vAlign w:val="center"/>
                </w:tcPr>
                <w:p w14:paraId="4564F6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腻子粉控制室</w:t>
                  </w:r>
                </w:p>
              </w:tc>
              <w:tc>
                <w:tcPr>
                  <w:tcW w:w="1086" w:type="pct"/>
                  <w:vAlign w:val="center"/>
                </w:tcPr>
                <w:p w14:paraId="77E1258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36987E0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09CCB5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060C7E4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799FB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052457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1B3D56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891" w:type="pct"/>
                  <w:vAlign w:val="center"/>
                </w:tcPr>
                <w:p w14:paraId="3F7C89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腻子粉生产设备</w:t>
                  </w:r>
                </w:p>
              </w:tc>
              <w:tc>
                <w:tcPr>
                  <w:tcW w:w="1086" w:type="pct"/>
                  <w:vAlign w:val="center"/>
                </w:tcPr>
                <w:p w14:paraId="606B16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5t/h</w:t>
                  </w:r>
                </w:p>
              </w:tc>
              <w:tc>
                <w:tcPr>
                  <w:tcW w:w="742" w:type="pct"/>
                  <w:vAlign w:val="center"/>
                </w:tcPr>
                <w:p w14:paraId="63D1BD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75kw</w:t>
                  </w:r>
                </w:p>
              </w:tc>
              <w:tc>
                <w:tcPr>
                  <w:tcW w:w="731" w:type="pct"/>
                  <w:vAlign w:val="center"/>
                </w:tcPr>
                <w:p w14:paraId="718EF4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492B27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9C2D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61C3204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F22BDB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891" w:type="pct"/>
                  <w:vAlign w:val="center"/>
                </w:tcPr>
                <w:p w14:paraId="5EAE22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腻子粉控制室</w:t>
                  </w:r>
                </w:p>
              </w:tc>
              <w:tc>
                <w:tcPr>
                  <w:tcW w:w="1086" w:type="pct"/>
                  <w:vAlign w:val="center"/>
                </w:tcPr>
                <w:p w14:paraId="5C66C1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41DADC3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69E5464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013CF94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A3AD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7B74E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1BD3096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891" w:type="pct"/>
                  <w:vAlign w:val="center"/>
                </w:tcPr>
                <w:p w14:paraId="5F1A941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收尘及处理装置</w:t>
                  </w:r>
                </w:p>
              </w:tc>
              <w:tc>
                <w:tcPr>
                  <w:tcW w:w="1086" w:type="pct"/>
                  <w:vAlign w:val="center"/>
                </w:tcPr>
                <w:p w14:paraId="763ED5B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风量 3517m</w:t>
                  </w:r>
                  <w:r>
                    <w:rPr>
                      <w:rFonts w:hint="default" w:ascii="Times New Roman" w:hAnsi="Times New Roman" w:eastAsia="宋体" w:cs="Times New Roman"/>
                      <w:color w:val="auto"/>
                      <w:position w:val="7"/>
                      <w:sz w:val="21"/>
                      <w:szCs w:val="21"/>
                    </w:rPr>
                    <w:t>3</w:t>
                  </w:r>
                  <w:r>
                    <w:rPr>
                      <w:rFonts w:hint="default" w:ascii="Times New Roman" w:hAnsi="Times New Roman" w:eastAsia="宋体" w:cs="Times New Roman"/>
                      <w:color w:val="auto"/>
                      <w:sz w:val="21"/>
                      <w:szCs w:val="21"/>
                    </w:rPr>
                    <w:t>/h</w:t>
                  </w:r>
                </w:p>
              </w:tc>
              <w:tc>
                <w:tcPr>
                  <w:tcW w:w="742" w:type="pct"/>
                  <w:vAlign w:val="center"/>
                </w:tcPr>
                <w:p w14:paraId="7A4B498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1965E3E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10EBDF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3D6E4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B1891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72F0E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891" w:type="pct"/>
                  <w:vAlign w:val="center"/>
                </w:tcPr>
                <w:p w14:paraId="5E1789C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空气储罐</w:t>
                  </w:r>
                </w:p>
              </w:tc>
              <w:tc>
                <w:tcPr>
                  <w:tcW w:w="1086" w:type="pct"/>
                  <w:vAlign w:val="center"/>
                </w:tcPr>
                <w:p w14:paraId="26F0D71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3m</w:t>
                  </w:r>
                  <w:r>
                    <w:rPr>
                      <w:rFonts w:hint="default" w:ascii="Times New Roman" w:hAnsi="Times New Roman" w:eastAsia="宋体" w:cs="Times New Roman"/>
                      <w:color w:val="auto"/>
                      <w:position w:val="7"/>
                      <w:sz w:val="21"/>
                      <w:szCs w:val="21"/>
                    </w:rPr>
                    <w:t>3</w:t>
                  </w:r>
                </w:p>
              </w:tc>
              <w:tc>
                <w:tcPr>
                  <w:tcW w:w="742" w:type="pct"/>
                  <w:vAlign w:val="center"/>
                </w:tcPr>
                <w:p w14:paraId="5FAB3F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246BB5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12A79D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1CD8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restart"/>
                  <w:vAlign w:val="center"/>
                </w:tcPr>
                <w:p w14:paraId="51EB2F4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公</w:t>
                  </w:r>
                  <w:r>
                    <w:rPr>
                      <w:rFonts w:hint="default" w:ascii="Times New Roman" w:hAnsi="Times New Roman" w:eastAsia="宋体" w:cs="Times New Roman"/>
                      <w:color w:val="auto"/>
                      <w:sz w:val="21"/>
                      <w:szCs w:val="21"/>
                    </w:rPr>
                    <w:t>用工程</w:t>
                  </w:r>
                </w:p>
              </w:tc>
              <w:tc>
                <w:tcPr>
                  <w:tcW w:w="615" w:type="pct"/>
                  <w:vAlign w:val="center"/>
                </w:tcPr>
                <w:p w14:paraId="395D900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891" w:type="pct"/>
                  <w:vAlign w:val="center"/>
                </w:tcPr>
                <w:p w14:paraId="73DB472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污水站设备</w:t>
                  </w:r>
                </w:p>
              </w:tc>
              <w:tc>
                <w:tcPr>
                  <w:tcW w:w="1086" w:type="pct"/>
                  <w:vAlign w:val="center"/>
                </w:tcPr>
                <w:p w14:paraId="58B13D8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26C0D4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50t/d</w:t>
                  </w:r>
                </w:p>
              </w:tc>
              <w:tc>
                <w:tcPr>
                  <w:tcW w:w="731" w:type="pct"/>
                  <w:vAlign w:val="center"/>
                </w:tcPr>
                <w:p w14:paraId="72C6A8F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360B48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5B473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3BEF657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2B93188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891" w:type="pct"/>
                  <w:vAlign w:val="center"/>
                </w:tcPr>
                <w:p w14:paraId="56111A4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设备安装费</w:t>
                  </w:r>
                </w:p>
              </w:tc>
              <w:tc>
                <w:tcPr>
                  <w:tcW w:w="1086" w:type="pct"/>
                  <w:vAlign w:val="center"/>
                </w:tcPr>
                <w:p w14:paraId="1333A40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2538841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50kw</w:t>
                  </w:r>
                </w:p>
              </w:tc>
              <w:tc>
                <w:tcPr>
                  <w:tcW w:w="731" w:type="pct"/>
                  <w:vAlign w:val="center"/>
                </w:tcPr>
                <w:p w14:paraId="1C079D9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44DA89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9E80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214E06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57FF09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891" w:type="pct"/>
                  <w:vAlign w:val="center"/>
                </w:tcPr>
                <w:p w14:paraId="1A1E915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叉车</w:t>
                  </w:r>
                </w:p>
              </w:tc>
              <w:tc>
                <w:tcPr>
                  <w:tcW w:w="1086" w:type="pct"/>
                  <w:vAlign w:val="center"/>
                </w:tcPr>
                <w:p w14:paraId="5CAE680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非防爆</w:t>
                  </w:r>
                </w:p>
              </w:tc>
              <w:tc>
                <w:tcPr>
                  <w:tcW w:w="742" w:type="pct"/>
                  <w:vAlign w:val="center"/>
                </w:tcPr>
                <w:p w14:paraId="0155CE4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5C40B25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2733C4C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78336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14B137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D3E460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891" w:type="pct"/>
                  <w:vAlign w:val="center"/>
                </w:tcPr>
                <w:p w14:paraId="0DFDAF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叉车</w:t>
                  </w:r>
                </w:p>
              </w:tc>
              <w:tc>
                <w:tcPr>
                  <w:tcW w:w="1086" w:type="pct"/>
                  <w:vAlign w:val="center"/>
                </w:tcPr>
                <w:p w14:paraId="6E54392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防爆型</w:t>
                  </w:r>
                </w:p>
              </w:tc>
              <w:tc>
                <w:tcPr>
                  <w:tcW w:w="742" w:type="pct"/>
                  <w:vAlign w:val="center"/>
                </w:tcPr>
                <w:p w14:paraId="7EBB032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226A56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58AA58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5EEE1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1FF229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28EB33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891" w:type="pct"/>
                  <w:vAlign w:val="center"/>
                </w:tcPr>
                <w:p w14:paraId="346BC2E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液压车</w:t>
                  </w:r>
                </w:p>
              </w:tc>
              <w:tc>
                <w:tcPr>
                  <w:tcW w:w="1086" w:type="pct"/>
                  <w:vAlign w:val="center"/>
                </w:tcPr>
                <w:p w14:paraId="6A80081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3F6F28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7DF36AA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3AFA067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3A4DC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52055A4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4E6F9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891" w:type="pct"/>
                  <w:vAlign w:val="center"/>
                </w:tcPr>
                <w:p w14:paraId="7E39D0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汽车地上衡</w:t>
                  </w:r>
                </w:p>
              </w:tc>
              <w:tc>
                <w:tcPr>
                  <w:tcW w:w="1086" w:type="pct"/>
                  <w:vAlign w:val="center"/>
                </w:tcPr>
                <w:p w14:paraId="7F89CDB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60T</w:t>
                  </w:r>
                </w:p>
              </w:tc>
              <w:tc>
                <w:tcPr>
                  <w:tcW w:w="742" w:type="pct"/>
                  <w:vAlign w:val="center"/>
                </w:tcPr>
                <w:p w14:paraId="0DE71F7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33D7A7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644C563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bl>
          <w:p w14:paraId="3DE10AF5">
            <w:pPr>
              <w:pStyle w:val="88"/>
              <w:keepNext w:val="0"/>
              <w:keepLines w:val="0"/>
              <w:suppressLineNumbers w:val="0"/>
              <w:spacing w:before="0" w:beforeAutospacing="0" w:after="0" w:afterAutospacing="0"/>
              <w:ind w:left="0" w:right="0" w:firstLine="482"/>
              <w:rPr>
                <w:rFonts w:hint="default"/>
                <w:b/>
                <w:color w:val="auto"/>
              </w:rPr>
            </w:pPr>
            <w:r>
              <w:rPr>
                <w:rFonts w:hint="eastAsia"/>
                <w:b/>
                <w:color w:val="auto"/>
                <w:lang w:val="en-US" w:eastAsia="zh-CN"/>
              </w:rPr>
              <w:t>5</w:t>
            </w:r>
            <w:r>
              <w:rPr>
                <w:rFonts w:hint="default"/>
                <w:b/>
                <w:color w:val="auto"/>
              </w:rPr>
              <w:t>、</w:t>
            </w:r>
            <w:r>
              <w:rPr>
                <w:rFonts w:hint="eastAsia"/>
                <w:b/>
                <w:color w:val="auto"/>
              </w:rPr>
              <w:t>原</w:t>
            </w:r>
            <w:r>
              <w:rPr>
                <w:rFonts w:hint="default"/>
                <w:b/>
                <w:color w:val="auto"/>
              </w:rPr>
              <w:t>项目污染物排放情况</w:t>
            </w:r>
          </w:p>
          <w:p w14:paraId="2CB716C0">
            <w:pPr>
              <w:pStyle w:val="87"/>
              <w:keepNext w:val="0"/>
              <w:keepLines w:val="0"/>
              <w:suppressLineNumbers w:val="0"/>
              <w:spacing w:before="0" w:beforeAutospacing="0" w:after="0" w:afterAutospacing="0"/>
              <w:ind w:left="0" w:right="0" w:firstLine="480"/>
              <w:rPr>
                <w:rFonts w:hint="default"/>
                <w:color w:val="auto"/>
                <w:szCs w:val="24"/>
              </w:rPr>
            </w:pPr>
            <w:r>
              <w:rPr>
                <w:rFonts w:hint="default"/>
                <w:color w:val="auto"/>
                <w:szCs w:val="24"/>
                <w:lang w:val="zh-CN"/>
              </w:rPr>
              <w:t>2020年</w:t>
            </w:r>
            <w:r>
              <w:rPr>
                <w:rFonts w:hint="eastAsia"/>
                <w:color w:val="auto"/>
                <w:szCs w:val="24"/>
                <w:lang w:val="en-US" w:eastAsia="zh-CN"/>
              </w:rPr>
              <w:t>7</w:t>
            </w:r>
            <w:r>
              <w:rPr>
                <w:rFonts w:hint="default"/>
                <w:color w:val="auto"/>
                <w:szCs w:val="24"/>
              </w:rPr>
              <w:t>月</w:t>
            </w:r>
            <w:r>
              <w:rPr>
                <w:rFonts w:hint="eastAsia"/>
                <w:color w:val="auto"/>
                <w:szCs w:val="24"/>
                <w:lang w:val="en-US" w:eastAsia="zh-CN"/>
              </w:rPr>
              <w:t>19</w:t>
            </w:r>
            <w:r>
              <w:rPr>
                <w:rFonts w:hint="default"/>
                <w:color w:val="auto"/>
                <w:szCs w:val="24"/>
              </w:rPr>
              <w:t>日，根据相关要求，</w:t>
            </w:r>
            <w:r>
              <w:rPr>
                <w:rFonts w:hint="default"/>
                <w:color w:val="auto"/>
              </w:rPr>
              <w:t>立邦涂料（昆明）有限公司</w:t>
            </w:r>
            <w:r>
              <w:rPr>
                <w:rFonts w:hint="default"/>
                <w:color w:val="auto"/>
                <w:szCs w:val="24"/>
              </w:rPr>
              <w:t>申请了排污许可证，《排污许可证》编号为：</w:t>
            </w:r>
            <w:r>
              <w:rPr>
                <w:rFonts w:hint="eastAsia"/>
                <w:color w:val="auto"/>
                <w:sz w:val="24"/>
                <w:lang w:val="en-US" w:eastAsia="zh-CN"/>
              </w:rPr>
              <w:t>915301000642951353001Q</w:t>
            </w:r>
            <w:r>
              <w:rPr>
                <w:rFonts w:hint="default"/>
                <w:color w:val="auto"/>
                <w:szCs w:val="24"/>
              </w:rPr>
              <w:t>。建设单位严格按照《排污许可证》自行监测要求定期委托</w:t>
            </w:r>
            <w:r>
              <w:rPr>
                <w:rFonts w:hint="eastAsia"/>
                <w:color w:val="auto"/>
                <w:szCs w:val="24"/>
                <w:lang w:eastAsia="zh-CN"/>
              </w:rPr>
              <w:t>云南环绿环境检测技术有限公司</w:t>
            </w:r>
            <w:r>
              <w:rPr>
                <w:rFonts w:hint="default"/>
                <w:color w:val="auto"/>
                <w:szCs w:val="24"/>
              </w:rPr>
              <w:t>进行监测，并定期在全国排污许可证管理信息平台填报年度执行报告。</w:t>
            </w:r>
          </w:p>
          <w:p w14:paraId="61AE875B">
            <w:pPr>
              <w:pStyle w:val="87"/>
              <w:keepNext w:val="0"/>
              <w:keepLines w:val="0"/>
              <w:suppressLineNumbers w:val="0"/>
              <w:spacing w:before="0" w:beforeAutospacing="0" w:after="0" w:afterAutospacing="0"/>
              <w:ind w:left="0" w:right="0" w:firstLine="480"/>
              <w:rPr>
                <w:rFonts w:hint="default"/>
                <w:color w:val="auto"/>
                <w:szCs w:val="24"/>
              </w:rPr>
            </w:pPr>
            <w:r>
              <w:rPr>
                <w:rFonts w:hint="eastAsia"/>
                <w:color w:val="auto"/>
                <w:szCs w:val="24"/>
                <w:lang w:eastAsia="zh-CN"/>
              </w:rPr>
              <w:t>根据现场</w:t>
            </w:r>
            <w:r>
              <w:rPr>
                <w:rFonts w:hint="default"/>
                <w:color w:val="auto"/>
                <w:szCs w:val="24"/>
              </w:rPr>
              <w:t>调查，企业生产正常，没有发现变化，本次环评</w:t>
            </w:r>
            <w:r>
              <w:rPr>
                <w:rFonts w:hint="eastAsia"/>
                <w:color w:val="auto"/>
                <w:szCs w:val="24"/>
                <w:lang w:eastAsia="zh-CN"/>
              </w:rPr>
              <w:t>原</w:t>
            </w:r>
            <w:r>
              <w:rPr>
                <w:rFonts w:hint="default"/>
                <w:color w:val="auto"/>
                <w:szCs w:val="24"/>
              </w:rPr>
              <w:t>项目污染物的核算引用</w:t>
            </w:r>
            <w:r>
              <w:rPr>
                <w:rFonts w:hint="eastAsia"/>
                <w:color w:val="auto"/>
                <w:szCs w:val="24"/>
                <w:lang w:eastAsia="zh-CN"/>
              </w:rPr>
              <w:t>云南环绿环境检测技术有限公司</w:t>
            </w:r>
            <w:r>
              <w:rPr>
                <w:rFonts w:hint="default"/>
                <w:color w:val="auto"/>
                <w:szCs w:val="24"/>
              </w:rPr>
              <w:t>20</w:t>
            </w:r>
            <w:r>
              <w:rPr>
                <w:rFonts w:hint="eastAsia"/>
                <w:color w:val="auto"/>
                <w:szCs w:val="24"/>
                <w:lang w:val="en-US" w:eastAsia="zh-CN"/>
              </w:rPr>
              <w:t>23</w:t>
            </w:r>
            <w:r>
              <w:rPr>
                <w:rFonts w:hint="default"/>
                <w:color w:val="auto"/>
                <w:szCs w:val="24"/>
              </w:rPr>
              <w:t>年</w:t>
            </w:r>
            <w:r>
              <w:rPr>
                <w:rFonts w:hint="eastAsia"/>
                <w:color w:val="auto"/>
                <w:szCs w:val="24"/>
                <w:lang w:val="en-US" w:eastAsia="zh-CN"/>
              </w:rPr>
              <w:t>01</w:t>
            </w:r>
            <w:r>
              <w:rPr>
                <w:rFonts w:hint="default"/>
                <w:color w:val="auto"/>
                <w:szCs w:val="24"/>
              </w:rPr>
              <w:t>月</w:t>
            </w:r>
            <w:r>
              <w:rPr>
                <w:rFonts w:hint="eastAsia"/>
                <w:color w:val="auto"/>
                <w:szCs w:val="24"/>
                <w:lang w:val="en-US" w:eastAsia="zh-CN"/>
              </w:rPr>
              <w:t>04</w:t>
            </w:r>
            <w:r>
              <w:rPr>
                <w:rFonts w:hint="default"/>
                <w:color w:val="auto"/>
                <w:szCs w:val="24"/>
              </w:rPr>
              <w:t>日出具的《</w:t>
            </w:r>
            <w:r>
              <w:rPr>
                <w:rFonts w:hint="eastAsia"/>
                <w:color w:val="auto"/>
                <w:szCs w:val="24"/>
                <w:lang w:eastAsia="zh-CN"/>
              </w:rPr>
              <w:t>立邦涂料（昆明）有限公司</w:t>
            </w:r>
            <w:r>
              <w:rPr>
                <w:rFonts w:hint="eastAsia"/>
                <w:color w:val="auto"/>
                <w:szCs w:val="24"/>
                <w:lang w:val="en-US" w:eastAsia="zh-CN"/>
              </w:rPr>
              <w:t>2022年第四季度</w:t>
            </w:r>
            <w:r>
              <w:rPr>
                <w:rFonts w:hint="eastAsia"/>
                <w:color w:val="auto"/>
                <w:szCs w:val="24"/>
                <w:lang w:eastAsia="zh-CN"/>
              </w:rPr>
              <w:t>自行</w:t>
            </w:r>
            <w:r>
              <w:rPr>
                <w:rFonts w:hint="default"/>
                <w:color w:val="auto"/>
                <w:szCs w:val="24"/>
              </w:rPr>
              <w:t>检测报告》（H</w:t>
            </w:r>
            <w:r>
              <w:rPr>
                <w:rFonts w:hint="eastAsia"/>
                <w:color w:val="auto"/>
                <w:szCs w:val="24"/>
                <w:lang w:val="en-US" w:eastAsia="zh-CN"/>
              </w:rPr>
              <w:t>L</w:t>
            </w:r>
            <w:r>
              <w:rPr>
                <w:rFonts w:hint="default"/>
                <w:color w:val="auto"/>
                <w:szCs w:val="24"/>
              </w:rPr>
              <w:t>202</w:t>
            </w:r>
            <w:r>
              <w:rPr>
                <w:rFonts w:hint="eastAsia"/>
                <w:color w:val="auto"/>
                <w:szCs w:val="24"/>
                <w:lang w:val="en-US" w:eastAsia="zh-CN"/>
              </w:rPr>
              <w:t>21216005</w:t>
            </w:r>
            <w:r>
              <w:rPr>
                <w:rFonts w:hint="default"/>
                <w:color w:val="auto"/>
                <w:szCs w:val="24"/>
              </w:rPr>
              <w:t>）</w:t>
            </w:r>
            <w:r>
              <w:rPr>
                <w:rFonts w:hint="eastAsia"/>
                <w:color w:val="auto"/>
                <w:szCs w:val="24"/>
                <w:lang w:val="en-US" w:eastAsia="zh-CN"/>
              </w:rPr>
              <w:t>及原项目验收监测期间的实测数据</w:t>
            </w:r>
            <w:r>
              <w:rPr>
                <w:rFonts w:hint="default"/>
                <w:color w:val="auto"/>
                <w:szCs w:val="24"/>
              </w:rPr>
              <w:t>。</w:t>
            </w:r>
          </w:p>
          <w:p w14:paraId="5A2C9C4D">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（1）废水</w:t>
            </w:r>
          </w:p>
          <w:p w14:paraId="09C98FA4">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1）废水的产排情况</w:t>
            </w:r>
          </w:p>
          <w:p w14:paraId="2DC50857">
            <w:pPr>
              <w:pStyle w:val="12"/>
              <w:keepNext w:val="0"/>
              <w:keepLines w:val="0"/>
              <w:suppressLineNumbers w:val="0"/>
              <w:spacing w:before="0" w:beforeAutospacing="0" w:after="0" w:afterAutospacing="0" w:line="360" w:lineRule="auto"/>
              <w:ind w:left="0" w:firstLine="480" w:firstLineChars="200"/>
              <w:rPr>
                <w:rFonts w:hint="default"/>
                <w:color w:val="auto"/>
                <w:sz w:val="24"/>
                <w:szCs w:val="24"/>
              </w:rPr>
            </w:pPr>
            <w:r>
              <w:rPr>
                <w:rFonts w:hint="eastAsia"/>
                <w:color w:val="auto"/>
                <w:kern w:val="2"/>
                <w:sz w:val="24"/>
                <w:szCs w:val="24"/>
                <w:lang w:eastAsia="zh-CN"/>
              </w:rPr>
              <w:t>根据</w:t>
            </w:r>
            <w:r>
              <w:rPr>
                <w:rFonts w:hint="default"/>
                <w:color w:val="auto"/>
                <w:kern w:val="2"/>
                <w:sz w:val="24"/>
                <w:szCs w:val="24"/>
              </w:rPr>
              <w:t>现场进行调查，企业生产正常，没有发现变化，本次环评项目废水污染物产排情况引用</w:t>
            </w:r>
            <w:r>
              <w:rPr>
                <w:rFonts w:hint="default"/>
                <w:color w:val="auto"/>
                <w:sz w:val="24"/>
                <w:szCs w:val="24"/>
              </w:rPr>
              <w:t>原环评及验收中的资料。</w:t>
            </w:r>
          </w:p>
          <w:p w14:paraId="5816AD2E">
            <w:pPr>
              <w:pStyle w:val="12"/>
              <w:keepNext w:val="0"/>
              <w:keepLines w:val="0"/>
              <w:suppressLineNumbers w:val="0"/>
              <w:spacing w:before="0" w:beforeAutospacing="0" w:after="0" w:afterAutospacing="0" w:line="240" w:lineRule="auto"/>
              <w:ind w:left="0" w:firstLine="480" w:firstLineChars="200"/>
              <w:jc w:val="left"/>
              <w:rPr>
                <w:rFonts w:hint="eastAsia"/>
                <w:color w:val="auto"/>
                <w:sz w:val="24"/>
                <w:szCs w:val="21"/>
                <w:lang w:val="en-US" w:eastAsia="zh-CN"/>
              </w:rPr>
            </w:pPr>
            <w:r>
              <w:rPr>
                <w:rFonts w:hint="default"/>
                <w:color w:val="auto"/>
                <w:sz w:val="24"/>
                <w:szCs w:val="21"/>
              </w:rPr>
              <w:t>全厂水量平衡见图2-</w:t>
            </w:r>
            <w:r>
              <w:rPr>
                <w:rFonts w:hint="eastAsia"/>
                <w:color w:val="auto"/>
                <w:sz w:val="24"/>
                <w:szCs w:val="21"/>
                <w:lang w:val="en-US" w:eastAsia="zh-CN"/>
              </w:rPr>
              <w:t>7。</w:t>
            </w:r>
          </w:p>
          <w:p w14:paraId="74F81337">
            <w:pPr>
              <w:pStyle w:val="12"/>
              <w:keepNext w:val="0"/>
              <w:keepLines w:val="0"/>
              <w:suppressLineNumbers w:val="0"/>
              <w:spacing w:before="0" w:beforeAutospacing="0" w:after="0" w:afterAutospacing="0" w:line="240" w:lineRule="auto"/>
              <w:ind w:left="0"/>
              <w:jc w:val="left"/>
              <w:rPr>
                <w:rFonts w:hint="eastAsia" w:eastAsia="宋体"/>
                <w:color w:val="auto"/>
                <w:sz w:val="24"/>
                <w:szCs w:val="21"/>
                <w:lang w:eastAsia="zh-CN"/>
              </w:rPr>
            </w:pPr>
            <w:r>
              <w:rPr>
                <w:rFonts w:hint="eastAsia" w:eastAsia="宋体"/>
                <w:color w:val="auto"/>
                <w:sz w:val="24"/>
                <w:szCs w:val="21"/>
                <w:lang w:eastAsia="zh-CN"/>
              </w:rPr>
              <w:drawing>
                <wp:inline distT="0" distB="0" distL="114300" distR="114300">
                  <wp:extent cx="5199380" cy="3695065"/>
                  <wp:effectExtent l="0" t="0" r="7620" b="635"/>
                  <wp:docPr id="34" name="图片 3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1"/>
                          <pic:cNvPicPr>
                            <a:picLocks noChangeAspect="1"/>
                          </pic:cNvPicPr>
                        </pic:nvPicPr>
                        <pic:blipFill>
                          <a:blip r:embed="rId32"/>
                          <a:stretch>
                            <a:fillRect/>
                          </a:stretch>
                        </pic:blipFill>
                        <pic:spPr>
                          <a:xfrm>
                            <a:off x="0" y="0"/>
                            <a:ext cx="5199380" cy="3695065"/>
                          </a:xfrm>
                          <a:prstGeom prst="rect">
                            <a:avLst/>
                          </a:prstGeom>
                        </pic:spPr>
                      </pic:pic>
                    </a:graphicData>
                  </a:graphic>
                </wp:inline>
              </w:drawing>
            </w:r>
          </w:p>
          <w:p w14:paraId="332C53D2">
            <w:pPr>
              <w:keepNext w:val="0"/>
              <w:keepLines w:val="0"/>
              <w:suppressLineNumbers w:val="0"/>
              <w:snapToGrid w:val="0"/>
              <w:spacing w:before="0" w:beforeAutospacing="0" w:after="0" w:afterAutospacing="0" w:line="360" w:lineRule="auto"/>
              <w:ind w:left="0" w:right="0"/>
              <w:jc w:val="center"/>
              <w:rPr>
                <w:rFonts w:hint="default"/>
                <w:b/>
                <w:color w:val="auto"/>
              </w:rPr>
            </w:pPr>
            <w:r>
              <w:rPr>
                <w:rFonts w:hint="default"/>
                <w:b/>
                <w:color w:val="auto"/>
              </w:rPr>
              <w:t>图2-</w:t>
            </w:r>
            <w:r>
              <w:rPr>
                <w:rFonts w:hint="eastAsia"/>
                <w:b/>
                <w:color w:val="auto"/>
                <w:lang w:val="en-US" w:eastAsia="zh-CN"/>
              </w:rPr>
              <w:t>7</w:t>
            </w:r>
            <w:r>
              <w:rPr>
                <w:rFonts w:hint="default"/>
                <w:b/>
                <w:color w:val="auto"/>
              </w:rPr>
              <w:t xml:space="preserve"> </w:t>
            </w:r>
            <w:r>
              <w:rPr>
                <w:rFonts w:hint="eastAsia"/>
                <w:b/>
                <w:color w:val="auto"/>
                <w:lang w:eastAsia="zh-CN"/>
              </w:rPr>
              <w:t>原项目</w:t>
            </w:r>
            <w:r>
              <w:rPr>
                <w:rFonts w:hint="default"/>
                <w:b/>
                <w:color w:val="auto"/>
              </w:rPr>
              <w:t>全厂水量的平衡图（m</w:t>
            </w:r>
            <w:r>
              <w:rPr>
                <w:rFonts w:hint="default"/>
                <w:b/>
                <w:color w:val="auto"/>
                <w:vertAlign w:val="superscript"/>
              </w:rPr>
              <w:t>3</w:t>
            </w:r>
            <w:r>
              <w:rPr>
                <w:rFonts w:hint="default"/>
                <w:b/>
                <w:color w:val="auto"/>
              </w:rPr>
              <w:t>/</w:t>
            </w:r>
            <w:r>
              <w:rPr>
                <w:rFonts w:hint="eastAsia"/>
                <w:b/>
                <w:color w:val="auto"/>
                <w:lang w:val="en-US" w:eastAsia="zh-CN"/>
              </w:rPr>
              <w:t>d</w:t>
            </w:r>
            <w:r>
              <w:rPr>
                <w:rFonts w:hint="default"/>
                <w:b/>
                <w:color w:val="auto"/>
              </w:rPr>
              <w:t>）</w:t>
            </w:r>
          </w:p>
          <w:p w14:paraId="746AE9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auto"/>
                <w:sz w:val="24"/>
                <w:szCs w:val="21"/>
              </w:rPr>
            </w:pPr>
            <w:r>
              <w:rPr>
                <w:rFonts w:hint="default"/>
                <w:color w:val="auto"/>
                <w:sz w:val="24"/>
                <w:szCs w:val="21"/>
              </w:rPr>
              <w:t>由水量平衡图可见，全厂废水产生量</w:t>
            </w:r>
            <w:r>
              <w:rPr>
                <w:rFonts w:hint="eastAsia"/>
                <w:color w:val="auto"/>
                <w:sz w:val="24"/>
                <w:szCs w:val="21"/>
                <w:lang w:val="en-US" w:eastAsia="zh-CN"/>
              </w:rPr>
              <w:t>21.5</w:t>
            </w:r>
            <w:r>
              <w:rPr>
                <w:rFonts w:hint="default"/>
                <w:color w:val="auto"/>
                <w:sz w:val="24"/>
                <w:szCs w:val="21"/>
              </w:rPr>
              <w:t>m</w:t>
            </w:r>
            <w:r>
              <w:rPr>
                <w:rFonts w:hint="default"/>
                <w:color w:val="auto"/>
                <w:sz w:val="24"/>
                <w:szCs w:val="21"/>
                <w:vertAlign w:val="superscript"/>
              </w:rPr>
              <w:t>3</w:t>
            </w:r>
            <w:r>
              <w:rPr>
                <w:rFonts w:hint="default"/>
                <w:color w:val="auto"/>
                <w:sz w:val="24"/>
                <w:szCs w:val="21"/>
              </w:rPr>
              <w:t>/d。</w:t>
            </w:r>
            <w:r>
              <w:rPr>
                <w:rFonts w:hint="eastAsia"/>
                <w:color w:val="auto"/>
                <w:sz w:val="24"/>
                <w:szCs w:val="21"/>
                <w:lang w:eastAsia="zh-CN"/>
              </w:rPr>
              <w:t>生产废气及办公生活污水最终经自建污水处理系统处理后，进入园区污水管网，最终进入富民工业园区哨箐机械加工园污水处理厂</w:t>
            </w:r>
            <w:r>
              <w:rPr>
                <w:rFonts w:hint="default"/>
                <w:color w:val="auto"/>
                <w:sz w:val="24"/>
              </w:rPr>
              <w:t>。</w:t>
            </w:r>
          </w:p>
          <w:p w14:paraId="55736D42">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3）</w:t>
            </w:r>
            <w:r>
              <w:rPr>
                <w:rFonts w:hint="eastAsia"/>
                <w:b/>
                <w:color w:val="auto"/>
                <w:lang w:eastAsia="zh-CN"/>
              </w:rPr>
              <w:t>自建污水处理系统</w:t>
            </w:r>
            <w:r>
              <w:rPr>
                <w:rFonts w:hint="default"/>
                <w:b/>
                <w:color w:val="auto"/>
              </w:rPr>
              <w:t>处理效果分析</w:t>
            </w:r>
          </w:p>
          <w:p w14:paraId="4E694767">
            <w:pPr>
              <w:keepNext w:val="0"/>
              <w:keepLines w:val="0"/>
              <w:suppressLineNumbers w:val="0"/>
              <w:spacing w:before="0" w:beforeAutospacing="0" w:after="0" w:afterAutospacing="0" w:line="360" w:lineRule="auto"/>
              <w:ind w:left="0" w:right="0"/>
              <w:jc w:val="both"/>
              <w:rPr>
                <w:rFonts w:hint="eastAsia" w:eastAsia="宋体"/>
                <w:color w:val="auto"/>
                <w:sz w:val="24"/>
                <w:szCs w:val="24"/>
                <w:lang w:eastAsia="zh-CN"/>
              </w:rPr>
            </w:pPr>
            <w:r>
              <w:rPr>
                <w:rFonts w:hint="eastAsia"/>
                <w:color w:val="auto"/>
                <w:sz w:val="24"/>
                <w:szCs w:val="24"/>
                <w:lang w:val="en-US" w:eastAsia="zh-CN"/>
              </w:rPr>
              <w:t xml:space="preserve">  </w:t>
            </w:r>
            <w:r>
              <w:rPr>
                <w:rFonts w:hint="eastAsia"/>
                <w:color w:val="auto"/>
                <w:sz w:val="24"/>
                <w:szCs w:val="24"/>
                <w:lang w:eastAsia="zh-CN"/>
              </w:rPr>
              <w:t>厂区自建</w:t>
            </w:r>
            <w:r>
              <w:rPr>
                <w:rFonts w:hint="eastAsia"/>
                <w:color w:val="auto"/>
                <w:sz w:val="24"/>
                <w:szCs w:val="24"/>
                <w:lang w:val="en-US" w:eastAsia="zh-CN"/>
              </w:rPr>
              <w:t>1个处理规模为50</w:t>
            </w:r>
            <w:r>
              <w:rPr>
                <w:rFonts w:hint="default"/>
                <w:color w:val="auto"/>
                <w:sz w:val="24"/>
                <w:szCs w:val="21"/>
              </w:rPr>
              <w:t>m</w:t>
            </w:r>
            <w:r>
              <w:rPr>
                <w:rFonts w:hint="default"/>
                <w:color w:val="auto"/>
                <w:sz w:val="24"/>
                <w:szCs w:val="21"/>
                <w:vertAlign w:val="superscript"/>
              </w:rPr>
              <w:t>3</w:t>
            </w:r>
            <w:r>
              <w:rPr>
                <w:rFonts w:hint="default"/>
                <w:color w:val="auto"/>
                <w:sz w:val="24"/>
                <w:szCs w:val="21"/>
              </w:rPr>
              <w:t>/d</w:t>
            </w:r>
            <w:r>
              <w:rPr>
                <w:rFonts w:hint="eastAsia"/>
                <w:color w:val="auto"/>
                <w:sz w:val="24"/>
                <w:szCs w:val="21"/>
                <w:lang w:eastAsia="zh-CN"/>
              </w:rPr>
              <w:t>，处理</w:t>
            </w:r>
            <w:r>
              <w:rPr>
                <w:rFonts w:hint="eastAsia"/>
                <w:color w:val="auto"/>
                <w:sz w:val="24"/>
                <w:szCs w:val="24"/>
                <w:lang w:val="en-US" w:eastAsia="zh-CN"/>
              </w:rPr>
              <w:t>工艺为“</w:t>
            </w:r>
            <w:r>
              <w:rPr>
                <w:rFonts w:hint="default"/>
                <w:color w:val="auto"/>
                <w:sz w:val="24"/>
                <w:szCs w:val="24"/>
              </w:rPr>
              <w:t>混凝沉淀+UASB 反应+MBR 膜池</w:t>
            </w:r>
            <w:r>
              <w:rPr>
                <w:rFonts w:hint="eastAsia"/>
                <w:color w:val="auto"/>
                <w:sz w:val="24"/>
                <w:szCs w:val="24"/>
                <w:lang w:val="en-US" w:eastAsia="zh-CN"/>
              </w:rPr>
              <w:t>”</w:t>
            </w:r>
            <w:r>
              <w:rPr>
                <w:rFonts w:hint="default"/>
                <w:color w:val="auto"/>
                <w:sz w:val="24"/>
                <w:szCs w:val="24"/>
              </w:rPr>
              <w:t>的三级处理工艺</w:t>
            </w:r>
            <w:r>
              <w:rPr>
                <w:rFonts w:hint="eastAsia"/>
                <w:color w:val="auto"/>
                <w:sz w:val="24"/>
                <w:szCs w:val="24"/>
                <w:lang w:eastAsia="zh-CN"/>
              </w:rPr>
              <w:t>，具体的处理工艺见下图。</w:t>
            </w:r>
          </w:p>
          <w:p w14:paraId="330FB89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textAlignment w:val="auto"/>
              <w:rPr>
                <w:rFonts w:hint="eastAsia" w:ascii="Times New Roman" w:hAnsi="Times New Roman" w:eastAsia="宋体" w:cs="Times New Roman"/>
                <w:b/>
                <w:bCs/>
                <w:color w:val="auto"/>
                <w:szCs w:val="20"/>
                <w:lang w:eastAsia="zh-CN"/>
              </w:rPr>
            </w:pPr>
            <w:r>
              <w:rPr>
                <w:rFonts w:hint="eastAsia" w:ascii="Times New Roman" w:hAnsi="Times New Roman" w:eastAsia="宋体" w:cs="Times New Roman"/>
                <w:b/>
                <w:bCs/>
                <w:color w:val="auto"/>
                <w:szCs w:val="20"/>
                <w:lang w:eastAsia="zh-CN"/>
              </w:rPr>
              <w:drawing>
                <wp:inline distT="0" distB="0" distL="114300" distR="114300">
                  <wp:extent cx="3865245" cy="2936875"/>
                  <wp:effectExtent l="0" t="0" r="5715" b="444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33"/>
                          <a:stretch>
                            <a:fillRect/>
                          </a:stretch>
                        </pic:blipFill>
                        <pic:spPr>
                          <a:xfrm>
                            <a:off x="0" y="0"/>
                            <a:ext cx="3865245" cy="2936875"/>
                          </a:xfrm>
                          <a:prstGeom prst="rect">
                            <a:avLst/>
                          </a:prstGeom>
                        </pic:spPr>
                      </pic:pic>
                    </a:graphicData>
                  </a:graphic>
                </wp:inline>
              </w:drawing>
            </w:r>
          </w:p>
          <w:p w14:paraId="766CFC2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422"/>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图2-</w:t>
            </w:r>
            <w:r>
              <w:rPr>
                <w:rFonts w:hint="eastAsia" w:ascii="Times New Roman" w:hAnsi="Times New Roman" w:cs="Times New Roman"/>
                <w:b/>
                <w:bCs/>
                <w:color w:val="auto"/>
                <w:sz w:val="21"/>
                <w:szCs w:val="21"/>
                <w:lang w:val="en-US" w:eastAsia="zh-CN"/>
              </w:rPr>
              <w:t>8</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eastAsia="zh-CN"/>
              </w:rPr>
              <w:t>污水处理系统处理</w:t>
            </w:r>
            <w:r>
              <w:rPr>
                <w:rFonts w:hint="default" w:ascii="Times New Roman" w:hAnsi="Times New Roman" w:eastAsia="宋体" w:cs="Times New Roman"/>
                <w:b/>
                <w:bCs/>
                <w:color w:val="auto"/>
                <w:sz w:val="21"/>
                <w:szCs w:val="21"/>
              </w:rPr>
              <w:t>工艺流程</w:t>
            </w:r>
          </w:p>
          <w:p w14:paraId="33EF84FE">
            <w:pPr>
              <w:pStyle w:val="87"/>
              <w:keepNext w:val="0"/>
              <w:keepLines w:val="0"/>
              <w:suppressLineNumbers w:val="0"/>
              <w:spacing w:before="0" w:beforeAutospacing="0" w:after="0" w:afterAutospacing="0"/>
              <w:ind w:left="0" w:right="0" w:firstLine="480"/>
              <w:rPr>
                <w:rFonts w:hint="default"/>
                <w:color w:val="auto"/>
              </w:rPr>
            </w:pPr>
            <w:r>
              <w:rPr>
                <w:rFonts w:hint="eastAsia"/>
                <w:color w:val="auto"/>
                <w:szCs w:val="24"/>
                <w:lang w:eastAsia="zh-CN"/>
              </w:rPr>
              <w:t>根据原项目</w:t>
            </w:r>
            <w:r>
              <w:rPr>
                <w:rFonts w:hint="eastAsia"/>
                <w:color w:val="auto"/>
                <w:szCs w:val="24"/>
                <w:lang w:val="en-US" w:eastAsia="zh-CN"/>
              </w:rPr>
              <w:t>验收检测数据</w:t>
            </w:r>
            <w:r>
              <w:rPr>
                <w:rFonts w:hint="eastAsia"/>
                <w:color w:val="auto"/>
                <w:szCs w:val="24"/>
                <w:lang w:eastAsia="zh-CN"/>
              </w:rPr>
              <w:t>，</w:t>
            </w:r>
            <w:r>
              <w:rPr>
                <w:rFonts w:hint="eastAsia"/>
                <w:color w:val="auto"/>
                <w:lang w:eastAsia="zh-CN"/>
              </w:rPr>
              <w:t>污水</w:t>
            </w:r>
            <w:r>
              <w:rPr>
                <w:rFonts w:hint="default"/>
                <w:color w:val="auto"/>
              </w:rPr>
              <w:t>处理</w:t>
            </w:r>
            <w:r>
              <w:rPr>
                <w:rFonts w:hint="eastAsia"/>
                <w:color w:val="auto"/>
                <w:lang w:eastAsia="zh-CN"/>
              </w:rPr>
              <w:t>系统的</w:t>
            </w:r>
            <w:r>
              <w:rPr>
                <w:rFonts w:hint="eastAsia"/>
                <w:color w:val="auto"/>
                <w:lang w:val="en-US" w:eastAsia="zh-CN"/>
              </w:rPr>
              <w:t>进出</w:t>
            </w:r>
            <w:r>
              <w:rPr>
                <w:rFonts w:hint="default"/>
                <w:color w:val="auto"/>
              </w:rPr>
              <w:t>水水质情况</w:t>
            </w:r>
            <w:r>
              <w:rPr>
                <w:rFonts w:hint="eastAsia"/>
                <w:color w:val="auto"/>
                <w:lang w:val="en-US" w:eastAsia="zh-CN"/>
              </w:rPr>
              <w:t>见</w:t>
            </w:r>
            <w:r>
              <w:rPr>
                <w:rFonts w:hint="eastAsia"/>
                <w:color w:val="auto"/>
                <w:lang w:eastAsia="zh-CN"/>
              </w:rPr>
              <w:t>下</w:t>
            </w:r>
            <w:r>
              <w:rPr>
                <w:rFonts w:hint="default"/>
                <w:color w:val="auto"/>
              </w:rPr>
              <w:t>表。</w:t>
            </w:r>
          </w:p>
          <w:p w14:paraId="46AD0E12">
            <w:pPr>
              <w:keepNext w:val="0"/>
              <w:keepLines w:val="0"/>
              <w:suppressLineNumbers w:val="0"/>
              <w:spacing w:before="0" w:beforeAutospacing="0" w:after="0" w:afterAutospacing="0"/>
              <w:ind w:left="0" w:right="0" w:firstLine="211" w:firstLineChars="100"/>
              <w:jc w:val="center"/>
              <w:rPr>
                <w:rFonts w:hint="default"/>
                <w:color w:val="auto"/>
                <w:szCs w:val="21"/>
              </w:rPr>
            </w:pPr>
            <w:r>
              <w:rPr>
                <w:rFonts w:hint="default"/>
                <w:b/>
                <w:color w:val="auto"/>
                <w:szCs w:val="21"/>
              </w:rPr>
              <w:t>表2-</w:t>
            </w:r>
            <w:r>
              <w:rPr>
                <w:rFonts w:hint="eastAsia"/>
                <w:b/>
                <w:color w:val="auto"/>
                <w:szCs w:val="21"/>
                <w:lang w:val="en-US" w:eastAsia="zh-CN"/>
              </w:rPr>
              <w:t>22</w:t>
            </w:r>
            <w:r>
              <w:rPr>
                <w:rFonts w:hint="default"/>
                <w:b/>
                <w:color w:val="auto"/>
                <w:szCs w:val="21"/>
              </w:rPr>
              <w:t xml:space="preserve">    </w:t>
            </w:r>
            <w:r>
              <w:rPr>
                <w:rFonts w:hint="eastAsia"/>
                <w:b/>
                <w:color w:val="auto"/>
                <w:szCs w:val="21"/>
                <w:lang w:eastAsia="zh-CN"/>
              </w:rPr>
              <w:t>污水处理系统</w:t>
            </w:r>
            <w:r>
              <w:rPr>
                <w:rFonts w:hint="default"/>
                <w:b/>
                <w:color w:val="auto"/>
                <w:szCs w:val="21"/>
              </w:rPr>
              <w:t>出口水质    浓度（pH无量纲，其余mg/L）</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72"/>
              <w:gridCol w:w="602"/>
              <w:gridCol w:w="608"/>
              <w:gridCol w:w="863"/>
              <w:gridCol w:w="694"/>
              <w:gridCol w:w="814"/>
              <w:gridCol w:w="772"/>
              <w:gridCol w:w="793"/>
              <w:gridCol w:w="803"/>
              <w:gridCol w:w="581"/>
              <w:gridCol w:w="573"/>
            </w:tblGrid>
            <w:tr w14:paraId="26FA8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6AE43C8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监测点</w:t>
                  </w:r>
                </w:p>
              </w:tc>
              <w:tc>
                <w:tcPr>
                  <w:tcW w:w="722" w:type="pct"/>
                  <w:gridSpan w:val="2"/>
                  <w:vAlign w:val="center"/>
                </w:tcPr>
                <w:p w14:paraId="4B960DB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污水处理设施进口</w:t>
                  </w:r>
                </w:p>
              </w:tc>
              <w:tc>
                <w:tcPr>
                  <w:tcW w:w="2828" w:type="pct"/>
                  <w:gridSpan w:val="6"/>
                  <w:vAlign w:val="center"/>
                </w:tcPr>
                <w:p w14:paraId="6F03D5C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污水处理设施出口</w:t>
                  </w:r>
                </w:p>
              </w:tc>
              <w:tc>
                <w:tcPr>
                  <w:tcW w:w="347" w:type="pct"/>
                  <w:vMerge w:val="restart"/>
                  <w:vAlign w:val="center"/>
                </w:tcPr>
                <w:p w14:paraId="4354371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进口平均值</w:t>
                  </w:r>
                </w:p>
              </w:tc>
              <w:tc>
                <w:tcPr>
                  <w:tcW w:w="342" w:type="pct"/>
                  <w:vMerge w:val="restart"/>
                  <w:vAlign w:val="center"/>
                </w:tcPr>
                <w:p w14:paraId="4F766A1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出口平均值</w:t>
                  </w:r>
                </w:p>
              </w:tc>
            </w:tr>
            <w:tr w14:paraId="6E3AB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Merge w:val="restart"/>
                  <w:vAlign w:val="center"/>
                </w:tcPr>
                <w:p w14:paraId="5463179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时间</w:t>
                  </w:r>
                </w:p>
                <w:p w14:paraId="038E811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指标</w:t>
                  </w:r>
                </w:p>
              </w:tc>
              <w:tc>
                <w:tcPr>
                  <w:tcW w:w="359" w:type="pct"/>
                  <w:vMerge w:val="restart"/>
                  <w:vAlign w:val="center"/>
                </w:tcPr>
                <w:p w14:paraId="51772BE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09:20</w:t>
                  </w:r>
                </w:p>
              </w:tc>
              <w:tc>
                <w:tcPr>
                  <w:tcW w:w="362" w:type="pct"/>
                  <w:vMerge w:val="restart"/>
                  <w:vAlign w:val="center"/>
                </w:tcPr>
                <w:p w14:paraId="21C40E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09:05</w:t>
                  </w:r>
                </w:p>
              </w:tc>
              <w:tc>
                <w:tcPr>
                  <w:tcW w:w="1415" w:type="pct"/>
                  <w:gridSpan w:val="3"/>
                  <w:vAlign w:val="center"/>
                </w:tcPr>
                <w:p w14:paraId="4110F18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2019.05.08</w:t>
                  </w:r>
                </w:p>
              </w:tc>
              <w:tc>
                <w:tcPr>
                  <w:tcW w:w="1412" w:type="pct"/>
                  <w:gridSpan w:val="3"/>
                  <w:vAlign w:val="center"/>
                </w:tcPr>
                <w:p w14:paraId="5B3897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2019.05.09</w:t>
                  </w:r>
                </w:p>
              </w:tc>
              <w:tc>
                <w:tcPr>
                  <w:tcW w:w="347" w:type="pct"/>
                  <w:vMerge w:val="continue"/>
                  <w:tcBorders>
                    <w:top w:val="nil"/>
                  </w:tcBorders>
                  <w:vAlign w:val="center"/>
                </w:tcPr>
                <w:p w14:paraId="35B71A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42" w:type="pct"/>
                  <w:vMerge w:val="continue"/>
                  <w:tcBorders>
                    <w:top w:val="nil"/>
                  </w:tcBorders>
                  <w:vAlign w:val="center"/>
                </w:tcPr>
                <w:p w14:paraId="3C454D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r>
            <w:tr w14:paraId="52F1B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Merge w:val="continue"/>
                  <w:tcBorders>
                    <w:top w:val="nil"/>
                  </w:tcBorders>
                  <w:vAlign w:val="center"/>
                </w:tcPr>
                <w:p w14:paraId="21D768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59" w:type="pct"/>
                  <w:vMerge w:val="continue"/>
                  <w:tcBorders>
                    <w:top w:val="nil"/>
                  </w:tcBorders>
                  <w:vAlign w:val="center"/>
                </w:tcPr>
                <w:p w14:paraId="0609FD8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p>
              </w:tc>
              <w:tc>
                <w:tcPr>
                  <w:tcW w:w="362" w:type="pct"/>
                  <w:vMerge w:val="continue"/>
                  <w:tcBorders>
                    <w:top w:val="nil"/>
                  </w:tcBorders>
                  <w:vAlign w:val="center"/>
                </w:tcPr>
                <w:p w14:paraId="32DF73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p>
              </w:tc>
              <w:tc>
                <w:tcPr>
                  <w:tcW w:w="515" w:type="pct"/>
                  <w:vAlign w:val="center"/>
                </w:tcPr>
                <w:p w14:paraId="0E3B6A7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09:10</w:t>
                  </w:r>
                </w:p>
              </w:tc>
              <w:tc>
                <w:tcPr>
                  <w:tcW w:w="414" w:type="pct"/>
                  <w:vAlign w:val="center"/>
                </w:tcPr>
                <w:p w14:paraId="11A7D7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10:10</w:t>
                  </w:r>
                </w:p>
              </w:tc>
              <w:tc>
                <w:tcPr>
                  <w:tcW w:w="486" w:type="pct"/>
                  <w:vAlign w:val="center"/>
                </w:tcPr>
                <w:p w14:paraId="174661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11:10</w:t>
                  </w:r>
                </w:p>
              </w:tc>
              <w:tc>
                <w:tcPr>
                  <w:tcW w:w="461" w:type="pct"/>
                  <w:vAlign w:val="center"/>
                </w:tcPr>
                <w:p w14:paraId="0CA86FF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09:12</w:t>
                  </w:r>
                </w:p>
              </w:tc>
              <w:tc>
                <w:tcPr>
                  <w:tcW w:w="473" w:type="pct"/>
                  <w:vAlign w:val="center"/>
                </w:tcPr>
                <w:p w14:paraId="6E34801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10:15</w:t>
                  </w:r>
                </w:p>
              </w:tc>
              <w:tc>
                <w:tcPr>
                  <w:tcW w:w="477" w:type="pct"/>
                  <w:vAlign w:val="center"/>
                </w:tcPr>
                <w:p w14:paraId="7D16ECF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11:10</w:t>
                  </w:r>
                </w:p>
              </w:tc>
              <w:tc>
                <w:tcPr>
                  <w:tcW w:w="347" w:type="pct"/>
                  <w:vMerge w:val="continue"/>
                  <w:tcBorders>
                    <w:top w:val="nil"/>
                  </w:tcBorders>
                  <w:vAlign w:val="center"/>
                </w:tcPr>
                <w:p w14:paraId="5666A9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42" w:type="pct"/>
                  <w:vMerge w:val="continue"/>
                  <w:tcBorders>
                    <w:top w:val="nil"/>
                  </w:tcBorders>
                  <w:vAlign w:val="center"/>
                </w:tcPr>
                <w:p w14:paraId="6AFC9D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r>
            <w:tr w14:paraId="02B6D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2C2D92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pH(无量纲)</w:t>
                  </w:r>
                </w:p>
              </w:tc>
              <w:tc>
                <w:tcPr>
                  <w:tcW w:w="359" w:type="pct"/>
                  <w:vAlign w:val="center"/>
                </w:tcPr>
                <w:p w14:paraId="79019A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7.48</w:t>
                  </w:r>
                </w:p>
              </w:tc>
              <w:tc>
                <w:tcPr>
                  <w:tcW w:w="362" w:type="pct"/>
                  <w:vAlign w:val="center"/>
                </w:tcPr>
                <w:p w14:paraId="63485C3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7.42</w:t>
                  </w:r>
                </w:p>
              </w:tc>
              <w:tc>
                <w:tcPr>
                  <w:tcW w:w="515" w:type="pct"/>
                  <w:vAlign w:val="center"/>
                </w:tcPr>
                <w:p w14:paraId="039A47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7.84</w:t>
                  </w:r>
                </w:p>
              </w:tc>
              <w:tc>
                <w:tcPr>
                  <w:tcW w:w="414" w:type="pct"/>
                  <w:vAlign w:val="center"/>
                </w:tcPr>
                <w:p w14:paraId="05869AE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7.90</w:t>
                  </w:r>
                </w:p>
              </w:tc>
              <w:tc>
                <w:tcPr>
                  <w:tcW w:w="486" w:type="pct"/>
                  <w:vAlign w:val="center"/>
                </w:tcPr>
                <w:p w14:paraId="1D57944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7.88</w:t>
                  </w:r>
                </w:p>
              </w:tc>
              <w:tc>
                <w:tcPr>
                  <w:tcW w:w="461" w:type="pct"/>
                  <w:vAlign w:val="center"/>
                </w:tcPr>
                <w:p w14:paraId="14F426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7.82</w:t>
                  </w:r>
                </w:p>
              </w:tc>
              <w:tc>
                <w:tcPr>
                  <w:tcW w:w="473" w:type="pct"/>
                  <w:vAlign w:val="center"/>
                </w:tcPr>
                <w:p w14:paraId="66DD13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7.86</w:t>
                  </w:r>
                </w:p>
              </w:tc>
              <w:tc>
                <w:tcPr>
                  <w:tcW w:w="477" w:type="pct"/>
                  <w:vAlign w:val="center"/>
                </w:tcPr>
                <w:p w14:paraId="4455EA8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7.85</w:t>
                  </w:r>
                </w:p>
              </w:tc>
              <w:tc>
                <w:tcPr>
                  <w:tcW w:w="347" w:type="pct"/>
                  <w:vAlign w:val="center"/>
                </w:tcPr>
                <w:p w14:paraId="7AE463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7.45</w:t>
                  </w:r>
                </w:p>
              </w:tc>
              <w:tc>
                <w:tcPr>
                  <w:tcW w:w="342" w:type="pct"/>
                  <w:vAlign w:val="center"/>
                </w:tcPr>
                <w:p w14:paraId="40E7144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7.86</w:t>
                  </w:r>
                </w:p>
              </w:tc>
            </w:tr>
            <w:tr w14:paraId="3132A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2FD71EC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悬浮物</w:t>
                  </w:r>
                </w:p>
              </w:tc>
              <w:tc>
                <w:tcPr>
                  <w:tcW w:w="359" w:type="pct"/>
                  <w:vAlign w:val="center"/>
                </w:tcPr>
                <w:p w14:paraId="2A0A201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104</w:t>
                  </w:r>
                </w:p>
              </w:tc>
              <w:tc>
                <w:tcPr>
                  <w:tcW w:w="362" w:type="pct"/>
                  <w:vAlign w:val="center"/>
                </w:tcPr>
                <w:p w14:paraId="143561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124</w:t>
                  </w:r>
                </w:p>
              </w:tc>
              <w:tc>
                <w:tcPr>
                  <w:tcW w:w="515" w:type="pct"/>
                  <w:vAlign w:val="center"/>
                </w:tcPr>
                <w:p w14:paraId="7E12011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w:t>
                  </w:r>
                </w:p>
              </w:tc>
              <w:tc>
                <w:tcPr>
                  <w:tcW w:w="414" w:type="pct"/>
                  <w:vAlign w:val="center"/>
                </w:tcPr>
                <w:p w14:paraId="40DF958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w:t>
                  </w:r>
                </w:p>
              </w:tc>
              <w:tc>
                <w:tcPr>
                  <w:tcW w:w="486" w:type="pct"/>
                  <w:vAlign w:val="center"/>
                </w:tcPr>
                <w:p w14:paraId="06105E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w:t>
                  </w:r>
                </w:p>
              </w:tc>
              <w:tc>
                <w:tcPr>
                  <w:tcW w:w="461" w:type="pct"/>
                  <w:vAlign w:val="center"/>
                </w:tcPr>
                <w:p w14:paraId="46945EF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w:t>
                  </w:r>
                </w:p>
              </w:tc>
              <w:tc>
                <w:tcPr>
                  <w:tcW w:w="473" w:type="pct"/>
                  <w:vAlign w:val="center"/>
                </w:tcPr>
                <w:p w14:paraId="591C01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w:t>
                  </w:r>
                </w:p>
              </w:tc>
              <w:tc>
                <w:tcPr>
                  <w:tcW w:w="477" w:type="pct"/>
                  <w:vAlign w:val="center"/>
                </w:tcPr>
                <w:p w14:paraId="43FD863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11</w:t>
                  </w:r>
                </w:p>
              </w:tc>
              <w:tc>
                <w:tcPr>
                  <w:tcW w:w="347" w:type="pct"/>
                  <w:vAlign w:val="center"/>
                </w:tcPr>
                <w:p w14:paraId="6BAB8DF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114</w:t>
                  </w:r>
                </w:p>
              </w:tc>
              <w:tc>
                <w:tcPr>
                  <w:tcW w:w="342" w:type="pct"/>
                  <w:vAlign w:val="center"/>
                </w:tcPr>
                <w:p w14:paraId="532FABD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11.5</w:t>
                  </w:r>
                </w:p>
              </w:tc>
            </w:tr>
            <w:tr w14:paraId="1E366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5FF77C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COD</w:t>
                  </w:r>
                </w:p>
              </w:tc>
              <w:tc>
                <w:tcPr>
                  <w:tcW w:w="359" w:type="pct"/>
                  <w:vAlign w:val="center"/>
                </w:tcPr>
                <w:p w14:paraId="799396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1473</w:t>
                  </w:r>
                </w:p>
              </w:tc>
              <w:tc>
                <w:tcPr>
                  <w:tcW w:w="362" w:type="pct"/>
                  <w:vAlign w:val="center"/>
                </w:tcPr>
                <w:p w14:paraId="03E244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1589</w:t>
                  </w:r>
                </w:p>
              </w:tc>
              <w:tc>
                <w:tcPr>
                  <w:tcW w:w="515" w:type="pct"/>
                  <w:vAlign w:val="center"/>
                </w:tcPr>
                <w:p w14:paraId="7B2311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104</w:t>
                  </w:r>
                </w:p>
              </w:tc>
              <w:tc>
                <w:tcPr>
                  <w:tcW w:w="414" w:type="pct"/>
                  <w:vAlign w:val="center"/>
                </w:tcPr>
                <w:p w14:paraId="0A2CB5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97</w:t>
                  </w:r>
                </w:p>
              </w:tc>
              <w:tc>
                <w:tcPr>
                  <w:tcW w:w="486" w:type="pct"/>
                  <w:vAlign w:val="center"/>
                </w:tcPr>
                <w:p w14:paraId="6BB4C5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92</w:t>
                  </w:r>
                </w:p>
              </w:tc>
              <w:tc>
                <w:tcPr>
                  <w:tcW w:w="461" w:type="pct"/>
                  <w:vAlign w:val="center"/>
                </w:tcPr>
                <w:p w14:paraId="30EDB66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88</w:t>
                  </w:r>
                </w:p>
              </w:tc>
              <w:tc>
                <w:tcPr>
                  <w:tcW w:w="473" w:type="pct"/>
                  <w:vAlign w:val="center"/>
                </w:tcPr>
                <w:p w14:paraId="19F23F8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103</w:t>
                  </w:r>
                </w:p>
              </w:tc>
              <w:tc>
                <w:tcPr>
                  <w:tcW w:w="477" w:type="pct"/>
                  <w:vAlign w:val="center"/>
                </w:tcPr>
                <w:p w14:paraId="0AA8917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77</w:t>
                  </w:r>
                </w:p>
              </w:tc>
              <w:tc>
                <w:tcPr>
                  <w:tcW w:w="347" w:type="pct"/>
                  <w:vAlign w:val="center"/>
                </w:tcPr>
                <w:p w14:paraId="6B9E2A9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1531</w:t>
                  </w:r>
                </w:p>
              </w:tc>
              <w:tc>
                <w:tcPr>
                  <w:tcW w:w="342" w:type="pct"/>
                  <w:vAlign w:val="center"/>
                </w:tcPr>
                <w:p w14:paraId="39177F8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93.5</w:t>
                  </w:r>
                </w:p>
              </w:tc>
            </w:tr>
            <w:tr w14:paraId="53523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1B002E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position w:val="1"/>
                      <w:sz w:val="21"/>
                    </w:rPr>
                    <w:t>BOD</w:t>
                  </w:r>
                  <w:r>
                    <w:rPr>
                      <w:rFonts w:hint="default"/>
                      <w:sz w:val="11"/>
                    </w:rPr>
                    <w:t>5</w:t>
                  </w:r>
                </w:p>
              </w:tc>
              <w:tc>
                <w:tcPr>
                  <w:tcW w:w="359" w:type="pct"/>
                  <w:vAlign w:val="center"/>
                </w:tcPr>
                <w:p w14:paraId="5D0BA81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198</w:t>
                  </w:r>
                </w:p>
              </w:tc>
              <w:tc>
                <w:tcPr>
                  <w:tcW w:w="362" w:type="pct"/>
                  <w:vAlign w:val="center"/>
                </w:tcPr>
                <w:p w14:paraId="37ABFFC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202</w:t>
                  </w:r>
                </w:p>
              </w:tc>
              <w:tc>
                <w:tcPr>
                  <w:tcW w:w="515" w:type="pct"/>
                  <w:vAlign w:val="center"/>
                </w:tcPr>
                <w:p w14:paraId="320E207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18.0</w:t>
                  </w:r>
                </w:p>
              </w:tc>
              <w:tc>
                <w:tcPr>
                  <w:tcW w:w="414" w:type="pct"/>
                  <w:vAlign w:val="center"/>
                </w:tcPr>
                <w:p w14:paraId="26F1855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18.4</w:t>
                  </w:r>
                </w:p>
              </w:tc>
              <w:tc>
                <w:tcPr>
                  <w:tcW w:w="486" w:type="pct"/>
                  <w:vAlign w:val="center"/>
                </w:tcPr>
                <w:p w14:paraId="62EF61F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16.9</w:t>
                  </w:r>
                </w:p>
              </w:tc>
              <w:tc>
                <w:tcPr>
                  <w:tcW w:w="461" w:type="pct"/>
                  <w:vAlign w:val="center"/>
                </w:tcPr>
                <w:p w14:paraId="2B659A7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18.7</w:t>
                  </w:r>
                </w:p>
              </w:tc>
              <w:tc>
                <w:tcPr>
                  <w:tcW w:w="473" w:type="pct"/>
                  <w:vAlign w:val="center"/>
                </w:tcPr>
                <w:p w14:paraId="564732E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19.2</w:t>
                  </w:r>
                </w:p>
              </w:tc>
              <w:tc>
                <w:tcPr>
                  <w:tcW w:w="477" w:type="pct"/>
                  <w:vAlign w:val="center"/>
                </w:tcPr>
                <w:p w14:paraId="48CCDCC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18.3</w:t>
                  </w:r>
                </w:p>
              </w:tc>
              <w:tc>
                <w:tcPr>
                  <w:tcW w:w="347" w:type="pct"/>
                  <w:vAlign w:val="center"/>
                </w:tcPr>
                <w:p w14:paraId="48B69BC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200</w:t>
                  </w:r>
                </w:p>
              </w:tc>
              <w:tc>
                <w:tcPr>
                  <w:tcW w:w="342" w:type="pct"/>
                  <w:vAlign w:val="center"/>
                </w:tcPr>
                <w:p w14:paraId="62189E2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18.3</w:t>
                  </w:r>
                </w:p>
              </w:tc>
            </w:tr>
            <w:tr w14:paraId="2AFCC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40429C5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动植物油</w:t>
                  </w:r>
                </w:p>
              </w:tc>
              <w:tc>
                <w:tcPr>
                  <w:tcW w:w="359" w:type="pct"/>
                  <w:vAlign w:val="center"/>
                </w:tcPr>
                <w:p w14:paraId="5BFB7BF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15.7</w:t>
                  </w:r>
                </w:p>
              </w:tc>
              <w:tc>
                <w:tcPr>
                  <w:tcW w:w="362" w:type="pct"/>
                  <w:vAlign w:val="center"/>
                </w:tcPr>
                <w:p w14:paraId="40083B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12.7</w:t>
                  </w:r>
                </w:p>
              </w:tc>
              <w:tc>
                <w:tcPr>
                  <w:tcW w:w="515" w:type="pct"/>
                  <w:vAlign w:val="center"/>
                </w:tcPr>
                <w:p w14:paraId="47C9162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eastAsia="zh-CN"/>
                    </w:rPr>
                  </w:pPr>
                  <w:r>
                    <w:rPr>
                      <w:rFonts w:hint="eastAsia"/>
                      <w:sz w:val="21"/>
                      <w:lang w:eastAsia="zh-CN"/>
                    </w:rPr>
                    <w:t>/</w:t>
                  </w:r>
                </w:p>
              </w:tc>
              <w:tc>
                <w:tcPr>
                  <w:tcW w:w="702" w:type="dxa"/>
                  <w:vAlign w:val="center"/>
                </w:tcPr>
                <w:p w14:paraId="33B5D3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825" w:type="dxa"/>
                  <w:vAlign w:val="center"/>
                </w:tcPr>
                <w:p w14:paraId="11359EA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782" w:type="dxa"/>
                  <w:vAlign w:val="center"/>
                </w:tcPr>
                <w:p w14:paraId="679B604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802" w:type="dxa"/>
                  <w:vAlign w:val="center"/>
                </w:tcPr>
                <w:p w14:paraId="6422584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813" w:type="dxa"/>
                  <w:vAlign w:val="center"/>
                </w:tcPr>
                <w:p w14:paraId="6202DAC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347" w:type="pct"/>
                  <w:vAlign w:val="center"/>
                </w:tcPr>
                <w:p w14:paraId="267759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14.2</w:t>
                  </w:r>
                </w:p>
              </w:tc>
              <w:tc>
                <w:tcPr>
                  <w:tcW w:w="342" w:type="pct"/>
                  <w:vAlign w:val="center"/>
                </w:tcPr>
                <w:p w14:paraId="0900286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eastAsia="zh-CN"/>
                    </w:rPr>
                  </w:pPr>
                  <w:r>
                    <w:rPr>
                      <w:rFonts w:hint="eastAsia"/>
                      <w:sz w:val="21"/>
                      <w:lang w:eastAsia="zh-CN"/>
                    </w:rPr>
                    <w:t>/</w:t>
                  </w:r>
                </w:p>
              </w:tc>
            </w:tr>
            <w:tr w14:paraId="373B1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6455B47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石油</w:t>
                  </w:r>
                </w:p>
              </w:tc>
              <w:tc>
                <w:tcPr>
                  <w:tcW w:w="359" w:type="pct"/>
                  <w:vAlign w:val="center"/>
                </w:tcPr>
                <w:p w14:paraId="466EE4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2.94</w:t>
                  </w:r>
                </w:p>
              </w:tc>
              <w:tc>
                <w:tcPr>
                  <w:tcW w:w="362" w:type="pct"/>
                  <w:vAlign w:val="center"/>
                </w:tcPr>
                <w:p w14:paraId="3159440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2.85</w:t>
                  </w:r>
                </w:p>
              </w:tc>
              <w:tc>
                <w:tcPr>
                  <w:tcW w:w="515" w:type="pct"/>
                  <w:vAlign w:val="center"/>
                </w:tcPr>
                <w:p w14:paraId="38A7EE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val="en-US" w:eastAsia="zh-CN"/>
                    </w:rPr>
                  </w:pPr>
                  <w:r>
                    <w:rPr>
                      <w:rFonts w:hint="eastAsia"/>
                      <w:sz w:val="21"/>
                      <w:lang w:val="en-US" w:eastAsia="zh-CN"/>
                    </w:rPr>
                    <w:t>/</w:t>
                  </w:r>
                </w:p>
              </w:tc>
              <w:tc>
                <w:tcPr>
                  <w:tcW w:w="702" w:type="dxa"/>
                  <w:vAlign w:val="center"/>
                </w:tcPr>
                <w:p w14:paraId="7353AF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825" w:type="dxa"/>
                  <w:vAlign w:val="center"/>
                </w:tcPr>
                <w:p w14:paraId="28E8D9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782" w:type="dxa"/>
                  <w:vAlign w:val="center"/>
                </w:tcPr>
                <w:p w14:paraId="7BE9C4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802" w:type="dxa"/>
                  <w:vAlign w:val="center"/>
                </w:tcPr>
                <w:p w14:paraId="66E165C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813" w:type="dxa"/>
                  <w:vAlign w:val="center"/>
                </w:tcPr>
                <w:p w14:paraId="7FAFEA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347" w:type="pct"/>
                  <w:vAlign w:val="center"/>
                </w:tcPr>
                <w:p w14:paraId="60804C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14"/>
                    </w:rPr>
                  </w:pPr>
                </w:p>
                <w:p w14:paraId="7393E5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2.90</w:t>
                  </w:r>
                </w:p>
              </w:tc>
              <w:tc>
                <w:tcPr>
                  <w:tcW w:w="342" w:type="pct"/>
                  <w:vAlign w:val="center"/>
                </w:tcPr>
                <w:p w14:paraId="1B26D71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val="en-US" w:eastAsia="zh-CN"/>
                    </w:rPr>
                  </w:pPr>
                  <w:r>
                    <w:rPr>
                      <w:rFonts w:hint="eastAsia"/>
                      <w:sz w:val="21"/>
                      <w:lang w:val="en-US" w:eastAsia="zh-CN"/>
                    </w:rPr>
                    <w:t>/</w:t>
                  </w:r>
                </w:p>
              </w:tc>
            </w:tr>
            <w:tr w14:paraId="52C61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6A8CAE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阴离子表面活性剂</w:t>
                  </w:r>
                </w:p>
              </w:tc>
              <w:tc>
                <w:tcPr>
                  <w:tcW w:w="359" w:type="pct"/>
                  <w:vAlign w:val="center"/>
                </w:tcPr>
                <w:p w14:paraId="1FA87A5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2.97</w:t>
                  </w:r>
                </w:p>
              </w:tc>
              <w:tc>
                <w:tcPr>
                  <w:tcW w:w="362" w:type="pct"/>
                  <w:vAlign w:val="center"/>
                </w:tcPr>
                <w:p w14:paraId="77AE340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2.50</w:t>
                  </w:r>
                </w:p>
              </w:tc>
              <w:tc>
                <w:tcPr>
                  <w:tcW w:w="515" w:type="pct"/>
                  <w:vAlign w:val="center"/>
                </w:tcPr>
                <w:p w14:paraId="69BDFA1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0.18</w:t>
                  </w:r>
                </w:p>
              </w:tc>
              <w:tc>
                <w:tcPr>
                  <w:tcW w:w="414" w:type="pct"/>
                  <w:vAlign w:val="center"/>
                </w:tcPr>
                <w:p w14:paraId="39E536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0.16</w:t>
                  </w:r>
                </w:p>
              </w:tc>
              <w:tc>
                <w:tcPr>
                  <w:tcW w:w="486" w:type="pct"/>
                  <w:vAlign w:val="center"/>
                </w:tcPr>
                <w:p w14:paraId="1A56402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0.21</w:t>
                  </w:r>
                </w:p>
              </w:tc>
              <w:tc>
                <w:tcPr>
                  <w:tcW w:w="461" w:type="pct"/>
                  <w:vAlign w:val="center"/>
                </w:tcPr>
                <w:p w14:paraId="4C9C5D0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0.15</w:t>
                  </w:r>
                </w:p>
              </w:tc>
              <w:tc>
                <w:tcPr>
                  <w:tcW w:w="473" w:type="pct"/>
                  <w:vAlign w:val="center"/>
                </w:tcPr>
                <w:p w14:paraId="0A4AF12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0.19</w:t>
                  </w:r>
                </w:p>
              </w:tc>
              <w:tc>
                <w:tcPr>
                  <w:tcW w:w="477" w:type="pct"/>
                  <w:vAlign w:val="center"/>
                </w:tcPr>
                <w:p w14:paraId="30E411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0.16</w:t>
                  </w:r>
                </w:p>
              </w:tc>
              <w:tc>
                <w:tcPr>
                  <w:tcW w:w="347" w:type="pct"/>
                  <w:vAlign w:val="center"/>
                </w:tcPr>
                <w:p w14:paraId="272908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2.74</w:t>
                  </w:r>
                </w:p>
              </w:tc>
              <w:tc>
                <w:tcPr>
                  <w:tcW w:w="342" w:type="pct"/>
                  <w:vAlign w:val="center"/>
                </w:tcPr>
                <w:p w14:paraId="154970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0.18</w:t>
                  </w:r>
                </w:p>
              </w:tc>
            </w:tr>
            <w:tr w14:paraId="789A8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74E405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挥发酚</w:t>
                  </w:r>
                </w:p>
              </w:tc>
              <w:tc>
                <w:tcPr>
                  <w:tcW w:w="359" w:type="pct"/>
                  <w:vAlign w:val="center"/>
                </w:tcPr>
                <w:p w14:paraId="2AF778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0.0096</w:t>
                  </w:r>
                </w:p>
              </w:tc>
              <w:tc>
                <w:tcPr>
                  <w:tcW w:w="362" w:type="pct"/>
                  <w:vAlign w:val="center"/>
                </w:tcPr>
                <w:p w14:paraId="5418C6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0.0091</w:t>
                  </w:r>
                </w:p>
              </w:tc>
              <w:tc>
                <w:tcPr>
                  <w:tcW w:w="515" w:type="pct"/>
                  <w:vAlign w:val="center"/>
                </w:tcPr>
                <w:p w14:paraId="2C3F5A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0.0005</w:t>
                  </w:r>
                </w:p>
              </w:tc>
              <w:tc>
                <w:tcPr>
                  <w:tcW w:w="414" w:type="pct"/>
                  <w:vAlign w:val="center"/>
                </w:tcPr>
                <w:p w14:paraId="6B1072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0.0008</w:t>
                  </w:r>
                </w:p>
              </w:tc>
              <w:tc>
                <w:tcPr>
                  <w:tcW w:w="486" w:type="pct"/>
                  <w:vAlign w:val="center"/>
                </w:tcPr>
                <w:p w14:paraId="03FE546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eastAsia="zh-CN"/>
                    </w:rPr>
                  </w:pPr>
                  <w:r>
                    <w:rPr>
                      <w:rFonts w:hint="eastAsia"/>
                      <w:sz w:val="21"/>
                      <w:lang w:val="en-US" w:eastAsia="zh-CN"/>
                    </w:rPr>
                    <w:t>/</w:t>
                  </w:r>
                </w:p>
              </w:tc>
              <w:tc>
                <w:tcPr>
                  <w:tcW w:w="461" w:type="pct"/>
                  <w:vAlign w:val="center"/>
                </w:tcPr>
                <w:p w14:paraId="0135EC7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0.0003</w:t>
                  </w:r>
                </w:p>
              </w:tc>
              <w:tc>
                <w:tcPr>
                  <w:tcW w:w="473" w:type="pct"/>
                  <w:vAlign w:val="center"/>
                </w:tcPr>
                <w:p w14:paraId="22C276F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0.0011</w:t>
                  </w:r>
                </w:p>
              </w:tc>
              <w:tc>
                <w:tcPr>
                  <w:tcW w:w="477" w:type="pct"/>
                  <w:vAlign w:val="center"/>
                </w:tcPr>
                <w:p w14:paraId="2D06A6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0.0009</w:t>
                  </w:r>
                </w:p>
              </w:tc>
              <w:tc>
                <w:tcPr>
                  <w:tcW w:w="347" w:type="pct"/>
                  <w:vAlign w:val="center"/>
                </w:tcPr>
                <w:p w14:paraId="5601D0E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0.009</w:t>
                  </w:r>
                </w:p>
                <w:p w14:paraId="606B1E4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4</w:t>
                  </w:r>
                </w:p>
              </w:tc>
              <w:tc>
                <w:tcPr>
                  <w:tcW w:w="342" w:type="pct"/>
                  <w:vAlign w:val="center"/>
                </w:tcPr>
                <w:p w14:paraId="2411A6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w:t>
                  </w:r>
                </w:p>
                <w:p w14:paraId="59DACF9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w:t>
                  </w:r>
                </w:p>
              </w:tc>
            </w:tr>
            <w:tr w14:paraId="7891D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0F4F961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氨氮</w:t>
                  </w:r>
                </w:p>
              </w:tc>
              <w:tc>
                <w:tcPr>
                  <w:tcW w:w="359" w:type="pct"/>
                  <w:vAlign w:val="center"/>
                </w:tcPr>
                <w:p w14:paraId="1889694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4.68</w:t>
                  </w:r>
                </w:p>
              </w:tc>
              <w:tc>
                <w:tcPr>
                  <w:tcW w:w="362" w:type="pct"/>
                  <w:vAlign w:val="center"/>
                </w:tcPr>
                <w:p w14:paraId="5481FD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5.61</w:t>
                  </w:r>
                </w:p>
              </w:tc>
              <w:tc>
                <w:tcPr>
                  <w:tcW w:w="515" w:type="pct"/>
                  <w:vAlign w:val="center"/>
                </w:tcPr>
                <w:p w14:paraId="34B5485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2.88</w:t>
                  </w:r>
                </w:p>
              </w:tc>
              <w:tc>
                <w:tcPr>
                  <w:tcW w:w="414" w:type="pct"/>
                  <w:vAlign w:val="center"/>
                </w:tcPr>
                <w:p w14:paraId="7D40B9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2.90</w:t>
                  </w:r>
                </w:p>
              </w:tc>
              <w:tc>
                <w:tcPr>
                  <w:tcW w:w="486" w:type="pct"/>
                  <w:vAlign w:val="center"/>
                </w:tcPr>
                <w:p w14:paraId="259705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2.87</w:t>
                  </w:r>
                </w:p>
              </w:tc>
              <w:tc>
                <w:tcPr>
                  <w:tcW w:w="461" w:type="pct"/>
                  <w:vAlign w:val="center"/>
                </w:tcPr>
                <w:p w14:paraId="3F89B0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2.76</w:t>
                  </w:r>
                </w:p>
              </w:tc>
              <w:tc>
                <w:tcPr>
                  <w:tcW w:w="473" w:type="pct"/>
                  <w:vAlign w:val="center"/>
                </w:tcPr>
                <w:p w14:paraId="46B0F47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2.93</w:t>
                  </w:r>
                </w:p>
              </w:tc>
              <w:tc>
                <w:tcPr>
                  <w:tcW w:w="477" w:type="pct"/>
                  <w:vAlign w:val="center"/>
                </w:tcPr>
                <w:p w14:paraId="46D4594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2.96</w:t>
                  </w:r>
                </w:p>
              </w:tc>
              <w:tc>
                <w:tcPr>
                  <w:tcW w:w="347" w:type="pct"/>
                  <w:vAlign w:val="center"/>
                </w:tcPr>
                <w:p w14:paraId="297C1D2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5.15</w:t>
                  </w:r>
                </w:p>
              </w:tc>
              <w:tc>
                <w:tcPr>
                  <w:tcW w:w="342" w:type="pct"/>
                  <w:vAlign w:val="center"/>
                </w:tcPr>
                <w:p w14:paraId="2197474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2.88</w:t>
                  </w:r>
                </w:p>
              </w:tc>
            </w:tr>
            <w:tr w14:paraId="6E6D1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7D51919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pacing w:val="-1"/>
                      <w:sz w:val="21"/>
                    </w:rPr>
                    <w:t>磷酸盐</w:t>
                  </w:r>
                  <w:r>
                    <w:rPr>
                      <w:rFonts w:hint="default"/>
                      <w:spacing w:val="-3"/>
                      <w:sz w:val="21"/>
                    </w:rPr>
                    <w:t>（</w:t>
                  </w:r>
                  <w:r>
                    <w:rPr>
                      <w:rFonts w:hint="default"/>
                      <w:spacing w:val="-25"/>
                      <w:sz w:val="21"/>
                    </w:rPr>
                    <w:t xml:space="preserve">以 </w:t>
                  </w:r>
                  <w:r>
                    <w:rPr>
                      <w:rFonts w:hint="default"/>
                      <w:sz w:val="21"/>
                    </w:rPr>
                    <w:t>P</w:t>
                  </w:r>
                  <w:r>
                    <w:rPr>
                      <w:rFonts w:hint="default"/>
                      <w:spacing w:val="-27"/>
                      <w:sz w:val="21"/>
                    </w:rPr>
                    <w:t xml:space="preserve"> 计</w:t>
                  </w:r>
                  <w:r>
                    <w:rPr>
                      <w:rFonts w:hint="default"/>
                      <w:spacing w:val="-80"/>
                      <w:sz w:val="21"/>
                    </w:rPr>
                    <w:t>）</w:t>
                  </w:r>
                </w:p>
              </w:tc>
              <w:tc>
                <w:tcPr>
                  <w:tcW w:w="359" w:type="pct"/>
                  <w:vAlign w:val="center"/>
                </w:tcPr>
                <w:p w14:paraId="101BBA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1.36</w:t>
                  </w:r>
                </w:p>
              </w:tc>
              <w:tc>
                <w:tcPr>
                  <w:tcW w:w="362" w:type="pct"/>
                  <w:vAlign w:val="center"/>
                </w:tcPr>
                <w:p w14:paraId="41EBBBD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1.48</w:t>
                  </w:r>
                </w:p>
              </w:tc>
              <w:tc>
                <w:tcPr>
                  <w:tcW w:w="515" w:type="pct"/>
                  <w:vAlign w:val="center"/>
                </w:tcPr>
                <w:p w14:paraId="78C17A1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414" w:type="pct"/>
                  <w:vAlign w:val="center"/>
                </w:tcPr>
                <w:p w14:paraId="13C8D9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486" w:type="pct"/>
                  <w:vAlign w:val="center"/>
                </w:tcPr>
                <w:p w14:paraId="486BCE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0.76</w:t>
                  </w:r>
                </w:p>
              </w:tc>
              <w:tc>
                <w:tcPr>
                  <w:tcW w:w="461" w:type="pct"/>
                  <w:vAlign w:val="center"/>
                </w:tcPr>
                <w:p w14:paraId="48F5FE2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0.72</w:t>
                  </w:r>
                </w:p>
              </w:tc>
              <w:tc>
                <w:tcPr>
                  <w:tcW w:w="473" w:type="pct"/>
                  <w:vAlign w:val="center"/>
                </w:tcPr>
                <w:p w14:paraId="1B0661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477" w:type="pct"/>
                  <w:vAlign w:val="center"/>
                </w:tcPr>
                <w:p w14:paraId="41664E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347" w:type="pct"/>
                  <w:vAlign w:val="center"/>
                </w:tcPr>
                <w:p w14:paraId="6837A2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1.42</w:t>
                  </w:r>
                </w:p>
              </w:tc>
              <w:tc>
                <w:tcPr>
                  <w:tcW w:w="342" w:type="pct"/>
                  <w:vAlign w:val="center"/>
                </w:tcPr>
                <w:p w14:paraId="3490C58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r>
          </w:tbl>
          <w:p w14:paraId="575FBED8">
            <w:pPr>
              <w:keepNext w:val="0"/>
              <w:keepLines w:val="0"/>
              <w:suppressLineNumbers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rPr>
              <w:t>由表可见，</w:t>
            </w:r>
            <w:r>
              <w:rPr>
                <w:rFonts w:hint="eastAsia"/>
                <w:color w:val="auto"/>
                <w:sz w:val="24"/>
                <w:lang w:eastAsia="zh-CN"/>
              </w:rPr>
              <w:t>原项目产生的污水经污水处理系统</w:t>
            </w:r>
            <w:r>
              <w:rPr>
                <w:rFonts w:hint="default"/>
                <w:color w:val="auto"/>
                <w:sz w:val="24"/>
              </w:rPr>
              <w:t>处理后水质达到</w:t>
            </w:r>
            <w:r>
              <w:rPr>
                <w:rFonts w:hint="default"/>
                <w:color w:val="auto"/>
                <w:sz w:val="24"/>
                <w:szCs w:val="24"/>
                <w:highlight w:val="none"/>
              </w:rPr>
              <w:t>《污水排入城镇下水道水质标准》（</w:t>
            </w:r>
            <w:r>
              <w:rPr>
                <w:rFonts w:hint="default" w:ascii="Times New Roman" w:eastAsia="Times New Roman"/>
                <w:color w:val="auto"/>
                <w:sz w:val="24"/>
                <w:szCs w:val="24"/>
                <w:highlight w:val="none"/>
              </w:rPr>
              <w:t>GB/T131962-2015</w:t>
            </w:r>
            <w:r>
              <w:rPr>
                <w:rFonts w:hint="default"/>
                <w:color w:val="auto"/>
                <w:sz w:val="24"/>
                <w:szCs w:val="24"/>
                <w:highlight w:val="none"/>
              </w:rPr>
              <w:t>）表</w:t>
            </w:r>
            <w:r>
              <w:rPr>
                <w:rFonts w:hint="default" w:ascii="Times New Roman" w:eastAsia="Times New Roman"/>
                <w:color w:val="auto"/>
                <w:sz w:val="24"/>
                <w:szCs w:val="24"/>
                <w:highlight w:val="none"/>
              </w:rPr>
              <w:t>1</w:t>
            </w:r>
            <w:r>
              <w:rPr>
                <w:rFonts w:hint="default"/>
                <w:color w:val="auto"/>
                <w:sz w:val="24"/>
                <w:szCs w:val="24"/>
                <w:highlight w:val="none"/>
              </w:rPr>
              <w:t>中</w:t>
            </w:r>
            <w:r>
              <w:rPr>
                <w:rFonts w:hint="eastAsia"/>
                <w:color w:val="auto"/>
                <w:sz w:val="24"/>
                <w:szCs w:val="24"/>
                <w:highlight w:val="none"/>
                <w:lang w:val="en-US" w:eastAsia="zh-CN"/>
              </w:rPr>
              <w:t>A</w:t>
            </w:r>
            <w:r>
              <w:rPr>
                <w:rFonts w:hint="default"/>
                <w:color w:val="auto"/>
                <w:sz w:val="24"/>
                <w:szCs w:val="24"/>
                <w:highlight w:val="none"/>
              </w:rPr>
              <w:t>级标准</w:t>
            </w:r>
            <w:r>
              <w:rPr>
                <w:rFonts w:hint="eastAsia"/>
                <w:color w:val="auto"/>
                <w:sz w:val="24"/>
                <w:szCs w:val="24"/>
                <w:highlight w:val="none"/>
                <w:lang w:eastAsia="zh-CN"/>
              </w:rPr>
              <w:t>，</w:t>
            </w:r>
            <w:r>
              <w:rPr>
                <w:rFonts w:hint="eastAsia"/>
                <w:color w:val="auto"/>
                <w:sz w:val="24"/>
                <w:szCs w:val="24"/>
                <w:highlight w:val="none"/>
                <w:lang w:val="en-US" w:eastAsia="zh-CN"/>
              </w:rPr>
              <w:t>满足达标排放</w:t>
            </w:r>
            <w:r>
              <w:rPr>
                <w:rFonts w:hint="default"/>
                <w:color w:val="auto"/>
                <w:sz w:val="24"/>
                <w:szCs w:val="24"/>
              </w:rPr>
              <w:t>。</w:t>
            </w:r>
          </w:p>
          <w:p w14:paraId="452E1A6A">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（2）废气</w:t>
            </w:r>
          </w:p>
          <w:p w14:paraId="635151B3">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eastAsia="zh-CN"/>
              </w:rPr>
              <w:t>①</w:t>
            </w:r>
            <w:r>
              <w:rPr>
                <w:rFonts w:hint="default"/>
                <w:b/>
                <w:bCs/>
                <w:color w:val="auto"/>
                <w:sz w:val="24"/>
              </w:rPr>
              <w:t>有组织废气（</w:t>
            </w:r>
            <w:r>
              <w:rPr>
                <w:rFonts w:hint="eastAsia"/>
                <w:color w:val="auto"/>
                <w:sz w:val="24"/>
                <w:lang w:val="en-US" w:eastAsia="zh-CN"/>
              </w:rPr>
              <w:t>投料、配料、混料</w:t>
            </w:r>
            <w:r>
              <w:rPr>
                <w:rFonts w:hint="default"/>
                <w:b/>
                <w:bCs/>
                <w:color w:val="auto"/>
                <w:sz w:val="24"/>
              </w:rPr>
              <w:t>）</w:t>
            </w:r>
          </w:p>
          <w:p w14:paraId="7E7CCC39">
            <w:pPr>
              <w:keepNext w:val="0"/>
              <w:keepLines w:val="0"/>
              <w:suppressLineNumbers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lang w:val="en-US" w:eastAsia="zh-CN"/>
              </w:rPr>
              <w:t>腻子粉生产线的生产过程中是将生产所需的水泥、白砂、碳酸钙和纤维素通过干式搅拌混合后，成为产品；该生产线的物料输送为气流输送，设施内为负压；投料口、混料产生的粉尘采用集气罩收集，集中式滤筒除尘系统处理后通过</w:t>
            </w:r>
            <w:r>
              <w:rPr>
                <w:rFonts w:hint="default"/>
                <w:color w:val="auto"/>
                <w:sz w:val="24"/>
                <w:lang w:val="en-US" w:eastAsia="zh-CN"/>
              </w:rPr>
              <w:t xml:space="preserve">15m </w:t>
            </w:r>
            <w:r>
              <w:rPr>
                <w:rFonts w:hint="eastAsia"/>
                <w:color w:val="auto"/>
                <w:sz w:val="24"/>
                <w:lang w:val="en-US" w:eastAsia="zh-CN"/>
              </w:rPr>
              <w:t>排气筒外排，</w:t>
            </w:r>
            <w:r>
              <w:rPr>
                <w:rFonts w:hint="default"/>
                <w:color w:val="auto"/>
                <w:sz w:val="24"/>
                <w:lang w:val="en-US" w:eastAsia="zh-CN"/>
              </w:rPr>
              <w:t xml:space="preserve">2 </w:t>
            </w:r>
            <w:r>
              <w:rPr>
                <w:rFonts w:hint="eastAsia"/>
                <w:color w:val="auto"/>
                <w:sz w:val="24"/>
                <w:lang w:val="en-US" w:eastAsia="zh-CN"/>
              </w:rPr>
              <w:t>条腻子粉生产线共用一套布袋收尘装置。</w:t>
            </w:r>
          </w:p>
          <w:p w14:paraId="2E445C36">
            <w:pPr>
              <w:keepNext w:val="0"/>
              <w:keepLines w:val="0"/>
              <w:suppressLineNumbers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根据原项目</w:t>
            </w:r>
            <w:r>
              <w:rPr>
                <w:rFonts w:hint="eastAsia"/>
                <w:color w:val="auto"/>
                <w:sz w:val="24"/>
                <w:lang w:val="en-US" w:eastAsia="zh-CN"/>
              </w:rPr>
              <w:t>2022年第四季度</w:t>
            </w:r>
            <w:r>
              <w:rPr>
                <w:rFonts w:hint="eastAsia"/>
                <w:color w:val="auto"/>
                <w:sz w:val="24"/>
                <w:lang w:eastAsia="zh-CN"/>
              </w:rPr>
              <w:t>的自行监测报告</w:t>
            </w:r>
            <w:r>
              <w:rPr>
                <w:rFonts w:hint="default"/>
                <w:color w:val="auto"/>
                <w:sz w:val="24"/>
              </w:rPr>
              <w:t>，其污染物排放情况见表2-</w:t>
            </w:r>
            <w:r>
              <w:rPr>
                <w:rFonts w:hint="eastAsia"/>
                <w:color w:val="auto"/>
                <w:sz w:val="24"/>
                <w:lang w:val="en-US" w:eastAsia="zh-CN"/>
              </w:rPr>
              <w:t>23</w:t>
            </w:r>
            <w:r>
              <w:rPr>
                <w:rFonts w:hint="default"/>
                <w:color w:val="auto"/>
                <w:sz w:val="24"/>
              </w:rPr>
              <w:t>。</w:t>
            </w:r>
          </w:p>
          <w:p w14:paraId="63E53DEA">
            <w:pPr>
              <w:keepNext w:val="0"/>
              <w:keepLines w:val="0"/>
              <w:suppressLineNumbers w:val="0"/>
              <w:tabs>
                <w:tab w:val="right" w:leader="dot" w:pos="10260"/>
              </w:tabs>
              <w:adjustRightInd w:val="0"/>
              <w:snapToGrid w:val="0"/>
              <w:spacing w:before="0" w:beforeAutospacing="0" w:after="0" w:afterAutospacing="0"/>
              <w:ind w:left="0" w:right="0" w:firstLine="482"/>
              <w:jc w:val="center"/>
              <w:rPr>
                <w:rFonts w:hint="default"/>
                <w:b/>
                <w:color w:val="auto"/>
                <w:szCs w:val="21"/>
              </w:rPr>
            </w:pPr>
            <w:r>
              <w:rPr>
                <w:rFonts w:hint="default"/>
                <w:b/>
                <w:color w:val="auto"/>
                <w:szCs w:val="21"/>
              </w:rPr>
              <w:t>表2-</w:t>
            </w:r>
            <w:r>
              <w:rPr>
                <w:rFonts w:hint="eastAsia"/>
                <w:b/>
                <w:color w:val="auto"/>
                <w:szCs w:val="21"/>
                <w:lang w:val="en-US" w:eastAsia="zh-CN"/>
              </w:rPr>
              <w:t>23</w:t>
            </w:r>
            <w:r>
              <w:rPr>
                <w:rFonts w:hint="default"/>
                <w:b/>
                <w:color w:val="auto"/>
                <w:szCs w:val="21"/>
              </w:rPr>
              <w:t xml:space="preserve"> </w:t>
            </w:r>
            <w:r>
              <w:rPr>
                <w:rFonts w:hint="eastAsia"/>
                <w:b/>
                <w:color w:val="auto"/>
                <w:szCs w:val="21"/>
                <w:lang w:eastAsia="zh-CN"/>
              </w:rPr>
              <w:t>腻子粉生产车间排气筒</w:t>
            </w:r>
            <w:r>
              <w:rPr>
                <w:rFonts w:hint="default"/>
                <w:b/>
                <w:color w:val="auto"/>
                <w:szCs w:val="21"/>
              </w:rPr>
              <w:t>排放情况</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2067"/>
              <w:gridCol w:w="2067"/>
              <w:gridCol w:w="2068"/>
            </w:tblGrid>
            <w:tr w14:paraId="4336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297" w:type="pct"/>
                  <w:noWrap w:val="0"/>
                  <w:vAlign w:val="center"/>
                </w:tcPr>
                <w:p w14:paraId="7D5F5B35">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项  目</w:t>
                  </w:r>
                </w:p>
              </w:tc>
              <w:tc>
                <w:tcPr>
                  <w:tcW w:w="3702" w:type="pct"/>
                  <w:gridSpan w:val="3"/>
                  <w:noWrap w:val="0"/>
                  <w:vAlign w:val="center"/>
                </w:tcPr>
                <w:p w14:paraId="4AFAA5D5">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颗粒物</w:t>
                  </w:r>
                </w:p>
              </w:tc>
            </w:tr>
            <w:tr w14:paraId="200E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297" w:type="pct"/>
                  <w:noWrap w:val="0"/>
                  <w:vAlign w:val="center"/>
                </w:tcPr>
                <w:p w14:paraId="7C5EEBE6">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lang w:eastAsia="zh-CN"/>
                    </w:rPr>
                    <w:t>实测</w:t>
                  </w:r>
                  <w:r>
                    <w:rPr>
                      <w:rFonts w:hint="default"/>
                      <w:color w:val="auto"/>
                      <w:szCs w:val="21"/>
                    </w:rPr>
                    <w:t>浓度（mg/m</w:t>
                  </w:r>
                  <w:r>
                    <w:rPr>
                      <w:rFonts w:hint="default"/>
                      <w:color w:val="auto"/>
                      <w:szCs w:val="21"/>
                      <w:vertAlign w:val="superscript"/>
                    </w:rPr>
                    <w:t>3</w:t>
                  </w:r>
                  <w:r>
                    <w:rPr>
                      <w:rFonts w:hint="default"/>
                      <w:color w:val="auto"/>
                      <w:szCs w:val="21"/>
                    </w:rPr>
                    <w:t>）</w:t>
                  </w:r>
                </w:p>
              </w:tc>
              <w:tc>
                <w:tcPr>
                  <w:tcW w:w="1234" w:type="pct"/>
                  <w:noWrap w:val="0"/>
                  <w:vAlign w:val="center"/>
                </w:tcPr>
                <w:p w14:paraId="0D726923">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35.8</w:t>
                  </w:r>
                </w:p>
              </w:tc>
              <w:tc>
                <w:tcPr>
                  <w:tcW w:w="1234" w:type="pct"/>
                  <w:noWrap w:val="0"/>
                  <w:vAlign w:val="center"/>
                </w:tcPr>
                <w:p w14:paraId="51B2888E">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32.9</w:t>
                  </w:r>
                </w:p>
              </w:tc>
              <w:tc>
                <w:tcPr>
                  <w:tcW w:w="1234" w:type="pct"/>
                  <w:noWrap w:val="0"/>
                  <w:vAlign w:val="center"/>
                </w:tcPr>
                <w:p w14:paraId="5ED15D9E">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34.7</w:t>
                  </w:r>
                </w:p>
              </w:tc>
            </w:tr>
            <w:tr w14:paraId="389C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297" w:type="pct"/>
                  <w:noWrap w:val="0"/>
                  <w:vAlign w:val="center"/>
                </w:tcPr>
                <w:p w14:paraId="18340512">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标准限值（mg/m</w:t>
                  </w:r>
                  <w:r>
                    <w:rPr>
                      <w:rFonts w:hint="default"/>
                      <w:color w:val="auto"/>
                      <w:szCs w:val="21"/>
                      <w:vertAlign w:val="superscript"/>
                    </w:rPr>
                    <w:t>3</w:t>
                  </w:r>
                  <w:r>
                    <w:rPr>
                      <w:rFonts w:hint="default"/>
                      <w:color w:val="auto"/>
                      <w:szCs w:val="21"/>
                    </w:rPr>
                    <w:t>）</w:t>
                  </w:r>
                </w:p>
              </w:tc>
              <w:tc>
                <w:tcPr>
                  <w:tcW w:w="1234" w:type="pct"/>
                  <w:noWrap w:val="0"/>
                  <w:vAlign w:val="center"/>
                </w:tcPr>
                <w:p w14:paraId="4B3CD4A6">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120</w:t>
                  </w:r>
                </w:p>
              </w:tc>
              <w:tc>
                <w:tcPr>
                  <w:tcW w:w="1234" w:type="pct"/>
                  <w:noWrap w:val="0"/>
                  <w:vAlign w:val="center"/>
                </w:tcPr>
                <w:p w14:paraId="1D772FF6">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120</w:t>
                  </w:r>
                </w:p>
              </w:tc>
              <w:tc>
                <w:tcPr>
                  <w:tcW w:w="1234" w:type="pct"/>
                  <w:noWrap w:val="0"/>
                  <w:vAlign w:val="center"/>
                </w:tcPr>
                <w:p w14:paraId="50C00663">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120</w:t>
                  </w:r>
                </w:p>
              </w:tc>
            </w:tr>
            <w:tr w14:paraId="7CD0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297" w:type="pct"/>
                  <w:noWrap w:val="0"/>
                  <w:vAlign w:val="center"/>
                </w:tcPr>
                <w:p w14:paraId="730861B0">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达标情况</w:t>
                  </w:r>
                </w:p>
              </w:tc>
              <w:tc>
                <w:tcPr>
                  <w:tcW w:w="1234" w:type="pct"/>
                  <w:noWrap w:val="0"/>
                  <w:vAlign w:val="center"/>
                </w:tcPr>
                <w:p w14:paraId="0FC2E0CD">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c>
                <w:tcPr>
                  <w:tcW w:w="1234" w:type="pct"/>
                  <w:noWrap w:val="0"/>
                  <w:vAlign w:val="center"/>
                </w:tcPr>
                <w:p w14:paraId="3429B57F">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c>
                <w:tcPr>
                  <w:tcW w:w="1234" w:type="pct"/>
                  <w:noWrap w:val="0"/>
                  <w:vAlign w:val="center"/>
                </w:tcPr>
                <w:p w14:paraId="0F03898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r w14:paraId="371E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297" w:type="pct"/>
                  <w:noWrap w:val="0"/>
                  <w:vAlign w:val="center"/>
                </w:tcPr>
                <w:p w14:paraId="71E1F9F5">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平均排放速率（kg/h）</w:t>
                  </w:r>
                </w:p>
              </w:tc>
              <w:tc>
                <w:tcPr>
                  <w:tcW w:w="1234" w:type="pct"/>
                  <w:noWrap w:val="0"/>
                  <w:vAlign w:val="center"/>
                </w:tcPr>
                <w:p w14:paraId="4C79635C">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lang w:val="en-US" w:eastAsia="zh-CN"/>
                    </w:rPr>
                    <w:t>0.363</w:t>
                  </w:r>
                </w:p>
              </w:tc>
              <w:tc>
                <w:tcPr>
                  <w:tcW w:w="1234" w:type="pct"/>
                  <w:noWrap w:val="0"/>
                  <w:vAlign w:val="center"/>
                </w:tcPr>
                <w:p w14:paraId="69ECC9C5">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0.345</w:t>
                  </w:r>
                </w:p>
              </w:tc>
              <w:tc>
                <w:tcPr>
                  <w:tcW w:w="1234" w:type="pct"/>
                  <w:noWrap w:val="0"/>
                  <w:vAlign w:val="center"/>
                </w:tcPr>
                <w:p w14:paraId="11E78F4C">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0.356</w:t>
                  </w:r>
                </w:p>
              </w:tc>
            </w:tr>
            <w:tr w14:paraId="1CB6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297" w:type="pct"/>
                  <w:noWrap w:val="0"/>
                  <w:vAlign w:val="center"/>
                </w:tcPr>
                <w:p w14:paraId="2ACCBE31">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标准限值（</w:t>
                  </w:r>
                  <w:r>
                    <w:rPr>
                      <w:rFonts w:hint="eastAsia"/>
                      <w:color w:val="auto"/>
                      <w:szCs w:val="21"/>
                      <w:lang w:val="en-US" w:eastAsia="zh-CN"/>
                    </w:rPr>
                    <w:t>kg</w:t>
                  </w:r>
                  <w:r>
                    <w:rPr>
                      <w:rFonts w:hint="default"/>
                      <w:color w:val="auto"/>
                      <w:szCs w:val="21"/>
                    </w:rPr>
                    <w:t>/</w:t>
                  </w:r>
                  <w:r>
                    <w:rPr>
                      <w:rFonts w:hint="eastAsia"/>
                      <w:color w:val="auto"/>
                      <w:szCs w:val="21"/>
                      <w:lang w:val="en-US" w:eastAsia="zh-CN"/>
                    </w:rPr>
                    <w:t>h</w:t>
                  </w:r>
                  <w:r>
                    <w:rPr>
                      <w:rFonts w:hint="default"/>
                      <w:color w:val="auto"/>
                      <w:szCs w:val="21"/>
                    </w:rPr>
                    <w:t>）</w:t>
                  </w:r>
                </w:p>
              </w:tc>
              <w:tc>
                <w:tcPr>
                  <w:tcW w:w="1234" w:type="pct"/>
                  <w:noWrap w:val="0"/>
                  <w:vAlign w:val="center"/>
                </w:tcPr>
                <w:p w14:paraId="6CCC3CAE">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3.5</w:t>
                  </w:r>
                </w:p>
              </w:tc>
              <w:tc>
                <w:tcPr>
                  <w:tcW w:w="1234" w:type="pct"/>
                  <w:noWrap w:val="0"/>
                  <w:vAlign w:val="center"/>
                </w:tcPr>
                <w:p w14:paraId="7986ACDA">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lang w:val="en-US" w:eastAsia="zh-CN"/>
                    </w:rPr>
                    <w:t>3.5</w:t>
                  </w:r>
                </w:p>
              </w:tc>
              <w:tc>
                <w:tcPr>
                  <w:tcW w:w="1234" w:type="pct"/>
                  <w:noWrap w:val="0"/>
                  <w:vAlign w:val="center"/>
                </w:tcPr>
                <w:p w14:paraId="55FDD8B0">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lang w:val="en-US" w:eastAsia="zh-CN"/>
                    </w:rPr>
                    <w:t>3.5</w:t>
                  </w:r>
                </w:p>
              </w:tc>
            </w:tr>
            <w:tr w14:paraId="0D62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297" w:type="pct"/>
                  <w:noWrap w:val="0"/>
                  <w:vAlign w:val="center"/>
                </w:tcPr>
                <w:p w14:paraId="6DC0AEA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达标情况</w:t>
                  </w:r>
                </w:p>
              </w:tc>
              <w:tc>
                <w:tcPr>
                  <w:tcW w:w="1234" w:type="pct"/>
                  <w:noWrap w:val="0"/>
                  <w:vAlign w:val="center"/>
                </w:tcPr>
                <w:p w14:paraId="77E2F5E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c>
                <w:tcPr>
                  <w:tcW w:w="1234" w:type="pct"/>
                  <w:noWrap w:val="0"/>
                  <w:vAlign w:val="center"/>
                </w:tcPr>
                <w:p w14:paraId="3433674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c>
                <w:tcPr>
                  <w:tcW w:w="1234" w:type="pct"/>
                  <w:noWrap w:val="0"/>
                  <w:vAlign w:val="center"/>
                </w:tcPr>
                <w:p w14:paraId="7A7B8C59">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bl>
          <w:p w14:paraId="327C1C33">
            <w:pPr>
              <w:pStyle w:val="88"/>
              <w:keepNext w:val="0"/>
              <w:keepLines w:val="0"/>
              <w:suppressLineNumbers w:val="0"/>
              <w:snapToGrid w:val="0"/>
              <w:spacing w:before="0" w:beforeAutospacing="0" w:after="0" w:afterAutospacing="0"/>
              <w:ind w:left="0" w:right="0" w:firstLine="480"/>
              <w:rPr>
                <w:rFonts w:hint="default"/>
                <w:color w:val="auto"/>
              </w:rPr>
            </w:pPr>
            <w:r>
              <w:rPr>
                <w:rFonts w:hint="default"/>
                <w:color w:val="auto"/>
              </w:rPr>
              <w:t>根据监测结果表明，</w:t>
            </w:r>
            <w:r>
              <w:rPr>
                <w:rFonts w:hint="eastAsia"/>
                <w:color w:val="auto"/>
                <w:lang w:eastAsia="zh-CN"/>
              </w:rPr>
              <w:t>有组织颗粒物排放</w:t>
            </w:r>
            <w:r>
              <w:rPr>
                <w:rFonts w:hint="default"/>
                <w:color w:val="auto"/>
              </w:rPr>
              <w:t>浓度能达到</w:t>
            </w:r>
            <w:r>
              <w:rPr>
                <w:rFonts w:hint="eastAsia"/>
                <w:color w:val="auto"/>
                <w:lang w:val="en-US" w:eastAsia="zh-CN"/>
              </w:rPr>
              <w:t xml:space="preserve">《大气污染物综合排放标准》表 </w:t>
            </w:r>
            <w:r>
              <w:rPr>
                <w:rFonts w:hint="default"/>
                <w:color w:val="auto"/>
                <w:lang w:val="en-US" w:eastAsia="zh-CN"/>
              </w:rPr>
              <w:t xml:space="preserve">2 </w:t>
            </w:r>
            <w:r>
              <w:rPr>
                <w:rFonts w:hint="eastAsia"/>
                <w:color w:val="auto"/>
                <w:lang w:val="en-US" w:eastAsia="zh-CN"/>
              </w:rPr>
              <w:t>二级标准，</w:t>
            </w:r>
            <w:r>
              <w:rPr>
                <w:rFonts w:hint="default"/>
                <w:color w:val="auto"/>
              </w:rPr>
              <w:t>排放速率能达到《排污许可证》（</w:t>
            </w:r>
            <w:r>
              <w:rPr>
                <w:rFonts w:hint="eastAsia"/>
                <w:color w:val="auto"/>
                <w:sz w:val="24"/>
                <w:lang w:val="en-US" w:eastAsia="zh-CN"/>
              </w:rPr>
              <w:t>915301000642951353001Q</w:t>
            </w:r>
            <w:r>
              <w:rPr>
                <w:rFonts w:hint="default"/>
                <w:color w:val="auto"/>
              </w:rPr>
              <w:t>）中许可排放速率限值要求。</w:t>
            </w:r>
          </w:p>
          <w:p w14:paraId="43AB1F25">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eastAsia="zh-CN"/>
              </w:rPr>
              <w:t>②</w:t>
            </w:r>
            <w:r>
              <w:rPr>
                <w:rFonts w:hint="eastAsia"/>
                <w:b/>
                <w:bCs/>
                <w:color w:val="auto"/>
                <w:sz w:val="24"/>
                <w:lang w:val="en-US" w:eastAsia="zh-CN"/>
              </w:rPr>
              <w:t>食堂油烟</w:t>
            </w:r>
          </w:p>
          <w:p w14:paraId="1A90A261">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项目设有员工食堂，食堂使用电作为能源；烹饪时产生的油烟经油烟净化器处理后外排。</w:t>
            </w:r>
            <w:r>
              <w:rPr>
                <w:rFonts w:hint="eastAsia" w:cs="Times New Roman"/>
                <w:color w:val="auto"/>
                <w:sz w:val="24"/>
                <w:lang w:val="en-US" w:eastAsia="zh-CN"/>
              </w:rPr>
              <w:t>云南环绿环境检测技术有限公司2022年12月23日-12月25日对项目油烟排放口进行了检测，检测报告编号为（HL20221216004），根据检测报告显示，原项目食堂油烟满足</w:t>
            </w:r>
            <w:r>
              <w:rPr>
                <w:rFonts w:hint="default" w:ascii="Times New Roman" w:hAnsi="Times New Roman" w:eastAsia="宋体" w:cs="Times New Roman"/>
                <w:color w:val="auto"/>
                <w:sz w:val="24"/>
              </w:rPr>
              <w:t>《饮食业油烟排放标准》（GB18483-2001）小型标准</w:t>
            </w:r>
            <w:r>
              <w:rPr>
                <w:rFonts w:hint="eastAsia" w:cs="Times New Roman"/>
                <w:color w:val="auto"/>
                <w:sz w:val="24"/>
                <w:lang w:eastAsia="zh-CN"/>
              </w:rPr>
              <w:t>，即：油烟最高允许排放浓度≤</w:t>
            </w:r>
            <w:r>
              <w:rPr>
                <w:rFonts w:hint="eastAsia" w:cs="Times New Roman"/>
                <w:color w:val="auto"/>
                <w:sz w:val="24"/>
                <w:lang w:val="en-US" w:eastAsia="zh-CN"/>
              </w:rPr>
              <w:t>2.0mg/</w:t>
            </w:r>
            <w:r>
              <w:rPr>
                <w:rFonts w:hint="default" w:ascii="Times New Roman" w:hAnsi="Times New Roman" w:eastAsia="宋体" w:cs="Times New Roman"/>
                <w:b w:val="0"/>
                <w:bCs w:val="0"/>
                <w:color w:val="auto"/>
                <w:kern w:val="2"/>
                <w:sz w:val="24"/>
                <w:szCs w:val="24"/>
              </w:rPr>
              <w:t>m</w:t>
            </w:r>
            <w:r>
              <w:rPr>
                <w:rFonts w:hint="default" w:ascii="Times New Roman" w:hAnsi="Times New Roman" w:eastAsia="宋体" w:cs="Times New Roman"/>
                <w:b w:val="0"/>
                <w:bCs w:val="0"/>
                <w:color w:val="auto"/>
                <w:kern w:val="2"/>
                <w:sz w:val="24"/>
                <w:szCs w:val="24"/>
                <w:vertAlign w:val="superscript"/>
              </w:rPr>
              <w:t>3</w:t>
            </w:r>
            <w:r>
              <w:rPr>
                <w:rFonts w:hint="eastAsia" w:cs="Times New Roman"/>
                <w:color w:val="auto"/>
                <w:sz w:val="24"/>
                <w:lang w:val="en-US" w:eastAsia="zh-CN"/>
              </w:rPr>
              <w:t>。</w:t>
            </w:r>
          </w:p>
          <w:p w14:paraId="39DA95E1">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rPr>
            </w:pPr>
            <w:r>
              <w:rPr>
                <w:rFonts w:hint="default"/>
                <w:b/>
                <w:bCs/>
                <w:color w:val="auto"/>
                <w:sz w:val="24"/>
              </w:rPr>
              <w:t>2）无组织废气</w:t>
            </w:r>
          </w:p>
          <w:p w14:paraId="6B58C7F6">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①</w:t>
            </w:r>
            <w:r>
              <w:rPr>
                <w:rFonts w:hint="eastAsia" w:ascii="Times New Roman" w:hAnsi="Times New Roman" w:eastAsia="宋体" w:cs="Times New Roman"/>
                <w:b/>
                <w:bCs/>
                <w:color w:val="auto"/>
                <w:sz w:val="24"/>
                <w:lang w:val="en-US" w:eastAsia="zh-CN"/>
              </w:rPr>
              <w:t>乳胶漆</w:t>
            </w:r>
            <w:r>
              <w:rPr>
                <w:rFonts w:hint="eastAsia" w:cs="Times New Roman"/>
                <w:b/>
                <w:bCs/>
                <w:color w:val="auto"/>
                <w:sz w:val="24"/>
                <w:lang w:val="en-US" w:eastAsia="zh-CN"/>
              </w:rPr>
              <w:t>生产线</w:t>
            </w:r>
            <w:r>
              <w:rPr>
                <w:rFonts w:hint="eastAsia" w:ascii="Times New Roman" w:hAnsi="Times New Roman" w:eastAsia="宋体" w:cs="Times New Roman"/>
                <w:b/>
                <w:bCs/>
                <w:color w:val="auto"/>
                <w:sz w:val="24"/>
                <w:lang w:val="en-US" w:eastAsia="zh-CN"/>
              </w:rPr>
              <w:t xml:space="preserve">废气 </w:t>
            </w:r>
          </w:p>
          <w:p w14:paraId="51D9D077">
            <w:pPr>
              <w:keepNext w:val="0"/>
              <w:keepLines w:val="0"/>
              <w:suppressLineNumbers w:val="0"/>
              <w:snapToGrid w:val="0"/>
              <w:spacing w:before="0" w:beforeAutospacing="0" w:after="0" w:afterAutospacing="0" w:line="360" w:lineRule="auto"/>
              <w:ind w:left="0" w:right="0" w:firstLine="480" w:firstLineChars="200"/>
              <w:rPr>
                <w:rFonts w:hint="eastAsia"/>
                <w:color w:val="auto"/>
                <w:sz w:val="24"/>
                <w:lang w:val="en-US" w:eastAsia="zh-CN"/>
              </w:rPr>
            </w:pPr>
            <w:r>
              <w:rPr>
                <w:rFonts w:hint="eastAsia"/>
                <w:color w:val="auto"/>
                <w:sz w:val="24"/>
                <w:lang w:val="en-US" w:eastAsia="zh-CN"/>
              </w:rPr>
              <w:t>乳胶漆生产线生产设备及运行都是在密闭的罐中进行的，原料碳酸钙，高岭土和钛白粉由罐车运送到厂里，直接打入储罐，然后管道输送入生产罐；乳胶漆生产线有六个储料罐，为了控制投料口粉尘的产生及排放，在车间内修建一个专门的投料间，投料间为三面封闭，顶部封闭，投料口设置于该间中，并在投料口上方设有1个面积约为</w:t>
            </w:r>
            <w:r>
              <w:rPr>
                <w:rFonts w:hint="default"/>
                <w:color w:val="auto"/>
                <w:sz w:val="24"/>
                <w:lang w:val="en-US" w:eastAsia="zh-CN"/>
              </w:rPr>
              <w:t>0.5m</w:t>
            </w:r>
            <w:r>
              <w:rPr>
                <w:rFonts w:hint="eastAsia"/>
                <w:color w:val="auto"/>
                <w:sz w:val="24"/>
                <w:lang w:val="en-US" w:eastAsia="zh-CN"/>
              </w:rPr>
              <w:t>³的一个抽风口，抽风口产生的粉尘经布袋除尘器处理后在车间自然沉降；每个粉料储罐顶部设置布袋除尘器，粉尘经处理后无组织排放。</w:t>
            </w:r>
          </w:p>
          <w:p w14:paraId="7458C3B1">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②砂壁投料口</w:t>
            </w:r>
            <w:r>
              <w:rPr>
                <w:rFonts w:hint="eastAsia" w:cs="Times New Roman"/>
                <w:b/>
                <w:bCs/>
                <w:color w:val="auto"/>
                <w:sz w:val="24"/>
                <w:lang w:val="en-US" w:eastAsia="zh-CN"/>
              </w:rPr>
              <w:t>粉尘</w:t>
            </w:r>
          </w:p>
          <w:p w14:paraId="7818DC88">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b w:val="0"/>
                <w:bCs w:val="0"/>
                <w:color w:val="auto"/>
                <w:sz w:val="24"/>
                <w:lang w:val="en-US" w:eastAsia="zh-CN"/>
              </w:rPr>
              <w:t>砂壁产品生产线与乳胶生产线的投料装置是相同的，砂壁投料间</w:t>
            </w:r>
            <w:r>
              <w:rPr>
                <w:rFonts w:hint="eastAsia" w:ascii="Times New Roman" w:hAnsi="Times New Roman" w:eastAsia="宋体" w:cs="Times New Roman"/>
                <w:color w:val="auto"/>
                <w:sz w:val="24"/>
                <w:lang w:val="en-US" w:eastAsia="zh-CN"/>
              </w:rPr>
              <w:t>投料口</w:t>
            </w:r>
            <w:r>
              <w:rPr>
                <w:rFonts w:hint="eastAsia" w:cs="Times New Roman"/>
                <w:color w:val="auto"/>
                <w:sz w:val="24"/>
                <w:lang w:val="en-US" w:eastAsia="zh-CN"/>
              </w:rPr>
              <w:t>设置</w:t>
            </w:r>
            <w:r>
              <w:rPr>
                <w:rFonts w:hint="eastAsia" w:ascii="Times New Roman" w:hAnsi="Times New Roman" w:eastAsia="宋体" w:cs="Times New Roman"/>
                <w:color w:val="auto"/>
                <w:sz w:val="24"/>
                <w:lang w:val="en-US" w:eastAsia="zh-CN"/>
              </w:rPr>
              <w:t>单独的抽风式除尘装置，投料间为三面封闭，顶部封闭，投料口设置于该间中，并在投料口上方设置有了个面积约为</w:t>
            </w:r>
            <w:r>
              <w:rPr>
                <w:rFonts w:hint="default" w:ascii="Times New Roman" w:hAnsi="Times New Roman" w:eastAsia="宋体" w:cs="Times New Roman"/>
                <w:color w:val="auto"/>
                <w:sz w:val="24"/>
                <w:lang w:val="en-US" w:eastAsia="zh-CN"/>
              </w:rPr>
              <w:t>0.5m</w:t>
            </w:r>
            <w:r>
              <w:rPr>
                <w:rFonts w:hint="eastAsia" w:ascii="Times New Roman" w:hAnsi="Times New Roman" w:eastAsia="宋体" w:cs="Times New Roman"/>
                <w:color w:val="auto"/>
                <w:sz w:val="24"/>
                <w:lang w:val="en-US" w:eastAsia="zh-CN"/>
              </w:rPr>
              <w:t>³*</w:t>
            </w:r>
            <w:r>
              <w:rPr>
                <w:rFonts w:hint="default" w:ascii="Times New Roman" w:hAnsi="Times New Roman" w:eastAsia="宋体" w:cs="Times New Roman"/>
                <w:color w:val="auto"/>
                <w:sz w:val="24"/>
                <w:lang w:val="en-US" w:eastAsia="zh-CN"/>
              </w:rPr>
              <w:t>0.5m</w:t>
            </w:r>
            <w:r>
              <w:rPr>
                <w:rFonts w:hint="eastAsia" w:ascii="Times New Roman" w:hAnsi="Times New Roman" w:eastAsia="宋体" w:cs="Times New Roman"/>
                <w:color w:val="auto"/>
                <w:sz w:val="24"/>
                <w:lang w:val="en-US" w:eastAsia="zh-CN"/>
              </w:rPr>
              <w:t>的一个抽风口，将投料口上方产生的粉尘抽至一套布袋除尘装置进行处理，后在车间内呈无组织排放。</w:t>
            </w:r>
          </w:p>
          <w:p w14:paraId="3D1A1095">
            <w:pPr>
              <w:keepNext w:val="0"/>
              <w:keepLines w:val="0"/>
              <w:suppressLineNumbers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③污水处理系统恶臭</w:t>
            </w:r>
          </w:p>
          <w:p w14:paraId="3C44D9D3">
            <w:pPr>
              <w:keepNext w:val="0"/>
              <w:keepLines w:val="0"/>
              <w:suppressLineNumbers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lang w:val="en-US" w:eastAsia="zh-CN"/>
              </w:rPr>
              <w:t>污水处理系统恶臭呈无组织排放，经大气稀释扩散后对外环境影响小。</w:t>
            </w:r>
          </w:p>
          <w:p w14:paraId="6A86571E">
            <w:pPr>
              <w:keepNext w:val="0"/>
              <w:keepLines w:val="0"/>
              <w:suppressLineNumbers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lang w:val="en-US" w:eastAsia="zh-CN"/>
              </w:rPr>
              <w:t>根据原项目2022年第四季度自行监测报告，</w:t>
            </w:r>
            <w:r>
              <w:rPr>
                <w:rFonts w:hint="eastAsia"/>
                <w:color w:val="auto"/>
                <w:sz w:val="24"/>
                <w:lang w:eastAsia="zh-CN"/>
              </w:rPr>
              <w:t>无组织废气</w:t>
            </w:r>
            <w:r>
              <w:rPr>
                <w:rFonts w:hint="default"/>
                <w:color w:val="auto"/>
                <w:sz w:val="24"/>
              </w:rPr>
              <w:t>检测结果见表</w:t>
            </w:r>
            <w:r>
              <w:rPr>
                <w:rFonts w:hint="eastAsia"/>
                <w:color w:val="auto"/>
                <w:sz w:val="24"/>
                <w:lang w:val="en-US" w:eastAsia="zh-CN"/>
              </w:rPr>
              <w:t>2-24</w:t>
            </w:r>
            <w:r>
              <w:rPr>
                <w:rFonts w:hint="default"/>
                <w:color w:val="auto"/>
                <w:sz w:val="24"/>
              </w:rPr>
              <w:t>。</w:t>
            </w:r>
          </w:p>
          <w:p w14:paraId="196E8E1E">
            <w:pPr>
              <w:keepNext w:val="0"/>
              <w:keepLines w:val="0"/>
              <w:suppressLineNumbers w:val="0"/>
              <w:spacing w:before="0" w:beforeAutospacing="0" w:after="0" w:afterAutospacing="0"/>
              <w:ind w:left="0" w:right="0"/>
              <w:jc w:val="center"/>
              <w:rPr>
                <w:rFonts w:hint="default"/>
                <w:color w:val="auto"/>
                <w:sz w:val="24"/>
                <w:szCs w:val="21"/>
              </w:rPr>
            </w:pPr>
            <w:r>
              <w:rPr>
                <w:rFonts w:hint="default"/>
                <w:b/>
                <w:color w:val="auto"/>
                <w:szCs w:val="21"/>
              </w:rPr>
              <w:t>表</w:t>
            </w:r>
            <w:r>
              <w:rPr>
                <w:rFonts w:hint="eastAsia"/>
                <w:b/>
                <w:color w:val="auto"/>
                <w:szCs w:val="21"/>
                <w:lang w:val="en-US" w:eastAsia="zh-CN"/>
              </w:rPr>
              <w:t>2-24</w:t>
            </w:r>
            <w:r>
              <w:rPr>
                <w:rFonts w:hint="default"/>
                <w:b/>
                <w:color w:val="auto"/>
                <w:szCs w:val="21"/>
              </w:rPr>
              <w:t xml:space="preserve">  无组织废气监测结果  （臭气浓度无量纲，其余mg/m</w:t>
            </w:r>
            <w:r>
              <w:rPr>
                <w:rFonts w:hint="default"/>
                <w:b/>
                <w:color w:val="auto"/>
                <w:szCs w:val="21"/>
                <w:vertAlign w:val="superscript"/>
              </w:rPr>
              <w:t>3</w:t>
            </w:r>
            <w:r>
              <w:rPr>
                <w:rFonts w:hint="default"/>
                <w:b/>
                <w:color w:val="auto"/>
                <w:szCs w:val="21"/>
              </w:rPr>
              <w:t>）</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356"/>
              <w:gridCol w:w="1037"/>
              <w:gridCol w:w="1037"/>
              <w:gridCol w:w="1037"/>
              <w:gridCol w:w="1041"/>
              <w:gridCol w:w="1039"/>
              <w:gridCol w:w="1039"/>
            </w:tblGrid>
            <w:tr w14:paraId="6B86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71" w:type="pct"/>
                  <w:vMerge w:val="restart"/>
                  <w:noWrap w:val="0"/>
                  <w:vAlign w:val="center"/>
                </w:tcPr>
                <w:p w14:paraId="2E34C80F">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检测项目</w:t>
                  </w:r>
                </w:p>
              </w:tc>
              <w:tc>
                <w:tcPr>
                  <w:tcW w:w="809" w:type="pct"/>
                  <w:vMerge w:val="restart"/>
                  <w:noWrap w:val="0"/>
                  <w:vAlign w:val="center"/>
                </w:tcPr>
                <w:p w14:paraId="08F7758F">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日期</w:t>
                  </w:r>
                </w:p>
              </w:tc>
              <w:tc>
                <w:tcPr>
                  <w:tcW w:w="2478" w:type="pct"/>
                  <w:gridSpan w:val="4"/>
                  <w:noWrap w:val="0"/>
                  <w:vAlign w:val="center"/>
                </w:tcPr>
                <w:p w14:paraId="11711ABF">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检测结果</w:t>
                  </w:r>
                </w:p>
              </w:tc>
              <w:tc>
                <w:tcPr>
                  <w:tcW w:w="620" w:type="pct"/>
                  <w:vMerge w:val="restart"/>
                  <w:noWrap w:val="0"/>
                  <w:vAlign w:val="center"/>
                </w:tcPr>
                <w:p w14:paraId="6B46B72B">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标准限值</w:t>
                  </w:r>
                </w:p>
              </w:tc>
              <w:tc>
                <w:tcPr>
                  <w:tcW w:w="620" w:type="pct"/>
                  <w:vMerge w:val="restart"/>
                  <w:noWrap w:val="0"/>
                  <w:vAlign w:val="center"/>
                </w:tcPr>
                <w:p w14:paraId="57E4FAC0">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达标情况</w:t>
                  </w:r>
                </w:p>
              </w:tc>
            </w:tr>
            <w:tr w14:paraId="0853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71" w:type="pct"/>
                  <w:vMerge w:val="continue"/>
                  <w:noWrap w:val="0"/>
                  <w:vAlign w:val="center"/>
                </w:tcPr>
                <w:p w14:paraId="5473D35D">
                  <w:pPr>
                    <w:keepNext w:val="0"/>
                    <w:keepLines w:val="0"/>
                    <w:suppressLineNumbers w:val="0"/>
                    <w:snapToGrid w:val="0"/>
                    <w:spacing w:before="0" w:beforeAutospacing="0" w:after="0" w:afterAutospacing="0"/>
                    <w:ind w:left="0" w:right="0"/>
                    <w:jc w:val="center"/>
                    <w:rPr>
                      <w:rFonts w:hint="default"/>
                      <w:color w:val="auto"/>
                    </w:rPr>
                  </w:pPr>
                </w:p>
              </w:tc>
              <w:tc>
                <w:tcPr>
                  <w:tcW w:w="809" w:type="pct"/>
                  <w:vMerge w:val="continue"/>
                  <w:noWrap w:val="0"/>
                  <w:vAlign w:val="center"/>
                </w:tcPr>
                <w:p w14:paraId="78D70AF5">
                  <w:pPr>
                    <w:keepNext w:val="0"/>
                    <w:keepLines w:val="0"/>
                    <w:suppressLineNumbers w:val="0"/>
                    <w:snapToGrid w:val="0"/>
                    <w:spacing w:before="0" w:beforeAutospacing="0" w:after="0" w:afterAutospacing="0"/>
                    <w:ind w:left="0" w:right="0"/>
                    <w:jc w:val="center"/>
                    <w:rPr>
                      <w:rFonts w:hint="default"/>
                      <w:color w:val="auto"/>
                    </w:rPr>
                  </w:pPr>
                </w:p>
              </w:tc>
              <w:tc>
                <w:tcPr>
                  <w:tcW w:w="619" w:type="pct"/>
                  <w:noWrap w:val="0"/>
                  <w:vAlign w:val="center"/>
                </w:tcPr>
                <w:p w14:paraId="4140E6CD">
                  <w:pPr>
                    <w:keepNext w:val="0"/>
                    <w:keepLines w:val="0"/>
                    <w:suppressLineNumbers w:val="0"/>
                    <w:snapToGrid w:val="0"/>
                    <w:spacing w:before="0" w:beforeAutospacing="0" w:after="0" w:afterAutospacing="0"/>
                    <w:ind w:left="0" w:right="0"/>
                    <w:jc w:val="center"/>
                    <w:rPr>
                      <w:rFonts w:hint="eastAsia" w:eastAsia="宋体"/>
                      <w:color w:val="auto"/>
                      <w:szCs w:val="21"/>
                      <w:lang w:eastAsia="zh-CN"/>
                    </w:rPr>
                  </w:pPr>
                  <w:r>
                    <w:rPr>
                      <w:rFonts w:hint="default"/>
                      <w:color w:val="auto"/>
                      <w:szCs w:val="21"/>
                    </w:rPr>
                    <w:t>上风向</w:t>
                  </w:r>
                  <w:r>
                    <w:rPr>
                      <w:rFonts w:hint="eastAsia"/>
                      <w:color w:val="auto"/>
                      <w:szCs w:val="21"/>
                      <w:lang w:val="en-US" w:eastAsia="zh-CN"/>
                    </w:rPr>
                    <w:t>1</w:t>
                  </w:r>
                </w:p>
              </w:tc>
              <w:tc>
                <w:tcPr>
                  <w:tcW w:w="619" w:type="pct"/>
                  <w:noWrap w:val="0"/>
                  <w:vAlign w:val="center"/>
                </w:tcPr>
                <w:p w14:paraId="114300E7">
                  <w:pPr>
                    <w:keepNext w:val="0"/>
                    <w:keepLines w:val="0"/>
                    <w:suppressLineNumbers w:val="0"/>
                    <w:snapToGrid w:val="0"/>
                    <w:spacing w:before="0" w:beforeAutospacing="0" w:after="0" w:afterAutospacing="0"/>
                    <w:ind w:left="0" w:right="0"/>
                    <w:jc w:val="center"/>
                    <w:rPr>
                      <w:rFonts w:hint="eastAsia" w:eastAsia="宋体"/>
                      <w:color w:val="auto"/>
                      <w:szCs w:val="21"/>
                      <w:lang w:eastAsia="zh-CN"/>
                    </w:rPr>
                  </w:pPr>
                  <w:r>
                    <w:rPr>
                      <w:rFonts w:hint="default"/>
                      <w:color w:val="auto"/>
                      <w:szCs w:val="21"/>
                    </w:rPr>
                    <w:t>下风向</w:t>
                  </w:r>
                  <w:r>
                    <w:rPr>
                      <w:rFonts w:hint="eastAsia"/>
                      <w:color w:val="auto"/>
                      <w:szCs w:val="21"/>
                      <w:lang w:val="en-US" w:eastAsia="zh-CN"/>
                    </w:rPr>
                    <w:t>2</w:t>
                  </w:r>
                </w:p>
              </w:tc>
              <w:tc>
                <w:tcPr>
                  <w:tcW w:w="619" w:type="pct"/>
                  <w:noWrap w:val="0"/>
                  <w:vAlign w:val="center"/>
                </w:tcPr>
                <w:p w14:paraId="32E6C2D3">
                  <w:pPr>
                    <w:keepNext w:val="0"/>
                    <w:keepLines w:val="0"/>
                    <w:suppressLineNumbers w:val="0"/>
                    <w:snapToGrid w:val="0"/>
                    <w:spacing w:before="0" w:beforeAutospacing="0" w:after="0" w:afterAutospacing="0"/>
                    <w:ind w:left="0" w:right="0"/>
                    <w:jc w:val="center"/>
                    <w:rPr>
                      <w:rFonts w:hint="eastAsia" w:eastAsia="宋体"/>
                      <w:color w:val="auto"/>
                      <w:szCs w:val="21"/>
                      <w:lang w:eastAsia="zh-CN"/>
                    </w:rPr>
                  </w:pPr>
                  <w:r>
                    <w:rPr>
                      <w:rFonts w:hint="default"/>
                      <w:color w:val="auto"/>
                      <w:szCs w:val="21"/>
                    </w:rPr>
                    <w:t>下风向</w:t>
                  </w:r>
                  <w:r>
                    <w:rPr>
                      <w:rFonts w:hint="eastAsia"/>
                      <w:color w:val="auto"/>
                      <w:szCs w:val="21"/>
                      <w:lang w:val="en-US" w:eastAsia="zh-CN"/>
                    </w:rPr>
                    <w:t>3</w:t>
                  </w:r>
                </w:p>
              </w:tc>
              <w:tc>
                <w:tcPr>
                  <w:tcW w:w="619" w:type="pct"/>
                  <w:noWrap w:val="0"/>
                  <w:vAlign w:val="center"/>
                </w:tcPr>
                <w:p w14:paraId="7BC4E584">
                  <w:pPr>
                    <w:keepNext w:val="0"/>
                    <w:keepLines w:val="0"/>
                    <w:suppressLineNumbers w:val="0"/>
                    <w:snapToGrid w:val="0"/>
                    <w:spacing w:before="0" w:beforeAutospacing="0" w:after="0" w:afterAutospacing="0"/>
                    <w:ind w:left="0" w:right="0"/>
                    <w:jc w:val="center"/>
                    <w:rPr>
                      <w:rFonts w:hint="eastAsia" w:eastAsia="宋体"/>
                      <w:color w:val="auto"/>
                      <w:szCs w:val="21"/>
                      <w:lang w:eastAsia="zh-CN"/>
                    </w:rPr>
                  </w:pPr>
                  <w:r>
                    <w:rPr>
                      <w:rFonts w:hint="default"/>
                      <w:color w:val="auto"/>
                      <w:szCs w:val="21"/>
                    </w:rPr>
                    <w:t>下风向</w:t>
                  </w:r>
                  <w:r>
                    <w:rPr>
                      <w:rFonts w:hint="eastAsia"/>
                      <w:color w:val="auto"/>
                      <w:szCs w:val="21"/>
                      <w:lang w:val="en-US" w:eastAsia="zh-CN"/>
                    </w:rPr>
                    <w:t>4</w:t>
                  </w:r>
                </w:p>
              </w:tc>
              <w:tc>
                <w:tcPr>
                  <w:tcW w:w="620" w:type="pct"/>
                  <w:vMerge w:val="continue"/>
                  <w:noWrap w:val="0"/>
                  <w:vAlign w:val="center"/>
                </w:tcPr>
                <w:p w14:paraId="6EFB3303">
                  <w:pPr>
                    <w:keepNext w:val="0"/>
                    <w:keepLines w:val="0"/>
                    <w:suppressLineNumbers w:val="0"/>
                    <w:snapToGrid w:val="0"/>
                    <w:spacing w:before="0" w:beforeAutospacing="0" w:after="0" w:afterAutospacing="0"/>
                    <w:ind w:left="0" w:right="0"/>
                    <w:jc w:val="center"/>
                    <w:rPr>
                      <w:rFonts w:hint="default"/>
                      <w:color w:val="auto"/>
                      <w:szCs w:val="21"/>
                    </w:rPr>
                  </w:pPr>
                </w:p>
              </w:tc>
              <w:tc>
                <w:tcPr>
                  <w:tcW w:w="620" w:type="pct"/>
                  <w:vMerge w:val="continue"/>
                  <w:noWrap w:val="0"/>
                  <w:vAlign w:val="center"/>
                </w:tcPr>
                <w:p w14:paraId="5A904F26">
                  <w:pPr>
                    <w:keepNext w:val="0"/>
                    <w:keepLines w:val="0"/>
                    <w:suppressLineNumbers w:val="0"/>
                    <w:snapToGrid w:val="0"/>
                    <w:spacing w:before="0" w:beforeAutospacing="0" w:after="0" w:afterAutospacing="0"/>
                    <w:ind w:left="0" w:right="0"/>
                    <w:jc w:val="center"/>
                    <w:rPr>
                      <w:rFonts w:hint="default"/>
                      <w:color w:val="auto"/>
                      <w:szCs w:val="21"/>
                    </w:rPr>
                  </w:pPr>
                </w:p>
              </w:tc>
            </w:tr>
            <w:tr w14:paraId="38F7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71" w:type="pct"/>
                  <w:vMerge w:val="restart"/>
                  <w:noWrap w:val="0"/>
                  <w:vAlign w:val="center"/>
                </w:tcPr>
                <w:p w14:paraId="35B9009A">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颗粒物</w:t>
                  </w:r>
                </w:p>
              </w:tc>
              <w:tc>
                <w:tcPr>
                  <w:tcW w:w="809" w:type="pct"/>
                  <w:vMerge w:val="restart"/>
                  <w:noWrap w:val="0"/>
                  <w:vAlign w:val="center"/>
                </w:tcPr>
                <w:p w14:paraId="2C678B70">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default"/>
                      <w:color w:val="auto"/>
                      <w:szCs w:val="21"/>
                    </w:rPr>
                    <w:t>202</w:t>
                  </w:r>
                  <w:r>
                    <w:rPr>
                      <w:rFonts w:hint="eastAsia"/>
                      <w:color w:val="auto"/>
                      <w:szCs w:val="21"/>
                      <w:lang w:val="en-US" w:eastAsia="zh-CN"/>
                    </w:rPr>
                    <w:t>2</w:t>
                  </w:r>
                  <w:r>
                    <w:rPr>
                      <w:rFonts w:hint="default"/>
                      <w:color w:val="auto"/>
                      <w:szCs w:val="21"/>
                    </w:rPr>
                    <w:t>.</w:t>
                  </w:r>
                  <w:r>
                    <w:rPr>
                      <w:rFonts w:hint="eastAsia"/>
                      <w:color w:val="auto"/>
                      <w:szCs w:val="21"/>
                      <w:lang w:val="en-US" w:eastAsia="zh-CN"/>
                    </w:rPr>
                    <w:t>12</w:t>
                  </w:r>
                  <w:r>
                    <w:rPr>
                      <w:rFonts w:hint="default"/>
                      <w:color w:val="auto"/>
                      <w:szCs w:val="21"/>
                    </w:rPr>
                    <w:t>.</w:t>
                  </w:r>
                  <w:r>
                    <w:rPr>
                      <w:rFonts w:hint="eastAsia"/>
                      <w:color w:val="auto"/>
                      <w:szCs w:val="21"/>
                      <w:lang w:val="en-US" w:eastAsia="zh-CN"/>
                    </w:rPr>
                    <w:t>23</w:t>
                  </w:r>
                </w:p>
              </w:tc>
              <w:tc>
                <w:tcPr>
                  <w:tcW w:w="619" w:type="pct"/>
                  <w:noWrap w:val="0"/>
                  <w:vAlign w:val="center"/>
                </w:tcPr>
                <w:p w14:paraId="03EE75C9">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0.064</w:t>
                  </w:r>
                </w:p>
              </w:tc>
              <w:tc>
                <w:tcPr>
                  <w:tcW w:w="619" w:type="pct"/>
                  <w:noWrap w:val="0"/>
                  <w:vAlign w:val="center"/>
                </w:tcPr>
                <w:p w14:paraId="33958F03">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0.17</w:t>
                  </w:r>
                </w:p>
              </w:tc>
              <w:tc>
                <w:tcPr>
                  <w:tcW w:w="619" w:type="pct"/>
                  <w:noWrap w:val="0"/>
                  <w:vAlign w:val="center"/>
                </w:tcPr>
                <w:p w14:paraId="410879EB">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0.107</w:t>
                  </w:r>
                </w:p>
              </w:tc>
              <w:tc>
                <w:tcPr>
                  <w:tcW w:w="619" w:type="pct"/>
                  <w:noWrap w:val="0"/>
                  <w:vAlign w:val="center"/>
                </w:tcPr>
                <w:p w14:paraId="284D6E90">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0.192</w:t>
                  </w:r>
                </w:p>
              </w:tc>
              <w:tc>
                <w:tcPr>
                  <w:tcW w:w="620" w:type="pct"/>
                  <w:noWrap w:val="0"/>
                  <w:vAlign w:val="center"/>
                </w:tcPr>
                <w:p w14:paraId="497F5323">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20" w:type="pct"/>
                  <w:noWrap w:val="0"/>
                  <w:vAlign w:val="center"/>
                </w:tcPr>
                <w:p w14:paraId="2C147A9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r w14:paraId="45B8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Merge w:val="continue"/>
                  <w:noWrap w:val="0"/>
                  <w:vAlign w:val="center"/>
                </w:tcPr>
                <w:p w14:paraId="1A0E7D74">
                  <w:pPr>
                    <w:keepNext w:val="0"/>
                    <w:keepLines w:val="0"/>
                    <w:suppressLineNumbers w:val="0"/>
                    <w:snapToGrid w:val="0"/>
                    <w:spacing w:before="0" w:beforeAutospacing="0" w:after="0" w:afterAutospacing="0"/>
                    <w:ind w:left="0" w:right="0"/>
                    <w:jc w:val="center"/>
                    <w:rPr>
                      <w:rFonts w:hint="default"/>
                      <w:color w:val="auto"/>
                      <w:szCs w:val="21"/>
                    </w:rPr>
                  </w:pPr>
                </w:p>
              </w:tc>
              <w:tc>
                <w:tcPr>
                  <w:tcW w:w="809" w:type="pct"/>
                  <w:vMerge w:val="continue"/>
                  <w:noWrap w:val="0"/>
                  <w:vAlign w:val="center"/>
                </w:tcPr>
                <w:p w14:paraId="63433E6A">
                  <w:pPr>
                    <w:keepNext w:val="0"/>
                    <w:keepLines w:val="0"/>
                    <w:suppressLineNumbers w:val="0"/>
                    <w:snapToGrid w:val="0"/>
                    <w:spacing w:before="0" w:beforeAutospacing="0" w:after="0" w:afterAutospacing="0"/>
                    <w:ind w:left="0" w:right="0"/>
                    <w:jc w:val="center"/>
                    <w:rPr>
                      <w:rFonts w:hint="default"/>
                      <w:color w:val="auto"/>
                      <w:szCs w:val="21"/>
                    </w:rPr>
                  </w:pPr>
                </w:p>
              </w:tc>
              <w:tc>
                <w:tcPr>
                  <w:tcW w:w="619" w:type="pct"/>
                  <w:noWrap w:val="0"/>
                  <w:vAlign w:val="center"/>
                </w:tcPr>
                <w:p w14:paraId="2D257D1D">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0.086</w:t>
                  </w:r>
                </w:p>
              </w:tc>
              <w:tc>
                <w:tcPr>
                  <w:tcW w:w="619" w:type="pct"/>
                  <w:noWrap w:val="0"/>
                  <w:vAlign w:val="center"/>
                </w:tcPr>
                <w:p w14:paraId="70A7C1D9">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0.15</w:t>
                  </w:r>
                </w:p>
              </w:tc>
              <w:tc>
                <w:tcPr>
                  <w:tcW w:w="619" w:type="pct"/>
                  <w:noWrap w:val="0"/>
                  <w:vAlign w:val="center"/>
                </w:tcPr>
                <w:p w14:paraId="6E4F198C">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0.172</w:t>
                  </w:r>
                </w:p>
              </w:tc>
              <w:tc>
                <w:tcPr>
                  <w:tcW w:w="619" w:type="pct"/>
                  <w:noWrap w:val="0"/>
                  <w:vAlign w:val="center"/>
                </w:tcPr>
                <w:p w14:paraId="7B98A405">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0.236</w:t>
                  </w:r>
                </w:p>
              </w:tc>
              <w:tc>
                <w:tcPr>
                  <w:tcW w:w="620" w:type="pct"/>
                  <w:noWrap w:val="0"/>
                  <w:vAlign w:val="center"/>
                </w:tcPr>
                <w:p w14:paraId="682B9FA9">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20" w:type="pct"/>
                  <w:noWrap w:val="0"/>
                  <w:vAlign w:val="center"/>
                </w:tcPr>
                <w:p w14:paraId="24012F6B">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r w14:paraId="3E14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noWrap w:val="0"/>
                  <w:vAlign w:val="center"/>
                </w:tcPr>
                <w:p w14:paraId="0D4474B6">
                  <w:pPr>
                    <w:keepNext w:val="0"/>
                    <w:keepLines w:val="0"/>
                    <w:suppressLineNumbers w:val="0"/>
                    <w:snapToGrid w:val="0"/>
                    <w:spacing w:before="0" w:beforeAutospacing="0" w:after="0" w:afterAutospacing="0"/>
                    <w:ind w:left="0" w:right="0"/>
                    <w:jc w:val="center"/>
                    <w:rPr>
                      <w:rFonts w:hint="default"/>
                      <w:color w:val="auto"/>
                      <w:szCs w:val="21"/>
                    </w:rPr>
                  </w:pPr>
                </w:p>
              </w:tc>
              <w:tc>
                <w:tcPr>
                  <w:tcW w:w="809" w:type="pct"/>
                  <w:vMerge w:val="continue"/>
                  <w:noWrap w:val="0"/>
                  <w:vAlign w:val="center"/>
                </w:tcPr>
                <w:p w14:paraId="7841D4D1">
                  <w:pPr>
                    <w:keepNext w:val="0"/>
                    <w:keepLines w:val="0"/>
                    <w:suppressLineNumbers w:val="0"/>
                    <w:snapToGrid w:val="0"/>
                    <w:spacing w:before="0" w:beforeAutospacing="0" w:after="0" w:afterAutospacing="0"/>
                    <w:ind w:left="0" w:right="0"/>
                    <w:jc w:val="center"/>
                    <w:rPr>
                      <w:rFonts w:hint="default"/>
                      <w:color w:val="auto"/>
                      <w:szCs w:val="21"/>
                    </w:rPr>
                  </w:pPr>
                </w:p>
              </w:tc>
              <w:tc>
                <w:tcPr>
                  <w:tcW w:w="619" w:type="pct"/>
                  <w:noWrap w:val="0"/>
                  <w:vAlign w:val="center"/>
                </w:tcPr>
                <w:p w14:paraId="3C8D2672">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0.065</w:t>
                  </w:r>
                </w:p>
              </w:tc>
              <w:tc>
                <w:tcPr>
                  <w:tcW w:w="619" w:type="pct"/>
                  <w:noWrap w:val="0"/>
                  <w:vAlign w:val="center"/>
                </w:tcPr>
                <w:p w14:paraId="56629C74">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0.131</w:t>
                  </w:r>
                </w:p>
              </w:tc>
              <w:tc>
                <w:tcPr>
                  <w:tcW w:w="619" w:type="pct"/>
                  <w:noWrap w:val="0"/>
                  <w:vAlign w:val="center"/>
                </w:tcPr>
                <w:p w14:paraId="7511F924">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0.131</w:t>
                  </w:r>
                </w:p>
              </w:tc>
              <w:tc>
                <w:tcPr>
                  <w:tcW w:w="619" w:type="pct"/>
                  <w:noWrap w:val="0"/>
                  <w:vAlign w:val="center"/>
                </w:tcPr>
                <w:p w14:paraId="40D243E7">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0.218</w:t>
                  </w:r>
                </w:p>
              </w:tc>
              <w:tc>
                <w:tcPr>
                  <w:tcW w:w="620" w:type="pct"/>
                  <w:noWrap w:val="0"/>
                  <w:vAlign w:val="center"/>
                </w:tcPr>
                <w:p w14:paraId="19D6AB51">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20" w:type="pct"/>
                  <w:noWrap w:val="0"/>
                  <w:vAlign w:val="center"/>
                </w:tcPr>
                <w:p w14:paraId="109F7B3E">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r w14:paraId="1EBD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Merge w:val="restart"/>
                  <w:noWrap w:val="0"/>
                  <w:vAlign w:val="center"/>
                </w:tcPr>
                <w:p w14:paraId="49EBD0A2">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臭气浓度</w:t>
                  </w:r>
                </w:p>
              </w:tc>
              <w:tc>
                <w:tcPr>
                  <w:tcW w:w="809" w:type="pct"/>
                  <w:vMerge w:val="restart"/>
                  <w:noWrap w:val="0"/>
                  <w:vAlign w:val="center"/>
                </w:tcPr>
                <w:p w14:paraId="57084671">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202</w:t>
                  </w:r>
                  <w:r>
                    <w:rPr>
                      <w:rFonts w:hint="eastAsia"/>
                      <w:color w:val="auto"/>
                      <w:szCs w:val="21"/>
                      <w:lang w:val="en-US" w:eastAsia="zh-CN"/>
                    </w:rPr>
                    <w:t>2</w:t>
                  </w:r>
                  <w:r>
                    <w:rPr>
                      <w:rFonts w:hint="default"/>
                      <w:color w:val="auto"/>
                      <w:szCs w:val="21"/>
                    </w:rPr>
                    <w:t>.</w:t>
                  </w:r>
                  <w:r>
                    <w:rPr>
                      <w:rFonts w:hint="eastAsia"/>
                      <w:color w:val="auto"/>
                      <w:szCs w:val="21"/>
                      <w:lang w:val="en-US" w:eastAsia="zh-CN"/>
                    </w:rPr>
                    <w:t>12</w:t>
                  </w:r>
                  <w:r>
                    <w:rPr>
                      <w:rFonts w:hint="default"/>
                      <w:color w:val="auto"/>
                      <w:szCs w:val="21"/>
                    </w:rPr>
                    <w:t>.</w:t>
                  </w:r>
                  <w:r>
                    <w:rPr>
                      <w:rFonts w:hint="eastAsia"/>
                      <w:color w:val="auto"/>
                      <w:szCs w:val="21"/>
                      <w:lang w:val="en-US" w:eastAsia="zh-CN"/>
                    </w:rPr>
                    <w:t>23</w:t>
                  </w:r>
                </w:p>
              </w:tc>
              <w:tc>
                <w:tcPr>
                  <w:tcW w:w="619" w:type="pct"/>
                  <w:noWrap w:val="0"/>
                  <w:vAlign w:val="center"/>
                </w:tcPr>
                <w:p w14:paraId="6F7631A2">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3B0FBC4D">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41471874">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7AD45CA5">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20" w:type="pct"/>
                  <w:noWrap w:val="0"/>
                  <w:vAlign w:val="center"/>
                </w:tcPr>
                <w:p w14:paraId="34FF6E6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20</w:t>
                  </w:r>
                </w:p>
              </w:tc>
              <w:tc>
                <w:tcPr>
                  <w:tcW w:w="620" w:type="pct"/>
                  <w:noWrap w:val="0"/>
                  <w:vAlign w:val="center"/>
                </w:tcPr>
                <w:p w14:paraId="0CC85F39">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r w14:paraId="5748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Merge w:val="continue"/>
                  <w:noWrap w:val="0"/>
                  <w:vAlign w:val="center"/>
                </w:tcPr>
                <w:p w14:paraId="52F0F259">
                  <w:pPr>
                    <w:keepNext w:val="0"/>
                    <w:keepLines w:val="0"/>
                    <w:suppressLineNumbers w:val="0"/>
                    <w:snapToGrid w:val="0"/>
                    <w:spacing w:before="0" w:beforeAutospacing="0" w:after="0" w:afterAutospacing="0"/>
                    <w:ind w:left="0" w:right="0"/>
                    <w:jc w:val="center"/>
                    <w:rPr>
                      <w:rFonts w:hint="default"/>
                      <w:color w:val="auto"/>
                      <w:szCs w:val="21"/>
                    </w:rPr>
                  </w:pPr>
                </w:p>
              </w:tc>
              <w:tc>
                <w:tcPr>
                  <w:tcW w:w="809" w:type="pct"/>
                  <w:vMerge w:val="continue"/>
                  <w:noWrap w:val="0"/>
                  <w:vAlign w:val="center"/>
                </w:tcPr>
                <w:p w14:paraId="366C6F48">
                  <w:pPr>
                    <w:keepNext w:val="0"/>
                    <w:keepLines w:val="0"/>
                    <w:suppressLineNumbers w:val="0"/>
                    <w:snapToGrid w:val="0"/>
                    <w:spacing w:before="0" w:beforeAutospacing="0" w:after="0" w:afterAutospacing="0"/>
                    <w:ind w:left="0" w:right="0"/>
                    <w:jc w:val="center"/>
                    <w:rPr>
                      <w:rFonts w:hint="default"/>
                      <w:color w:val="auto"/>
                      <w:szCs w:val="21"/>
                    </w:rPr>
                  </w:pPr>
                </w:p>
              </w:tc>
              <w:tc>
                <w:tcPr>
                  <w:tcW w:w="619" w:type="pct"/>
                  <w:noWrap w:val="0"/>
                  <w:vAlign w:val="center"/>
                </w:tcPr>
                <w:p w14:paraId="3FBB94D6">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06931B64">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12088A9A">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38B6DAE8">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20" w:type="pct"/>
                  <w:noWrap w:val="0"/>
                  <w:vAlign w:val="center"/>
                </w:tcPr>
                <w:p w14:paraId="5D22E9C5">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20</w:t>
                  </w:r>
                </w:p>
              </w:tc>
              <w:tc>
                <w:tcPr>
                  <w:tcW w:w="620" w:type="pct"/>
                  <w:noWrap w:val="0"/>
                  <w:vAlign w:val="center"/>
                </w:tcPr>
                <w:p w14:paraId="160D87F6">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r w14:paraId="74E1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Merge w:val="continue"/>
                  <w:noWrap w:val="0"/>
                  <w:vAlign w:val="center"/>
                </w:tcPr>
                <w:p w14:paraId="6B44878D">
                  <w:pPr>
                    <w:keepNext w:val="0"/>
                    <w:keepLines w:val="0"/>
                    <w:suppressLineNumbers w:val="0"/>
                    <w:snapToGrid w:val="0"/>
                    <w:spacing w:before="0" w:beforeAutospacing="0" w:after="0" w:afterAutospacing="0"/>
                    <w:ind w:left="0" w:right="0"/>
                    <w:jc w:val="center"/>
                    <w:rPr>
                      <w:rFonts w:hint="default"/>
                      <w:color w:val="auto"/>
                      <w:szCs w:val="21"/>
                    </w:rPr>
                  </w:pPr>
                </w:p>
              </w:tc>
              <w:tc>
                <w:tcPr>
                  <w:tcW w:w="809" w:type="pct"/>
                  <w:vMerge w:val="continue"/>
                  <w:noWrap w:val="0"/>
                  <w:vAlign w:val="center"/>
                </w:tcPr>
                <w:p w14:paraId="6DD91EE7">
                  <w:pPr>
                    <w:keepNext w:val="0"/>
                    <w:keepLines w:val="0"/>
                    <w:suppressLineNumbers w:val="0"/>
                    <w:snapToGrid w:val="0"/>
                    <w:spacing w:before="0" w:beforeAutospacing="0" w:after="0" w:afterAutospacing="0"/>
                    <w:ind w:left="0" w:right="0"/>
                    <w:jc w:val="center"/>
                    <w:rPr>
                      <w:rFonts w:hint="default"/>
                      <w:color w:val="auto"/>
                      <w:szCs w:val="21"/>
                    </w:rPr>
                  </w:pPr>
                </w:p>
              </w:tc>
              <w:tc>
                <w:tcPr>
                  <w:tcW w:w="619" w:type="pct"/>
                  <w:noWrap w:val="0"/>
                  <w:vAlign w:val="center"/>
                </w:tcPr>
                <w:p w14:paraId="37BEC9FD">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7D1B606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4072A16D">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286B4DAD">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20" w:type="pct"/>
                  <w:noWrap w:val="0"/>
                  <w:vAlign w:val="center"/>
                </w:tcPr>
                <w:p w14:paraId="1C4868B3">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20</w:t>
                  </w:r>
                </w:p>
              </w:tc>
              <w:tc>
                <w:tcPr>
                  <w:tcW w:w="620" w:type="pct"/>
                  <w:noWrap w:val="0"/>
                  <w:vAlign w:val="center"/>
                </w:tcPr>
                <w:p w14:paraId="4A175DAC">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bl>
          <w:p w14:paraId="0885112A">
            <w:pPr>
              <w:keepNext w:val="0"/>
              <w:keepLines w:val="0"/>
              <w:suppressLineNumbers w:val="0"/>
              <w:spacing w:before="0" w:beforeAutospacing="0" w:after="0" w:afterAutospacing="0" w:line="360" w:lineRule="auto"/>
              <w:ind w:left="0" w:right="0" w:firstLine="480" w:firstLineChars="200"/>
              <w:rPr>
                <w:rFonts w:hint="default"/>
                <w:color w:val="auto"/>
                <w:sz w:val="24"/>
                <w:szCs w:val="21"/>
              </w:rPr>
            </w:pPr>
            <w:r>
              <w:rPr>
                <w:rFonts w:hint="default"/>
                <w:color w:val="auto"/>
                <w:sz w:val="24"/>
                <w:szCs w:val="21"/>
              </w:rPr>
              <w:t>监测结果表明，</w:t>
            </w:r>
            <w:r>
              <w:rPr>
                <w:rFonts w:hint="eastAsia"/>
                <w:color w:val="auto"/>
                <w:sz w:val="24"/>
                <w:szCs w:val="21"/>
              </w:rPr>
              <w:t>企业</w:t>
            </w:r>
            <w:r>
              <w:rPr>
                <w:rFonts w:hint="default"/>
                <w:color w:val="auto"/>
                <w:sz w:val="24"/>
                <w:szCs w:val="21"/>
              </w:rPr>
              <w:t>厂界无组织颗粒物满足《大气污染物综合排放标准》（GB16297--1996 ）表2中无组织排放浓度限值要求</w:t>
            </w:r>
            <w:r>
              <w:rPr>
                <w:rFonts w:hint="eastAsia"/>
                <w:color w:val="auto"/>
                <w:sz w:val="24"/>
                <w:szCs w:val="21"/>
                <w:lang w:eastAsia="zh-CN"/>
              </w:rPr>
              <w:t>；</w:t>
            </w:r>
            <w:r>
              <w:rPr>
                <w:rFonts w:hint="default"/>
                <w:color w:val="auto"/>
                <w:sz w:val="24"/>
                <w:szCs w:val="21"/>
              </w:rPr>
              <w:t>臭气浓度满足《恶臭污染物排放标准》（GB14554-93）</w:t>
            </w:r>
            <w:r>
              <w:rPr>
                <w:rFonts w:hint="eastAsia"/>
                <w:color w:val="auto"/>
                <w:sz w:val="24"/>
                <w:szCs w:val="21"/>
                <w:lang w:eastAsia="zh-CN"/>
              </w:rPr>
              <w:t>中</w:t>
            </w:r>
            <w:r>
              <w:rPr>
                <w:rFonts w:hint="eastAsia" w:ascii="Times New Roman" w:hAnsi="Times New Roman" w:cs="Times New Roman"/>
                <w:color w:val="auto"/>
                <w:sz w:val="24"/>
                <w:szCs w:val="24"/>
                <w:lang w:val="en-US" w:eastAsia="zh-CN"/>
              </w:rPr>
              <w:t>表1</w:t>
            </w:r>
            <w:r>
              <w:rPr>
                <w:rFonts w:hint="eastAsia" w:ascii="Times New Roman" w:hAnsi="Times New Roman" w:cs="Times New Roman"/>
                <w:color w:val="auto"/>
                <w:sz w:val="24"/>
                <w:szCs w:val="24"/>
                <w:lang w:eastAsia="zh-CN"/>
              </w:rPr>
              <w:t>二级标准</w:t>
            </w:r>
            <w:r>
              <w:rPr>
                <w:rFonts w:hint="default"/>
                <w:color w:val="auto"/>
                <w:sz w:val="24"/>
                <w:szCs w:val="21"/>
              </w:rPr>
              <w:t>。</w:t>
            </w:r>
          </w:p>
          <w:p w14:paraId="00BCA4B8">
            <w:pPr>
              <w:pStyle w:val="88"/>
              <w:keepNext w:val="0"/>
              <w:keepLines w:val="0"/>
              <w:suppressLineNumbers w:val="0"/>
              <w:spacing w:before="0" w:beforeAutospacing="0" w:after="0" w:afterAutospacing="0"/>
              <w:ind w:left="0" w:right="0" w:firstLine="482"/>
              <w:rPr>
                <w:rFonts w:hint="eastAsia"/>
                <w:b/>
                <w:color w:val="auto"/>
                <w:lang w:val="en-US" w:eastAsia="zh-CN"/>
              </w:rPr>
            </w:pPr>
            <w:r>
              <w:rPr>
                <w:rFonts w:hint="eastAsia"/>
                <w:b/>
                <w:color w:val="auto"/>
                <w:lang w:val="en-US" w:eastAsia="zh-CN"/>
              </w:rPr>
              <w:t>③挥发性有机废气</w:t>
            </w:r>
          </w:p>
          <w:p w14:paraId="1D84D8E0">
            <w:pPr>
              <w:keepNext w:val="0"/>
              <w:keepLines w:val="0"/>
              <w:suppressLineNumbers w:val="0"/>
              <w:spacing w:before="0" w:beforeAutospacing="0" w:after="0" w:afterAutospacing="0" w:line="360" w:lineRule="auto"/>
              <w:ind w:left="0" w:right="0" w:firstLine="480" w:firstLineChars="200"/>
              <w:rPr>
                <w:rFonts w:hint="default"/>
                <w:color w:val="auto"/>
                <w:sz w:val="24"/>
                <w:szCs w:val="21"/>
                <w:lang w:val="en-US" w:eastAsia="zh-CN"/>
              </w:rPr>
            </w:pPr>
            <w:r>
              <w:rPr>
                <w:rFonts w:hint="eastAsia"/>
                <w:color w:val="auto"/>
                <w:sz w:val="24"/>
                <w:szCs w:val="21"/>
                <w:lang w:val="en-US" w:eastAsia="zh-CN"/>
              </w:rPr>
              <w:t>原项目年产8000t水性涂料，</w:t>
            </w:r>
            <w:r>
              <w:rPr>
                <w:rFonts w:hint="eastAsia" w:cs="Times New Roman"/>
                <w:color w:val="auto"/>
                <w:sz w:val="24"/>
                <w:szCs w:val="24"/>
                <w:lang w:val="en-US" w:eastAsia="zh-CN"/>
              </w:rPr>
              <w:t>参照《立邦新型材料（福建）有限公司年产水性乳胶漆10万吨、真石漆20万吨建设项目竣工环境保护验收监测报告》中有组织废气进口监测值计算</w:t>
            </w:r>
            <w:r>
              <w:rPr>
                <w:rFonts w:hint="eastAsia"/>
                <w:color w:val="auto"/>
                <w:sz w:val="24"/>
                <w:szCs w:val="21"/>
                <w:lang w:val="en-US" w:eastAsia="zh-CN"/>
              </w:rPr>
              <w:t>，原项目挥发性有机废气产生量为0.024t/a，呈无组织排放。</w:t>
            </w:r>
          </w:p>
          <w:p w14:paraId="488EF6D7">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default" w:eastAsia="宋体"/>
                <w:color w:val="auto"/>
                <w:sz w:val="24"/>
                <w:lang w:val="en-US" w:eastAsia="zh-CN"/>
              </w:rPr>
            </w:pPr>
            <w:r>
              <w:rPr>
                <w:rFonts w:hint="default"/>
                <w:color w:val="auto"/>
                <w:sz w:val="24"/>
              </w:rPr>
              <w:t>根据最新的《排污许可证》（</w:t>
            </w:r>
            <w:r>
              <w:rPr>
                <w:rFonts w:hint="eastAsia"/>
                <w:color w:val="auto"/>
                <w:sz w:val="24"/>
                <w:lang w:val="en-US" w:eastAsia="zh-CN"/>
              </w:rPr>
              <w:t>915301000642951353001Q</w:t>
            </w:r>
            <w:r>
              <w:rPr>
                <w:rFonts w:hint="default"/>
                <w:color w:val="auto"/>
                <w:sz w:val="24"/>
              </w:rPr>
              <w:t>），排污许可证未设置废气总量控制指标</w:t>
            </w:r>
            <w:r>
              <w:rPr>
                <w:rFonts w:hint="eastAsia"/>
                <w:color w:val="auto"/>
                <w:sz w:val="24"/>
                <w:lang w:eastAsia="zh-CN"/>
              </w:rPr>
              <w:t>，</w:t>
            </w:r>
            <w:r>
              <w:rPr>
                <w:rFonts w:hint="eastAsia"/>
                <w:color w:val="auto"/>
                <w:sz w:val="24"/>
                <w:lang w:val="en-US" w:eastAsia="zh-CN"/>
              </w:rPr>
              <w:t>不涉总量控制。</w:t>
            </w:r>
          </w:p>
          <w:p w14:paraId="2FFA7611">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（3）噪声</w:t>
            </w:r>
          </w:p>
          <w:p w14:paraId="29CA0FA6">
            <w:pPr>
              <w:keepNext w:val="0"/>
              <w:keepLines w:val="0"/>
              <w:suppressLineNumbers w:val="0"/>
              <w:spacing w:before="0" w:beforeAutospacing="0" w:after="0" w:afterAutospacing="0" w:line="360" w:lineRule="auto"/>
              <w:ind w:left="0" w:right="0" w:firstLine="480" w:firstLineChars="200"/>
              <w:rPr>
                <w:rFonts w:hint="default"/>
                <w:color w:val="auto"/>
                <w:sz w:val="24"/>
                <w:szCs w:val="21"/>
              </w:rPr>
            </w:pPr>
            <w:r>
              <w:rPr>
                <w:rFonts w:hint="eastAsia"/>
                <w:color w:val="auto"/>
                <w:sz w:val="24"/>
                <w:lang w:val="en-US" w:eastAsia="zh-CN"/>
              </w:rPr>
              <w:t>原项目噪声主要为空压机，生产设备等产生的噪声，根据</w:t>
            </w:r>
            <w:r>
              <w:rPr>
                <w:rFonts w:hint="eastAsia"/>
                <w:color w:val="auto"/>
                <w:sz w:val="24"/>
                <w:lang w:eastAsia="zh-CN"/>
              </w:rPr>
              <w:t>原项目</w:t>
            </w:r>
            <w:r>
              <w:rPr>
                <w:rFonts w:hint="eastAsia"/>
                <w:color w:val="auto"/>
                <w:sz w:val="24"/>
                <w:lang w:val="en-US" w:eastAsia="zh-CN"/>
              </w:rPr>
              <w:t>2022年第四季度自行监测报告，噪声监测</w:t>
            </w:r>
            <w:r>
              <w:rPr>
                <w:rFonts w:hint="default"/>
                <w:color w:val="auto"/>
                <w:sz w:val="24"/>
              </w:rPr>
              <w:t>结果见</w:t>
            </w:r>
            <w:r>
              <w:rPr>
                <w:rFonts w:hint="eastAsia"/>
                <w:color w:val="auto"/>
                <w:sz w:val="24"/>
                <w:lang w:eastAsia="zh-CN"/>
              </w:rPr>
              <w:t>下表</w:t>
            </w:r>
            <w:r>
              <w:rPr>
                <w:rFonts w:hint="default"/>
                <w:color w:val="auto"/>
                <w:sz w:val="24"/>
                <w:szCs w:val="21"/>
              </w:rPr>
              <w:t>。</w:t>
            </w:r>
          </w:p>
          <w:p w14:paraId="724C057C">
            <w:pPr>
              <w:keepNext w:val="0"/>
              <w:keepLines w:val="0"/>
              <w:suppressLineNumbers w:val="0"/>
              <w:spacing w:before="0" w:beforeAutospacing="0" w:after="0" w:afterAutospacing="0"/>
              <w:ind w:left="0" w:right="0" w:firstLine="211" w:firstLineChars="100"/>
              <w:jc w:val="center"/>
              <w:rPr>
                <w:rFonts w:hint="default"/>
                <w:b/>
                <w:color w:val="auto"/>
                <w:szCs w:val="21"/>
              </w:rPr>
            </w:pPr>
            <w:r>
              <w:rPr>
                <w:rFonts w:hint="default"/>
                <w:b/>
                <w:color w:val="auto"/>
                <w:szCs w:val="21"/>
              </w:rPr>
              <w:t>表2-</w:t>
            </w:r>
            <w:r>
              <w:rPr>
                <w:rFonts w:hint="eastAsia"/>
                <w:b/>
                <w:color w:val="auto"/>
                <w:szCs w:val="21"/>
                <w:lang w:val="en-US" w:eastAsia="zh-CN"/>
              </w:rPr>
              <w:t>25</w:t>
            </w:r>
            <w:r>
              <w:rPr>
                <w:rFonts w:hint="default"/>
                <w:b/>
                <w:color w:val="auto"/>
                <w:szCs w:val="21"/>
              </w:rPr>
              <w:t xml:space="preserve">  厂区噪声排放监测结果表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8"/>
              <w:gridCol w:w="1210"/>
              <w:gridCol w:w="1384"/>
              <w:gridCol w:w="1536"/>
              <w:gridCol w:w="1649"/>
              <w:gridCol w:w="1208"/>
            </w:tblGrid>
            <w:tr w14:paraId="3A06C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trPr>
              <w:tc>
                <w:tcPr>
                  <w:tcW w:w="829" w:type="pct"/>
                  <w:vMerge w:val="restart"/>
                  <w:noWrap w:val="0"/>
                  <w:vAlign w:val="center"/>
                </w:tcPr>
                <w:p w14:paraId="2ADAD429">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项目</w:t>
                  </w:r>
                </w:p>
              </w:tc>
              <w:tc>
                <w:tcPr>
                  <w:tcW w:w="3449" w:type="pct"/>
                  <w:gridSpan w:val="4"/>
                  <w:noWrap w:val="0"/>
                  <w:vAlign w:val="center"/>
                </w:tcPr>
                <w:p w14:paraId="252FF679">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监测结果Leq</w:t>
                  </w:r>
                  <w:r>
                    <w:rPr>
                      <w:rFonts w:hint="default"/>
                      <w:color w:val="auto"/>
                      <w:kern w:val="0"/>
                      <w:szCs w:val="21"/>
                    </w:rPr>
                    <w:t xml:space="preserve"> dB（A）</w:t>
                  </w:r>
                </w:p>
              </w:tc>
              <w:tc>
                <w:tcPr>
                  <w:tcW w:w="721" w:type="pct"/>
                  <w:vMerge w:val="restart"/>
                  <w:noWrap w:val="0"/>
                  <w:vAlign w:val="center"/>
                </w:tcPr>
                <w:p w14:paraId="34017343">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达标状况</w:t>
                  </w:r>
                </w:p>
              </w:tc>
            </w:tr>
            <w:tr w14:paraId="4A027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trPr>
              <w:tc>
                <w:tcPr>
                  <w:tcW w:w="829" w:type="pct"/>
                  <w:vMerge w:val="continue"/>
                  <w:noWrap w:val="0"/>
                  <w:vAlign w:val="center"/>
                </w:tcPr>
                <w:p w14:paraId="469E0F29">
                  <w:pPr>
                    <w:keepNext w:val="0"/>
                    <w:keepLines w:val="0"/>
                    <w:suppressLineNumbers w:val="0"/>
                    <w:spacing w:before="0" w:beforeAutospacing="0" w:after="0" w:afterAutospacing="0" w:line="276" w:lineRule="auto"/>
                    <w:ind w:left="0" w:right="0"/>
                    <w:jc w:val="center"/>
                    <w:rPr>
                      <w:rFonts w:hint="default"/>
                      <w:color w:val="auto"/>
                      <w:szCs w:val="21"/>
                    </w:rPr>
                  </w:pPr>
                </w:p>
              </w:tc>
              <w:tc>
                <w:tcPr>
                  <w:tcW w:w="1548" w:type="pct"/>
                  <w:gridSpan w:val="2"/>
                  <w:noWrap w:val="0"/>
                  <w:vAlign w:val="center"/>
                </w:tcPr>
                <w:p w14:paraId="466292F8">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昼</w:t>
                  </w:r>
                  <w:r>
                    <w:rPr>
                      <w:rFonts w:hint="eastAsia"/>
                      <w:color w:val="auto"/>
                      <w:szCs w:val="21"/>
                      <w:lang w:val="en-US" w:eastAsia="zh-CN"/>
                    </w:rPr>
                    <w:t>间</w:t>
                  </w:r>
                  <w:r>
                    <w:rPr>
                      <w:rFonts w:hint="default"/>
                      <w:color w:val="auto"/>
                      <w:szCs w:val="21"/>
                    </w:rPr>
                    <w:cr/>
                  </w:r>
                </w:p>
              </w:tc>
              <w:tc>
                <w:tcPr>
                  <w:tcW w:w="1900" w:type="pct"/>
                  <w:gridSpan w:val="2"/>
                  <w:noWrap w:val="0"/>
                  <w:vAlign w:val="center"/>
                </w:tcPr>
                <w:p w14:paraId="74451FC7">
                  <w:pPr>
                    <w:keepNext w:val="0"/>
                    <w:keepLines w:val="0"/>
                    <w:suppressLineNumbers w:val="0"/>
                    <w:spacing w:before="0" w:beforeAutospacing="0" w:after="0" w:afterAutospacing="0" w:line="276" w:lineRule="auto"/>
                    <w:ind w:left="0" w:right="0"/>
                    <w:jc w:val="center"/>
                    <w:rPr>
                      <w:rFonts w:hint="eastAsia" w:eastAsia="宋体"/>
                      <w:color w:val="auto"/>
                      <w:szCs w:val="21"/>
                      <w:lang w:eastAsia="zh-CN"/>
                    </w:rPr>
                  </w:pPr>
                  <w:r>
                    <w:rPr>
                      <w:rFonts w:hint="eastAsia"/>
                      <w:color w:val="auto"/>
                      <w:szCs w:val="21"/>
                      <w:lang w:val="en-US" w:eastAsia="zh-CN"/>
                    </w:rPr>
                    <w:t>夜间</w:t>
                  </w:r>
                </w:p>
              </w:tc>
              <w:tc>
                <w:tcPr>
                  <w:tcW w:w="721" w:type="pct"/>
                  <w:vMerge w:val="continue"/>
                  <w:noWrap w:val="0"/>
                  <w:vAlign w:val="center"/>
                </w:tcPr>
                <w:p w14:paraId="6405788C">
                  <w:pPr>
                    <w:keepNext w:val="0"/>
                    <w:keepLines w:val="0"/>
                    <w:suppressLineNumbers w:val="0"/>
                    <w:spacing w:before="0" w:beforeAutospacing="0" w:after="0" w:afterAutospacing="0" w:line="276" w:lineRule="auto"/>
                    <w:ind w:left="0" w:right="0"/>
                    <w:jc w:val="center"/>
                    <w:rPr>
                      <w:rFonts w:hint="default"/>
                      <w:color w:val="auto"/>
                      <w:szCs w:val="21"/>
                    </w:rPr>
                  </w:pPr>
                </w:p>
              </w:tc>
            </w:tr>
            <w:tr w14:paraId="49A95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29" w:type="pct"/>
                  <w:vMerge w:val="continue"/>
                  <w:noWrap w:val="0"/>
                  <w:vAlign w:val="center"/>
                </w:tcPr>
                <w:p w14:paraId="02ABCBD6">
                  <w:pPr>
                    <w:keepNext w:val="0"/>
                    <w:keepLines w:val="0"/>
                    <w:suppressLineNumbers w:val="0"/>
                    <w:spacing w:before="0" w:beforeAutospacing="0" w:after="0" w:afterAutospacing="0" w:line="276" w:lineRule="auto"/>
                    <w:ind w:left="0" w:right="0"/>
                    <w:jc w:val="center"/>
                    <w:rPr>
                      <w:rFonts w:hint="default"/>
                      <w:color w:val="auto"/>
                      <w:szCs w:val="21"/>
                    </w:rPr>
                  </w:pPr>
                </w:p>
              </w:tc>
              <w:tc>
                <w:tcPr>
                  <w:tcW w:w="722" w:type="pct"/>
                  <w:noWrap w:val="0"/>
                  <w:vAlign w:val="center"/>
                </w:tcPr>
                <w:p w14:paraId="6E58A57F">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监测值</w:t>
                  </w:r>
                </w:p>
              </w:tc>
              <w:tc>
                <w:tcPr>
                  <w:tcW w:w="826" w:type="pct"/>
                  <w:noWrap w:val="0"/>
                  <w:vAlign w:val="center"/>
                </w:tcPr>
                <w:p w14:paraId="3E3E4853">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标准值</w:t>
                  </w:r>
                </w:p>
              </w:tc>
              <w:tc>
                <w:tcPr>
                  <w:tcW w:w="917" w:type="pct"/>
                  <w:noWrap w:val="0"/>
                  <w:vAlign w:val="center"/>
                </w:tcPr>
                <w:p w14:paraId="5FA36E5A">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监测值</w:t>
                  </w:r>
                </w:p>
              </w:tc>
              <w:tc>
                <w:tcPr>
                  <w:tcW w:w="983" w:type="pct"/>
                  <w:noWrap w:val="0"/>
                  <w:vAlign w:val="center"/>
                </w:tcPr>
                <w:p w14:paraId="6EE3F6B0">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标准值</w:t>
                  </w:r>
                </w:p>
              </w:tc>
              <w:tc>
                <w:tcPr>
                  <w:tcW w:w="721" w:type="pct"/>
                  <w:vMerge w:val="continue"/>
                  <w:noWrap w:val="0"/>
                  <w:vAlign w:val="center"/>
                </w:tcPr>
                <w:p w14:paraId="39DA7185">
                  <w:pPr>
                    <w:keepNext w:val="0"/>
                    <w:keepLines w:val="0"/>
                    <w:suppressLineNumbers w:val="0"/>
                    <w:spacing w:before="0" w:beforeAutospacing="0" w:after="0" w:afterAutospacing="0" w:line="276" w:lineRule="auto"/>
                    <w:ind w:left="0" w:right="0"/>
                    <w:jc w:val="center"/>
                    <w:rPr>
                      <w:rFonts w:hint="default"/>
                      <w:color w:val="auto"/>
                      <w:szCs w:val="21"/>
                    </w:rPr>
                  </w:pPr>
                </w:p>
              </w:tc>
            </w:tr>
            <w:tr w14:paraId="4A646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trPr>
              <w:tc>
                <w:tcPr>
                  <w:tcW w:w="829" w:type="pct"/>
                  <w:noWrap w:val="0"/>
                  <w:vAlign w:val="center"/>
                </w:tcPr>
                <w:p w14:paraId="2B26C3CF">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厂界东</w:t>
                  </w:r>
                </w:p>
              </w:tc>
              <w:tc>
                <w:tcPr>
                  <w:tcW w:w="722" w:type="pct"/>
                  <w:noWrap w:val="0"/>
                  <w:vAlign w:val="center"/>
                </w:tcPr>
                <w:p w14:paraId="721B3523">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51.3</w:t>
                  </w:r>
                </w:p>
              </w:tc>
              <w:tc>
                <w:tcPr>
                  <w:tcW w:w="826" w:type="pct"/>
                  <w:noWrap w:val="0"/>
                  <w:vAlign w:val="center"/>
                </w:tcPr>
                <w:p w14:paraId="2EA20AA2">
                  <w:pPr>
                    <w:keepNext w:val="0"/>
                    <w:keepLines w:val="0"/>
                    <w:suppressLineNumbers w:val="0"/>
                    <w:spacing w:before="0" w:beforeAutospacing="0" w:after="0" w:afterAutospacing="0" w:line="276" w:lineRule="auto"/>
                    <w:ind w:left="0" w:right="0"/>
                    <w:jc w:val="center"/>
                    <w:rPr>
                      <w:rFonts w:hint="eastAsia" w:eastAsia="宋体"/>
                      <w:color w:val="auto"/>
                      <w:szCs w:val="21"/>
                      <w:lang w:val="en-US" w:eastAsia="zh-CN"/>
                    </w:rPr>
                  </w:pPr>
                  <w:r>
                    <w:rPr>
                      <w:rFonts w:hint="default"/>
                      <w:color w:val="auto"/>
                      <w:szCs w:val="21"/>
                    </w:rPr>
                    <w:t>6</w:t>
                  </w:r>
                  <w:r>
                    <w:rPr>
                      <w:rFonts w:hint="eastAsia"/>
                      <w:color w:val="auto"/>
                      <w:szCs w:val="21"/>
                      <w:lang w:val="en-US" w:eastAsia="zh-CN"/>
                    </w:rPr>
                    <w:t>5</w:t>
                  </w:r>
                </w:p>
              </w:tc>
              <w:tc>
                <w:tcPr>
                  <w:tcW w:w="917" w:type="pct"/>
                  <w:noWrap w:val="0"/>
                  <w:vAlign w:val="center"/>
                </w:tcPr>
                <w:p w14:paraId="1DAA5B41">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43.3</w:t>
                  </w:r>
                </w:p>
              </w:tc>
              <w:tc>
                <w:tcPr>
                  <w:tcW w:w="983" w:type="pct"/>
                  <w:noWrap w:val="0"/>
                  <w:vAlign w:val="center"/>
                </w:tcPr>
                <w:p w14:paraId="1DE4C885">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55</w:t>
                  </w:r>
                </w:p>
              </w:tc>
              <w:tc>
                <w:tcPr>
                  <w:tcW w:w="721" w:type="pct"/>
                  <w:noWrap w:val="0"/>
                  <w:vAlign w:val="center"/>
                </w:tcPr>
                <w:p w14:paraId="13BA95A7">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达标</w:t>
                  </w:r>
                </w:p>
              </w:tc>
            </w:tr>
            <w:tr w14:paraId="02496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trPr>
              <w:tc>
                <w:tcPr>
                  <w:tcW w:w="829" w:type="pct"/>
                  <w:noWrap w:val="0"/>
                  <w:vAlign w:val="center"/>
                </w:tcPr>
                <w:p w14:paraId="1F5C103C">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厂界南</w:t>
                  </w:r>
                </w:p>
              </w:tc>
              <w:tc>
                <w:tcPr>
                  <w:tcW w:w="722" w:type="pct"/>
                  <w:noWrap w:val="0"/>
                  <w:vAlign w:val="center"/>
                </w:tcPr>
                <w:p w14:paraId="71863ED6">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48.1</w:t>
                  </w:r>
                </w:p>
              </w:tc>
              <w:tc>
                <w:tcPr>
                  <w:tcW w:w="826" w:type="pct"/>
                  <w:noWrap w:val="0"/>
                  <w:vAlign w:val="center"/>
                </w:tcPr>
                <w:p w14:paraId="143E5B21">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6</w:t>
                  </w:r>
                  <w:r>
                    <w:rPr>
                      <w:rFonts w:hint="eastAsia"/>
                      <w:color w:val="auto"/>
                      <w:szCs w:val="21"/>
                      <w:lang w:val="en-US" w:eastAsia="zh-CN"/>
                    </w:rPr>
                    <w:t>5</w:t>
                  </w:r>
                </w:p>
              </w:tc>
              <w:tc>
                <w:tcPr>
                  <w:tcW w:w="917" w:type="pct"/>
                  <w:noWrap w:val="0"/>
                  <w:vAlign w:val="center"/>
                </w:tcPr>
                <w:p w14:paraId="504A4D24">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40.2</w:t>
                  </w:r>
                </w:p>
              </w:tc>
              <w:tc>
                <w:tcPr>
                  <w:tcW w:w="983" w:type="pct"/>
                  <w:noWrap w:val="0"/>
                  <w:vAlign w:val="center"/>
                </w:tcPr>
                <w:p w14:paraId="71C030B0">
                  <w:pPr>
                    <w:keepNext w:val="0"/>
                    <w:keepLines w:val="0"/>
                    <w:suppressLineNumbers w:val="0"/>
                    <w:spacing w:before="0" w:beforeAutospacing="0" w:after="0" w:afterAutospacing="0" w:line="276" w:lineRule="auto"/>
                    <w:ind w:left="0" w:right="0"/>
                    <w:jc w:val="center"/>
                    <w:rPr>
                      <w:rFonts w:hint="default"/>
                      <w:color w:val="auto"/>
                      <w:szCs w:val="21"/>
                    </w:rPr>
                  </w:pPr>
                  <w:r>
                    <w:rPr>
                      <w:rFonts w:hint="eastAsia"/>
                      <w:color w:val="auto"/>
                      <w:szCs w:val="21"/>
                      <w:lang w:val="en-US" w:eastAsia="zh-CN"/>
                    </w:rPr>
                    <w:t>55</w:t>
                  </w:r>
                </w:p>
              </w:tc>
              <w:tc>
                <w:tcPr>
                  <w:tcW w:w="721" w:type="pct"/>
                  <w:noWrap w:val="0"/>
                  <w:vAlign w:val="center"/>
                </w:tcPr>
                <w:p w14:paraId="7F121991">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达标</w:t>
                  </w:r>
                </w:p>
              </w:tc>
            </w:tr>
            <w:tr w14:paraId="5F9B0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trPr>
              <w:tc>
                <w:tcPr>
                  <w:tcW w:w="829" w:type="pct"/>
                  <w:noWrap w:val="0"/>
                  <w:vAlign w:val="center"/>
                </w:tcPr>
                <w:p w14:paraId="1E7E50FD">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厂界西</w:t>
                  </w:r>
                </w:p>
              </w:tc>
              <w:tc>
                <w:tcPr>
                  <w:tcW w:w="722" w:type="pct"/>
                  <w:noWrap w:val="0"/>
                  <w:vAlign w:val="center"/>
                </w:tcPr>
                <w:p w14:paraId="07356256">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55.1</w:t>
                  </w:r>
                </w:p>
              </w:tc>
              <w:tc>
                <w:tcPr>
                  <w:tcW w:w="826" w:type="pct"/>
                  <w:noWrap w:val="0"/>
                  <w:vAlign w:val="center"/>
                </w:tcPr>
                <w:p w14:paraId="4BBE32EB">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6</w:t>
                  </w:r>
                  <w:r>
                    <w:rPr>
                      <w:rFonts w:hint="eastAsia"/>
                      <w:color w:val="auto"/>
                      <w:szCs w:val="21"/>
                      <w:lang w:val="en-US" w:eastAsia="zh-CN"/>
                    </w:rPr>
                    <w:t>5</w:t>
                  </w:r>
                </w:p>
              </w:tc>
              <w:tc>
                <w:tcPr>
                  <w:tcW w:w="917" w:type="pct"/>
                  <w:noWrap w:val="0"/>
                  <w:vAlign w:val="center"/>
                </w:tcPr>
                <w:p w14:paraId="10839EC2">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43.4</w:t>
                  </w:r>
                </w:p>
              </w:tc>
              <w:tc>
                <w:tcPr>
                  <w:tcW w:w="983" w:type="pct"/>
                  <w:noWrap w:val="0"/>
                  <w:vAlign w:val="center"/>
                </w:tcPr>
                <w:p w14:paraId="779EE637">
                  <w:pPr>
                    <w:keepNext w:val="0"/>
                    <w:keepLines w:val="0"/>
                    <w:suppressLineNumbers w:val="0"/>
                    <w:spacing w:before="0" w:beforeAutospacing="0" w:after="0" w:afterAutospacing="0" w:line="276" w:lineRule="auto"/>
                    <w:ind w:left="0" w:right="0"/>
                    <w:jc w:val="center"/>
                    <w:rPr>
                      <w:rFonts w:hint="default"/>
                      <w:color w:val="auto"/>
                      <w:szCs w:val="21"/>
                    </w:rPr>
                  </w:pPr>
                  <w:r>
                    <w:rPr>
                      <w:rFonts w:hint="eastAsia"/>
                      <w:color w:val="auto"/>
                      <w:szCs w:val="21"/>
                      <w:lang w:val="en-US" w:eastAsia="zh-CN"/>
                    </w:rPr>
                    <w:t>55</w:t>
                  </w:r>
                </w:p>
              </w:tc>
              <w:tc>
                <w:tcPr>
                  <w:tcW w:w="721" w:type="pct"/>
                  <w:noWrap w:val="0"/>
                  <w:vAlign w:val="center"/>
                </w:tcPr>
                <w:p w14:paraId="70F834CC">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达标</w:t>
                  </w:r>
                </w:p>
              </w:tc>
            </w:tr>
            <w:tr w14:paraId="4C20F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trPr>
              <w:tc>
                <w:tcPr>
                  <w:tcW w:w="829" w:type="pct"/>
                  <w:noWrap w:val="0"/>
                  <w:vAlign w:val="center"/>
                </w:tcPr>
                <w:p w14:paraId="19328DA2">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厂界北</w:t>
                  </w:r>
                </w:p>
              </w:tc>
              <w:tc>
                <w:tcPr>
                  <w:tcW w:w="722" w:type="pct"/>
                  <w:noWrap w:val="0"/>
                  <w:vAlign w:val="center"/>
                </w:tcPr>
                <w:p w14:paraId="6AE47D25">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51.0</w:t>
                  </w:r>
                </w:p>
              </w:tc>
              <w:tc>
                <w:tcPr>
                  <w:tcW w:w="826" w:type="pct"/>
                  <w:noWrap w:val="0"/>
                  <w:vAlign w:val="center"/>
                </w:tcPr>
                <w:p w14:paraId="72367015">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6</w:t>
                  </w:r>
                  <w:r>
                    <w:rPr>
                      <w:rFonts w:hint="eastAsia"/>
                      <w:color w:val="auto"/>
                      <w:szCs w:val="21"/>
                      <w:lang w:val="en-US" w:eastAsia="zh-CN"/>
                    </w:rPr>
                    <w:t>5</w:t>
                  </w:r>
                </w:p>
              </w:tc>
              <w:tc>
                <w:tcPr>
                  <w:tcW w:w="917" w:type="pct"/>
                  <w:noWrap w:val="0"/>
                  <w:vAlign w:val="center"/>
                </w:tcPr>
                <w:p w14:paraId="50CBB7DB">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42.5</w:t>
                  </w:r>
                </w:p>
              </w:tc>
              <w:tc>
                <w:tcPr>
                  <w:tcW w:w="983" w:type="pct"/>
                  <w:noWrap w:val="0"/>
                  <w:vAlign w:val="center"/>
                </w:tcPr>
                <w:p w14:paraId="3023BC88">
                  <w:pPr>
                    <w:keepNext w:val="0"/>
                    <w:keepLines w:val="0"/>
                    <w:suppressLineNumbers w:val="0"/>
                    <w:spacing w:before="0" w:beforeAutospacing="0" w:after="0" w:afterAutospacing="0" w:line="276" w:lineRule="auto"/>
                    <w:ind w:left="0" w:right="0"/>
                    <w:jc w:val="center"/>
                    <w:rPr>
                      <w:rFonts w:hint="default"/>
                      <w:color w:val="auto"/>
                      <w:szCs w:val="21"/>
                    </w:rPr>
                  </w:pPr>
                  <w:r>
                    <w:rPr>
                      <w:rFonts w:hint="eastAsia"/>
                      <w:color w:val="auto"/>
                      <w:szCs w:val="21"/>
                      <w:lang w:val="en-US" w:eastAsia="zh-CN"/>
                    </w:rPr>
                    <w:t>55</w:t>
                  </w:r>
                </w:p>
              </w:tc>
              <w:tc>
                <w:tcPr>
                  <w:tcW w:w="721" w:type="pct"/>
                  <w:noWrap w:val="0"/>
                  <w:vAlign w:val="center"/>
                </w:tcPr>
                <w:p w14:paraId="60A317D1">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达标</w:t>
                  </w:r>
                </w:p>
              </w:tc>
            </w:tr>
          </w:tbl>
          <w:p w14:paraId="7D97FAC4">
            <w:pPr>
              <w:keepNext w:val="0"/>
              <w:keepLines w:val="0"/>
              <w:suppressLineNumbers w:val="0"/>
              <w:spacing w:before="0" w:beforeAutospacing="0" w:after="0" w:afterAutospacing="0" w:line="360" w:lineRule="auto"/>
              <w:ind w:left="0" w:right="0" w:firstLine="480" w:firstLineChars="200"/>
              <w:rPr>
                <w:rFonts w:hint="default"/>
                <w:color w:val="auto"/>
                <w:sz w:val="24"/>
                <w:szCs w:val="21"/>
              </w:rPr>
            </w:pPr>
            <w:r>
              <w:rPr>
                <w:rFonts w:hint="default"/>
                <w:color w:val="auto"/>
                <w:sz w:val="24"/>
                <w:szCs w:val="21"/>
              </w:rPr>
              <w:t>根据监测结果，厂界噪声能达到《工业企业厂界环境噪声排放标准》（GB12348-2008）</w:t>
            </w:r>
            <w:r>
              <w:rPr>
                <w:rFonts w:hint="eastAsia"/>
                <w:color w:val="auto"/>
                <w:sz w:val="24"/>
                <w:szCs w:val="21"/>
                <w:lang w:val="en-US" w:eastAsia="zh-CN"/>
              </w:rPr>
              <w:t>3</w:t>
            </w:r>
            <w:r>
              <w:rPr>
                <w:rFonts w:hint="default"/>
                <w:color w:val="auto"/>
                <w:sz w:val="24"/>
                <w:szCs w:val="21"/>
              </w:rPr>
              <w:t>类标准。</w:t>
            </w:r>
          </w:p>
          <w:p w14:paraId="4ED80CC3">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（4）固废</w:t>
            </w:r>
          </w:p>
          <w:p w14:paraId="219CC316">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jc w:val="both"/>
              <w:textAlignment w:val="auto"/>
              <w:rPr>
                <w:rFonts w:hint="default"/>
                <w:b/>
                <w:bCs/>
                <w:color w:val="auto"/>
                <w:szCs w:val="21"/>
                <w:lang w:val="en-US"/>
              </w:rPr>
            </w:pPr>
            <w:r>
              <w:rPr>
                <w:rFonts w:hint="eastAsia"/>
                <w:color w:val="auto"/>
                <w:sz w:val="24"/>
                <w:szCs w:val="21"/>
                <w:lang w:val="en-US" w:eastAsia="zh-CN"/>
              </w:rPr>
              <w:t>根据生产设备中产生的固体废弃物中水过滤材料是对自来水进行一个过滤后，带有水中的悬浮物的废弃物，属于一般固体废弃物，与生活垃圾一同进行处理；包装袋、包装桶，按其性质由相关的厂家进行回收</w:t>
            </w:r>
            <w:r>
              <w:rPr>
                <w:rFonts w:hint="default"/>
                <w:color w:val="auto"/>
                <w:sz w:val="24"/>
                <w:szCs w:val="21"/>
              </w:rPr>
              <w:t>。</w:t>
            </w:r>
            <w:r>
              <w:rPr>
                <w:rFonts w:hint="eastAsia"/>
                <w:color w:val="auto"/>
                <w:sz w:val="24"/>
                <w:szCs w:val="21"/>
                <w:lang w:val="en-US" w:eastAsia="zh-CN"/>
              </w:rPr>
              <w:t>职工的办公生活垃圾，由当地环卫部门定期进行清运。设备保养维修产生的废机油，委托有资质单位清运处置，产生的沾染有机溶剂的包装材料，委托有资质单位清运处置。处置率达100%。</w:t>
            </w:r>
          </w:p>
          <w:p w14:paraId="3FD83A38">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lang w:val="zh-CN"/>
              </w:rPr>
              <w:t>表</w:t>
            </w:r>
            <w:r>
              <w:rPr>
                <w:rFonts w:hint="default"/>
                <w:b/>
                <w:bCs/>
                <w:color w:val="auto"/>
                <w:szCs w:val="21"/>
              </w:rPr>
              <w:t>2-</w:t>
            </w:r>
            <w:r>
              <w:rPr>
                <w:rFonts w:hint="eastAsia"/>
                <w:b/>
                <w:bCs/>
                <w:color w:val="auto"/>
                <w:szCs w:val="21"/>
                <w:lang w:val="en-US" w:eastAsia="zh-CN"/>
              </w:rPr>
              <w:t>26</w:t>
            </w:r>
            <w:r>
              <w:rPr>
                <w:rFonts w:hint="default"/>
                <w:b/>
                <w:bCs/>
                <w:color w:val="auto"/>
                <w:szCs w:val="21"/>
              </w:rPr>
              <w:t xml:space="preserve">  </w:t>
            </w:r>
            <w:r>
              <w:rPr>
                <w:rFonts w:hint="eastAsia"/>
                <w:b/>
                <w:bCs/>
                <w:color w:val="auto"/>
                <w:szCs w:val="21"/>
              </w:rPr>
              <w:t>原</w:t>
            </w:r>
            <w:r>
              <w:rPr>
                <w:rFonts w:hint="default"/>
                <w:b/>
                <w:bCs/>
                <w:color w:val="auto"/>
                <w:szCs w:val="21"/>
                <w:lang w:val="zh-CN"/>
              </w:rPr>
              <w:t>项目固废产生和排放表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924"/>
              <w:gridCol w:w="1143"/>
              <w:gridCol w:w="1535"/>
              <w:gridCol w:w="2331"/>
              <w:gridCol w:w="911"/>
            </w:tblGrid>
            <w:tr w14:paraId="0F55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4" w:hRule="atLeast"/>
                <w:tblHeader/>
              </w:trPr>
              <w:tc>
                <w:tcPr>
                  <w:tcW w:w="317" w:type="pct"/>
                  <w:noWrap w:val="0"/>
                  <w:vAlign w:val="center"/>
                </w:tcPr>
                <w:p w14:paraId="1BDD43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color w:val="auto"/>
                      <w:szCs w:val="21"/>
                    </w:rPr>
                  </w:pPr>
                  <w:r>
                    <w:rPr>
                      <w:rFonts w:hint="default"/>
                      <w:b/>
                      <w:color w:val="auto"/>
                      <w:szCs w:val="21"/>
                    </w:rPr>
                    <w:t>序号</w:t>
                  </w:r>
                </w:p>
              </w:tc>
              <w:tc>
                <w:tcPr>
                  <w:tcW w:w="1148" w:type="pct"/>
                  <w:noWrap w:val="0"/>
                  <w:vAlign w:val="center"/>
                </w:tcPr>
                <w:p w14:paraId="46E10E8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bCs/>
                      <w:color w:val="auto"/>
                      <w:szCs w:val="21"/>
                    </w:rPr>
                  </w:pPr>
                  <w:r>
                    <w:rPr>
                      <w:rFonts w:hint="default"/>
                      <w:b/>
                      <w:bCs/>
                      <w:color w:val="auto"/>
                      <w:sz w:val="21"/>
                    </w:rPr>
                    <w:t>来源</w:t>
                  </w:r>
                </w:p>
              </w:tc>
              <w:tc>
                <w:tcPr>
                  <w:tcW w:w="682" w:type="pct"/>
                  <w:noWrap w:val="0"/>
                  <w:vAlign w:val="center"/>
                </w:tcPr>
                <w:p w14:paraId="783437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bCs/>
                      <w:color w:val="auto"/>
                      <w:szCs w:val="21"/>
                    </w:rPr>
                  </w:pPr>
                  <w:r>
                    <w:rPr>
                      <w:rFonts w:hint="default"/>
                      <w:b/>
                      <w:bCs/>
                      <w:color w:val="auto"/>
                      <w:szCs w:val="21"/>
                    </w:rPr>
                    <w:t>产</w:t>
                  </w:r>
                  <w:r>
                    <w:rPr>
                      <w:rFonts w:hint="default"/>
                      <w:b/>
                      <w:bCs/>
                      <w:color w:val="auto"/>
                      <w:szCs w:val="21"/>
                    </w:rPr>
                    <w:cr/>
                  </w:r>
                  <w:r>
                    <w:rPr>
                      <w:rFonts w:hint="default"/>
                      <w:b/>
                      <w:bCs/>
                      <w:color w:val="auto"/>
                      <w:szCs w:val="21"/>
                    </w:rPr>
                    <w:t>量（t/a）</w:t>
                  </w:r>
                </w:p>
              </w:tc>
              <w:tc>
                <w:tcPr>
                  <w:tcW w:w="916" w:type="pct"/>
                  <w:noWrap w:val="0"/>
                  <w:vAlign w:val="center"/>
                </w:tcPr>
                <w:p w14:paraId="324BF8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bCs/>
                      <w:color w:val="auto"/>
                      <w:szCs w:val="21"/>
                    </w:rPr>
                  </w:pPr>
                  <w:r>
                    <w:rPr>
                      <w:rFonts w:hint="default"/>
                      <w:b/>
                      <w:bCs/>
                      <w:color w:val="auto"/>
                      <w:sz w:val="21"/>
                    </w:rPr>
                    <w:t>主要污染物</w:t>
                  </w:r>
                  <w:r>
                    <w:rPr>
                      <w:rFonts w:hint="default"/>
                      <w:b/>
                      <w:bCs/>
                      <w:color w:val="auto"/>
                      <w:szCs w:val="21"/>
                    </w:rPr>
                    <w:cr/>
                  </w:r>
                </w:p>
              </w:tc>
              <w:tc>
                <w:tcPr>
                  <w:tcW w:w="1391" w:type="pct"/>
                  <w:noWrap w:val="0"/>
                  <w:vAlign w:val="center"/>
                </w:tcPr>
                <w:p w14:paraId="2A3CAA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bCs/>
                      <w:color w:val="auto"/>
                      <w:szCs w:val="21"/>
                    </w:rPr>
                  </w:pPr>
                  <w:r>
                    <w:rPr>
                      <w:rFonts w:hint="default"/>
                      <w:b/>
                      <w:bCs/>
                      <w:color w:val="auto"/>
                      <w:szCs w:val="21"/>
                    </w:rPr>
                    <w:t>处置方</w:t>
                  </w:r>
                  <w:r>
                    <w:rPr>
                      <w:rFonts w:hint="eastAsia"/>
                      <w:b/>
                      <w:bCs/>
                      <w:color w:val="auto"/>
                      <w:szCs w:val="21"/>
                      <w:lang w:eastAsia="zh-CN"/>
                    </w:rPr>
                    <w:t>式</w:t>
                  </w:r>
                </w:p>
              </w:tc>
              <w:tc>
                <w:tcPr>
                  <w:tcW w:w="543" w:type="pct"/>
                  <w:noWrap w:val="0"/>
                  <w:vAlign w:val="center"/>
                </w:tcPr>
                <w:p w14:paraId="14BB7FC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b/>
                      <w:bCs/>
                      <w:color w:val="auto"/>
                      <w:szCs w:val="21"/>
                      <w:lang w:eastAsia="zh-CN"/>
                    </w:rPr>
                  </w:pPr>
                  <w:r>
                    <w:rPr>
                      <w:rFonts w:hint="eastAsia"/>
                      <w:b/>
                      <w:bCs/>
                      <w:color w:val="auto"/>
                      <w:szCs w:val="21"/>
                      <w:lang w:eastAsia="zh-CN"/>
                    </w:rPr>
                    <w:t>处置情况</w:t>
                  </w:r>
                </w:p>
              </w:tc>
            </w:tr>
            <w:tr w14:paraId="7F41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17" w:type="pct"/>
                  <w:noWrap w:val="0"/>
                  <w:vAlign w:val="center"/>
                </w:tcPr>
                <w:p w14:paraId="69585D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Cs w:val="21"/>
                    </w:rPr>
                    <w:t>1</w:t>
                  </w:r>
                </w:p>
              </w:tc>
              <w:tc>
                <w:tcPr>
                  <w:tcW w:w="1148" w:type="pct"/>
                  <w:noWrap w:val="0"/>
                  <w:vAlign w:val="center"/>
                </w:tcPr>
                <w:p w14:paraId="46A6A3A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水过滤材料、废抹布</w:t>
                  </w:r>
                </w:p>
              </w:tc>
              <w:tc>
                <w:tcPr>
                  <w:tcW w:w="682" w:type="pct"/>
                  <w:noWrap w:val="0"/>
                  <w:vAlign w:val="center"/>
                </w:tcPr>
                <w:p w14:paraId="6EB3EF4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color w:val="auto"/>
                      <w:szCs w:val="21"/>
                    </w:rPr>
                  </w:pPr>
                  <w:r>
                    <w:rPr>
                      <w:rFonts w:hint="default" w:ascii="Times New Roman"/>
                      <w:color w:val="auto"/>
                      <w:sz w:val="21"/>
                    </w:rPr>
                    <w:t>2.2t/a</w:t>
                  </w:r>
                </w:p>
              </w:tc>
              <w:tc>
                <w:tcPr>
                  <w:tcW w:w="916" w:type="pct"/>
                  <w:noWrap w:val="0"/>
                  <w:vAlign w:val="center"/>
                </w:tcPr>
                <w:p w14:paraId="6C50F6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水中杂质等</w:t>
                  </w:r>
                </w:p>
              </w:tc>
              <w:tc>
                <w:tcPr>
                  <w:tcW w:w="1391" w:type="pct"/>
                  <w:noWrap w:val="0"/>
                  <w:vAlign w:val="center"/>
                </w:tcPr>
                <w:p w14:paraId="7BE8324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收集后送废品回收站</w:t>
                  </w:r>
                </w:p>
              </w:tc>
              <w:tc>
                <w:tcPr>
                  <w:tcW w:w="543" w:type="pct"/>
                  <w:vMerge w:val="restart"/>
                  <w:noWrap w:val="0"/>
                  <w:vAlign w:val="center"/>
                </w:tcPr>
                <w:p w14:paraId="39BE3D5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eastAsia="宋体"/>
                      <w:color w:val="auto"/>
                      <w:sz w:val="21"/>
                      <w:lang w:val="en-US" w:eastAsia="zh-CN"/>
                    </w:rPr>
                  </w:pPr>
                  <w:r>
                    <w:rPr>
                      <w:rFonts w:hint="eastAsia"/>
                      <w:color w:val="auto"/>
                      <w:sz w:val="21"/>
                      <w:lang w:eastAsia="zh-CN"/>
                    </w:rPr>
                    <w:t>处置率达</w:t>
                  </w:r>
                  <w:r>
                    <w:rPr>
                      <w:rFonts w:hint="eastAsia"/>
                      <w:color w:val="auto"/>
                      <w:sz w:val="21"/>
                      <w:lang w:val="en-US" w:eastAsia="zh-CN"/>
                    </w:rPr>
                    <w:t>100%</w:t>
                  </w:r>
                </w:p>
              </w:tc>
            </w:tr>
            <w:tr w14:paraId="0B5C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17" w:type="pct"/>
                  <w:noWrap w:val="0"/>
                  <w:vAlign w:val="center"/>
                </w:tcPr>
                <w:p w14:paraId="4887A52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Cs w:val="21"/>
                    </w:rPr>
                    <w:t>2</w:t>
                  </w:r>
                </w:p>
              </w:tc>
              <w:tc>
                <w:tcPr>
                  <w:tcW w:w="1148" w:type="pct"/>
                  <w:noWrap w:val="0"/>
                  <w:vAlign w:val="center"/>
                </w:tcPr>
                <w:p w14:paraId="1673BFB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乳胶漆袋除尘灰</w:t>
                  </w:r>
                </w:p>
              </w:tc>
              <w:tc>
                <w:tcPr>
                  <w:tcW w:w="682" w:type="pct"/>
                  <w:noWrap w:val="0"/>
                  <w:vAlign w:val="center"/>
                </w:tcPr>
                <w:p w14:paraId="66557A5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color w:val="auto"/>
                      <w:szCs w:val="21"/>
                    </w:rPr>
                  </w:pPr>
                  <w:r>
                    <w:rPr>
                      <w:rFonts w:hint="default" w:ascii="Times New Roman"/>
                      <w:color w:val="auto"/>
                      <w:sz w:val="21"/>
                    </w:rPr>
                    <w:t>1.77 t/a</w:t>
                  </w:r>
                </w:p>
              </w:tc>
              <w:tc>
                <w:tcPr>
                  <w:tcW w:w="916" w:type="pct"/>
                  <w:noWrap w:val="0"/>
                  <w:vAlign w:val="center"/>
                </w:tcPr>
                <w:p w14:paraId="225B8D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颗粒物</w:t>
                  </w:r>
                </w:p>
              </w:tc>
              <w:tc>
                <w:tcPr>
                  <w:tcW w:w="1391" w:type="pct"/>
                  <w:noWrap w:val="0"/>
                  <w:vAlign w:val="center"/>
                </w:tcPr>
                <w:p w14:paraId="33ED81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返回原料填加工序。</w:t>
                  </w:r>
                </w:p>
              </w:tc>
              <w:tc>
                <w:tcPr>
                  <w:tcW w:w="543" w:type="pct"/>
                  <w:vMerge w:val="continue"/>
                  <w:noWrap w:val="0"/>
                  <w:vAlign w:val="center"/>
                </w:tcPr>
                <w:p w14:paraId="04771E3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 w:val="21"/>
                    </w:rPr>
                  </w:pPr>
                </w:p>
              </w:tc>
            </w:tr>
            <w:tr w14:paraId="090E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17" w:type="pct"/>
                  <w:noWrap w:val="0"/>
                  <w:vAlign w:val="center"/>
                </w:tcPr>
                <w:p w14:paraId="1E33519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Cs w:val="21"/>
                    </w:rPr>
                    <w:t>3</w:t>
                  </w:r>
                </w:p>
              </w:tc>
              <w:tc>
                <w:tcPr>
                  <w:tcW w:w="1148" w:type="pct"/>
                  <w:noWrap w:val="0"/>
                  <w:vAlign w:val="center"/>
                </w:tcPr>
                <w:p w14:paraId="4F9D2E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砂壁袋收尘灰</w:t>
                  </w:r>
                </w:p>
              </w:tc>
              <w:tc>
                <w:tcPr>
                  <w:tcW w:w="682" w:type="pct"/>
                  <w:noWrap w:val="0"/>
                  <w:vAlign w:val="center"/>
                </w:tcPr>
                <w:p w14:paraId="6CA565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color w:val="auto"/>
                      <w:szCs w:val="21"/>
                    </w:rPr>
                  </w:pPr>
                  <w:r>
                    <w:rPr>
                      <w:rFonts w:hint="default" w:ascii="Times New Roman"/>
                      <w:color w:val="auto"/>
                      <w:sz w:val="21"/>
                    </w:rPr>
                    <w:t>1.24 t/a</w:t>
                  </w:r>
                </w:p>
              </w:tc>
              <w:tc>
                <w:tcPr>
                  <w:tcW w:w="916" w:type="pct"/>
                  <w:noWrap w:val="0"/>
                  <w:vAlign w:val="center"/>
                </w:tcPr>
                <w:p w14:paraId="59A1C5F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颗粒物</w:t>
                  </w:r>
                </w:p>
              </w:tc>
              <w:tc>
                <w:tcPr>
                  <w:tcW w:w="1391" w:type="pct"/>
                  <w:noWrap w:val="0"/>
                  <w:vAlign w:val="center"/>
                </w:tcPr>
                <w:p w14:paraId="610084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返回原料填加工序。</w:t>
                  </w:r>
                </w:p>
              </w:tc>
              <w:tc>
                <w:tcPr>
                  <w:tcW w:w="543" w:type="pct"/>
                  <w:vMerge w:val="continue"/>
                  <w:noWrap w:val="0"/>
                  <w:vAlign w:val="center"/>
                </w:tcPr>
                <w:p w14:paraId="51D0C93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 w:val="21"/>
                    </w:rPr>
                  </w:pPr>
                </w:p>
              </w:tc>
            </w:tr>
            <w:tr w14:paraId="0680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17" w:type="pct"/>
                  <w:noWrap w:val="0"/>
                  <w:vAlign w:val="center"/>
                </w:tcPr>
                <w:p w14:paraId="45F9FF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Cs w:val="21"/>
                    </w:rPr>
                    <w:t>4</w:t>
                  </w:r>
                </w:p>
              </w:tc>
              <w:tc>
                <w:tcPr>
                  <w:tcW w:w="1148" w:type="pct"/>
                  <w:noWrap w:val="0"/>
                  <w:vAlign w:val="center"/>
                </w:tcPr>
                <w:p w14:paraId="16AEC50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腻子粉收尘灰</w:t>
                  </w:r>
                </w:p>
              </w:tc>
              <w:tc>
                <w:tcPr>
                  <w:tcW w:w="682" w:type="pct"/>
                  <w:noWrap w:val="0"/>
                  <w:vAlign w:val="center"/>
                </w:tcPr>
                <w:p w14:paraId="1CD0E5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color w:val="auto"/>
                      <w:szCs w:val="21"/>
                    </w:rPr>
                  </w:pPr>
                  <w:r>
                    <w:rPr>
                      <w:rFonts w:hint="default" w:ascii="Times New Roman"/>
                      <w:color w:val="auto"/>
                      <w:sz w:val="21"/>
                    </w:rPr>
                    <w:t>1.59 t/a</w:t>
                  </w:r>
                </w:p>
              </w:tc>
              <w:tc>
                <w:tcPr>
                  <w:tcW w:w="916" w:type="pct"/>
                  <w:noWrap w:val="0"/>
                  <w:vAlign w:val="center"/>
                </w:tcPr>
                <w:p w14:paraId="72C07E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颗粒物</w:t>
                  </w:r>
                </w:p>
              </w:tc>
              <w:tc>
                <w:tcPr>
                  <w:tcW w:w="1391" w:type="pct"/>
                  <w:noWrap w:val="0"/>
                  <w:vAlign w:val="center"/>
                </w:tcPr>
                <w:p w14:paraId="79780B1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返回原料填加工序。</w:t>
                  </w:r>
                </w:p>
              </w:tc>
              <w:tc>
                <w:tcPr>
                  <w:tcW w:w="543" w:type="pct"/>
                  <w:vMerge w:val="continue"/>
                  <w:noWrap w:val="0"/>
                  <w:vAlign w:val="center"/>
                </w:tcPr>
                <w:p w14:paraId="6C77E7D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 w:val="21"/>
                    </w:rPr>
                  </w:pPr>
                </w:p>
              </w:tc>
            </w:tr>
            <w:tr w14:paraId="7A15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17" w:type="pct"/>
                  <w:noWrap w:val="0"/>
                  <w:vAlign w:val="center"/>
                </w:tcPr>
                <w:p w14:paraId="0810B92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Cs w:val="21"/>
                    </w:rPr>
                    <w:t>5</w:t>
                  </w:r>
                </w:p>
              </w:tc>
              <w:tc>
                <w:tcPr>
                  <w:tcW w:w="1148" w:type="pct"/>
                  <w:noWrap w:val="0"/>
                  <w:vAlign w:val="center"/>
                </w:tcPr>
                <w:p w14:paraId="48D47C1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eastAsia="宋体"/>
                      <w:color w:val="auto"/>
                      <w:szCs w:val="21"/>
                      <w:lang w:eastAsia="zh-CN"/>
                    </w:rPr>
                  </w:pPr>
                  <w:r>
                    <w:rPr>
                      <w:rFonts w:hint="eastAsia"/>
                      <w:color w:val="auto"/>
                      <w:sz w:val="21"/>
                      <w:lang w:eastAsia="zh-CN"/>
                    </w:rPr>
                    <w:t>废包装材料</w:t>
                  </w:r>
                </w:p>
              </w:tc>
              <w:tc>
                <w:tcPr>
                  <w:tcW w:w="682" w:type="pct"/>
                  <w:noWrap w:val="0"/>
                  <w:vAlign w:val="center"/>
                </w:tcPr>
                <w:p w14:paraId="2B379AE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color w:val="auto"/>
                      <w:szCs w:val="21"/>
                    </w:rPr>
                  </w:pPr>
                  <w:r>
                    <w:rPr>
                      <w:rFonts w:hint="default" w:ascii="Times New Roman" w:eastAsia="Times New Roman"/>
                      <w:color w:val="auto"/>
                      <w:sz w:val="21"/>
                    </w:rPr>
                    <w:t xml:space="preserve">6000 </w:t>
                  </w:r>
                  <w:r>
                    <w:rPr>
                      <w:rFonts w:hint="default"/>
                      <w:color w:val="auto"/>
                      <w:sz w:val="21"/>
                    </w:rPr>
                    <w:t>条</w:t>
                  </w:r>
                  <w:r>
                    <w:rPr>
                      <w:rFonts w:hint="default" w:ascii="Times New Roman" w:eastAsia="Times New Roman"/>
                      <w:color w:val="auto"/>
                      <w:sz w:val="21"/>
                    </w:rPr>
                    <w:t>/a</w:t>
                  </w:r>
                </w:p>
              </w:tc>
              <w:tc>
                <w:tcPr>
                  <w:tcW w:w="916" w:type="pct"/>
                  <w:noWrap w:val="0"/>
                  <w:vAlign w:val="center"/>
                </w:tcPr>
                <w:p w14:paraId="46ABC0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eastAsia="宋体"/>
                      <w:color w:val="auto"/>
                      <w:szCs w:val="21"/>
                      <w:lang w:eastAsia="zh-CN"/>
                    </w:rPr>
                  </w:pPr>
                  <w:r>
                    <w:rPr>
                      <w:rFonts w:hint="default"/>
                      <w:color w:val="auto"/>
                      <w:sz w:val="21"/>
                    </w:rPr>
                    <w:t>生产原</w:t>
                  </w:r>
                  <w:r>
                    <w:rPr>
                      <w:rFonts w:hint="eastAsia"/>
                      <w:color w:val="auto"/>
                      <w:sz w:val="21"/>
                      <w:lang w:eastAsia="zh-CN"/>
                    </w:rPr>
                    <w:t>辅</w:t>
                  </w:r>
                  <w:r>
                    <w:rPr>
                      <w:rFonts w:hint="default"/>
                      <w:color w:val="auto"/>
                      <w:sz w:val="21"/>
                    </w:rPr>
                    <w:t>料</w:t>
                  </w:r>
                  <w:r>
                    <w:rPr>
                      <w:rFonts w:hint="eastAsia"/>
                      <w:color w:val="auto"/>
                      <w:sz w:val="21"/>
                      <w:lang w:eastAsia="zh-CN"/>
                    </w:rPr>
                    <w:t>包装材料</w:t>
                  </w:r>
                </w:p>
              </w:tc>
              <w:tc>
                <w:tcPr>
                  <w:tcW w:w="1391" w:type="pct"/>
                  <w:noWrap w:val="0"/>
                  <w:vAlign w:val="center"/>
                </w:tcPr>
                <w:p w14:paraId="490866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eastAsia="宋体"/>
                      <w:color w:val="auto"/>
                      <w:szCs w:val="21"/>
                      <w:lang w:eastAsia="zh-CN"/>
                    </w:rPr>
                  </w:pPr>
                  <w:r>
                    <w:rPr>
                      <w:rFonts w:hint="default"/>
                      <w:color w:val="auto"/>
                      <w:sz w:val="21"/>
                    </w:rPr>
                    <w:t>收集后送废品回收站</w:t>
                  </w:r>
                  <w:r>
                    <w:rPr>
                      <w:rFonts w:hint="eastAsia"/>
                      <w:color w:val="auto"/>
                      <w:sz w:val="21"/>
                      <w:lang w:eastAsia="zh-CN"/>
                    </w:rPr>
                    <w:t>。</w:t>
                  </w:r>
                </w:p>
              </w:tc>
              <w:tc>
                <w:tcPr>
                  <w:tcW w:w="543" w:type="pct"/>
                  <w:vMerge w:val="continue"/>
                  <w:noWrap w:val="0"/>
                  <w:vAlign w:val="center"/>
                </w:tcPr>
                <w:p w14:paraId="3B802DE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 w:val="21"/>
                    </w:rPr>
                  </w:pPr>
                </w:p>
              </w:tc>
            </w:tr>
            <w:tr w14:paraId="3D6E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7" w:type="pct"/>
                  <w:noWrap w:val="0"/>
                  <w:vAlign w:val="center"/>
                </w:tcPr>
                <w:p w14:paraId="5AA120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Cs w:val="21"/>
                    </w:rPr>
                    <w:t>6</w:t>
                  </w:r>
                </w:p>
              </w:tc>
              <w:tc>
                <w:tcPr>
                  <w:tcW w:w="1148" w:type="pct"/>
                  <w:noWrap w:val="0"/>
                  <w:vAlign w:val="center"/>
                </w:tcPr>
                <w:p w14:paraId="5EB7FCB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 w:val="21"/>
                    </w:rPr>
                    <w:t>污水处理系统污</w:t>
                  </w:r>
                  <w:r>
                    <w:rPr>
                      <w:rFonts w:hint="default"/>
                      <w:color w:val="auto"/>
                      <w:w w:val="100"/>
                      <w:sz w:val="21"/>
                    </w:rPr>
                    <w:t>泥</w:t>
                  </w:r>
                </w:p>
              </w:tc>
              <w:tc>
                <w:tcPr>
                  <w:tcW w:w="682" w:type="pct"/>
                  <w:noWrap w:val="0"/>
                  <w:vAlign w:val="center"/>
                </w:tcPr>
                <w:p w14:paraId="29D903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color w:val="auto"/>
                      <w:szCs w:val="21"/>
                      <w:lang w:val="en-US" w:eastAsia="zh-CN"/>
                    </w:rPr>
                  </w:pPr>
                  <w:r>
                    <w:rPr>
                      <w:rFonts w:hint="eastAsia"/>
                      <w:color w:val="auto"/>
                      <w:szCs w:val="21"/>
                      <w:lang w:val="en-US" w:eastAsia="zh-CN"/>
                    </w:rPr>
                    <w:t>5.4</w:t>
                  </w:r>
                  <w:r>
                    <w:rPr>
                      <w:rFonts w:hint="default" w:ascii="Times New Roman"/>
                      <w:color w:val="auto"/>
                      <w:sz w:val="21"/>
                    </w:rPr>
                    <w:t>t/a</w:t>
                  </w:r>
                </w:p>
              </w:tc>
              <w:tc>
                <w:tcPr>
                  <w:tcW w:w="916" w:type="pct"/>
                  <w:noWrap w:val="0"/>
                  <w:vAlign w:val="center"/>
                </w:tcPr>
                <w:p w14:paraId="2B0A9AA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olor w:val="auto"/>
                      <w:szCs w:val="21"/>
                      <w:lang w:eastAsia="zh-CN"/>
                    </w:rPr>
                  </w:pPr>
                  <w:r>
                    <w:rPr>
                      <w:rFonts w:hint="eastAsia"/>
                      <w:color w:val="auto"/>
                      <w:szCs w:val="21"/>
                      <w:lang w:eastAsia="zh-CN"/>
                    </w:rPr>
                    <w:t>污泥</w:t>
                  </w:r>
                </w:p>
              </w:tc>
              <w:tc>
                <w:tcPr>
                  <w:tcW w:w="1391" w:type="pct"/>
                  <w:noWrap w:val="0"/>
                  <w:vAlign w:val="center"/>
                </w:tcPr>
                <w:p w14:paraId="3BDE67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olor w:val="auto"/>
                      <w:szCs w:val="21"/>
                      <w:lang w:eastAsia="zh-CN"/>
                    </w:rPr>
                  </w:pPr>
                  <w:r>
                    <w:rPr>
                      <w:rFonts w:hint="eastAsia"/>
                      <w:color w:val="auto"/>
                      <w:szCs w:val="21"/>
                      <w:lang w:eastAsia="zh-CN"/>
                    </w:rPr>
                    <w:t>由富名翔盛废物旧资收购点清运处置。</w:t>
                  </w:r>
                </w:p>
              </w:tc>
              <w:tc>
                <w:tcPr>
                  <w:tcW w:w="543" w:type="pct"/>
                  <w:vMerge w:val="continue"/>
                  <w:noWrap w:val="0"/>
                  <w:vAlign w:val="center"/>
                </w:tcPr>
                <w:p w14:paraId="0BF7598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p>
              </w:tc>
            </w:tr>
            <w:tr w14:paraId="7CD0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7" w:type="pct"/>
                  <w:noWrap w:val="0"/>
                  <w:vAlign w:val="center"/>
                </w:tcPr>
                <w:p w14:paraId="34F12A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olor w:val="auto"/>
                      <w:szCs w:val="21"/>
                      <w:lang w:val="en-US" w:eastAsia="zh-CN"/>
                    </w:rPr>
                  </w:pPr>
                  <w:r>
                    <w:rPr>
                      <w:rFonts w:hint="eastAsia"/>
                      <w:color w:val="auto"/>
                      <w:szCs w:val="21"/>
                      <w:lang w:val="en-US" w:eastAsia="zh-CN"/>
                    </w:rPr>
                    <w:t>7</w:t>
                  </w:r>
                </w:p>
              </w:tc>
              <w:tc>
                <w:tcPr>
                  <w:tcW w:w="1148" w:type="pct"/>
                  <w:noWrap w:val="0"/>
                  <w:vAlign w:val="center"/>
                </w:tcPr>
                <w:p w14:paraId="2E4FFC0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olor w:val="auto"/>
                      <w:sz w:val="21"/>
                      <w:lang w:val="en-US" w:eastAsia="zh-CN"/>
                    </w:rPr>
                  </w:pPr>
                  <w:r>
                    <w:rPr>
                      <w:rFonts w:hint="eastAsia"/>
                      <w:color w:val="auto"/>
                      <w:sz w:val="21"/>
                      <w:lang w:val="en-US" w:eastAsia="zh-CN"/>
                    </w:rPr>
                    <w:t>废机油</w:t>
                  </w:r>
                </w:p>
              </w:tc>
              <w:tc>
                <w:tcPr>
                  <w:tcW w:w="682" w:type="pct"/>
                  <w:noWrap w:val="0"/>
                  <w:vAlign w:val="center"/>
                </w:tcPr>
                <w:p w14:paraId="0580D4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0.5</w:t>
                  </w:r>
                </w:p>
              </w:tc>
              <w:tc>
                <w:tcPr>
                  <w:tcW w:w="916" w:type="pct"/>
                  <w:noWrap w:val="0"/>
                  <w:vAlign w:val="center"/>
                </w:tcPr>
                <w:p w14:paraId="48A7ED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油</w:t>
                  </w:r>
                </w:p>
              </w:tc>
              <w:tc>
                <w:tcPr>
                  <w:tcW w:w="1391" w:type="pct"/>
                  <w:noWrap w:val="0"/>
                  <w:vAlign w:val="center"/>
                </w:tcPr>
                <w:p w14:paraId="014E2F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olor w:val="auto"/>
                      <w:szCs w:val="21"/>
                      <w:lang w:eastAsia="zh-CN"/>
                    </w:rPr>
                  </w:pPr>
                  <w:r>
                    <w:rPr>
                      <w:rFonts w:hint="eastAsia"/>
                      <w:color w:val="auto"/>
                      <w:szCs w:val="21"/>
                      <w:lang w:val="en-US" w:eastAsia="zh-CN"/>
                    </w:rPr>
                    <w:t>委托有资质单位清运处置</w:t>
                  </w:r>
                </w:p>
              </w:tc>
              <w:tc>
                <w:tcPr>
                  <w:tcW w:w="543" w:type="pct"/>
                  <w:vMerge w:val="continue"/>
                  <w:noWrap w:val="0"/>
                  <w:vAlign w:val="center"/>
                </w:tcPr>
                <w:p w14:paraId="182D632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p>
              </w:tc>
            </w:tr>
            <w:tr w14:paraId="4957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7" w:type="pct"/>
                  <w:noWrap w:val="0"/>
                  <w:vAlign w:val="center"/>
                </w:tcPr>
                <w:p w14:paraId="0587CAC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olor w:val="auto"/>
                      <w:szCs w:val="21"/>
                      <w:lang w:val="en-US" w:eastAsia="zh-CN"/>
                    </w:rPr>
                  </w:pPr>
                  <w:r>
                    <w:rPr>
                      <w:rFonts w:hint="eastAsia"/>
                      <w:color w:val="auto"/>
                      <w:szCs w:val="21"/>
                      <w:lang w:val="en-US" w:eastAsia="zh-CN"/>
                    </w:rPr>
                    <w:t>8</w:t>
                  </w:r>
                </w:p>
              </w:tc>
              <w:tc>
                <w:tcPr>
                  <w:tcW w:w="1148" w:type="pct"/>
                  <w:noWrap w:val="0"/>
                  <w:vAlign w:val="center"/>
                </w:tcPr>
                <w:p w14:paraId="59088E9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 w:val="21"/>
                    </w:rPr>
                  </w:pPr>
                  <w:r>
                    <w:rPr>
                      <w:rFonts w:hint="eastAsia"/>
                      <w:color w:val="auto"/>
                      <w:sz w:val="21"/>
                      <w:lang w:val="en-US" w:eastAsia="zh-CN"/>
                    </w:rPr>
                    <w:t>沾染有机溶剂的包装材料</w:t>
                  </w:r>
                </w:p>
              </w:tc>
              <w:tc>
                <w:tcPr>
                  <w:tcW w:w="682" w:type="pct"/>
                  <w:noWrap w:val="0"/>
                  <w:vAlign w:val="center"/>
                </w:tcPr>
                <w:p w14:paraId="069D72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0.1</w:t>
                  </w:r>
                </w:p>
              </w:tc>
              <w:tc>
                <w:tcPr>
                  <w:tcW w:w="916" w:type="pct"/>
                  <w:noWrap w:val="0"/>
                  <w:vAlign w:val="center"/>
                </w:tcPr>
                <w:p w14:paraId="265E54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有机溶剂</w:t>
                  </w:r>
                </w:p>
              </w:tc>
              <w:tc>
                <w:tcPr>
                  <w:tcW w:w="1391" w:type="pct"/>
                  <w:noWrap w:val="0"/>
                  <w:vAlign w:val="center"/>
                </w:tcPr>
                <w:p w14:paraId="4E828A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olor w:val="auto"/>
                      <w:szCs w:val="21"/>
                      <w:lang w:eastAsia="zh-CN"/>
                    </w:rPr>
                  </w:pPr>
                  <w:r>
                    <w:rPr>
                      <w:rFonts w:hint="eastAsia"/>
                      <w:color w:val="auto"/>
                      <w:szCs w:val="21"/>
                      <w:lang w:val="en-US" w:eastAsia="zh-CN"/>
                    </w:rPr>
                    <w:t>委托有资质单位清运处置</w:t>
                  </w:r>
                </w:p>
              </w:tc>
              <w:tc>
                <w:tcPr>
                  <w:tcW w:w="543" w:type="pct"/>
                  <w:vMerge w:val="continue"/>
                  <w:noWrap w:val="0"/>
                  <w:vAlign w:val="center"/>
                </w:tcPr>
                <w:p w14:paraId="1EF7B7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p>
              </w:tc>
            </w:tr>
          </w:tbl>
          <w:p w14:paraId="4F38A09E">
            <w:pPr>
              <w:pStyle w:val="12"/>
              <w:keepNext w:val="0"/>
              <w:keepLines w:val="0"/>
              <w:suppressLineNumbers w:val="0"/>
              <w:spacing w:before="0" w:beforeAutospacing="0" w:after="0" w:afterAutospacing="0" w:line="360" w:lineRule="auto"/>
              <w:ind w:left="0" w:firstLine="482" w:firstLineChars="200"/>
              <w:rPr>
                <w:rFonts w:hint="default"/>
                <w:color w:val="auto"/>
                <w:sz w:val="24"/>
                <w:szCs w:val="24"/>
              </w:rPr>
            </w:pPr>
            <w:r>
              <w:rPr>
                <w:rFonts w:hint="eastAsia"/>
                <w:b/>
                <w:bCs/>
                <w:color w:val="auto"/>
                <w:sz w:val="24"/>
                <w:szCs w:val="24"/>
                <w:lang w:val="en-US" w:eastAsia="zh-CN"/>
              </w:rPr>
              <w:t>6</w:t>
            </w:r>
            <w:r>
              <w:rPr>
                <w:rFonts w:hint="default"/>
                <w:b/>
                <w:bCs/>
                <w:color w:val="auto"/>
                <w:sz w:val="24"/>
                <w:szCs w:val="24"/>
              </w:rPr>
              <w:t>、排污许可证执行情况</w:t>
            </w:r>
          </w:p>
          <w:p w14:paraId="29F58EEA">
            <w:pPr>
              <w:keepNext w:val="0"/>
              <w:keepLines w:val="0"/>
              <w:suppressLineNumbers w:val="0"/>
              <w:adjustRightInd w:val="0"/>
              <w:snapToGrid w:val="0"/>
              <w:spacing w:before="0" w:beforeAutospacing="0" w:after="0" w:afterAutospacing="0" w:line="360" w:lineRule="auto"/>
              <w:ind w:left="0" w:right="0" w:firstLine="480" w:firstLineChars="200"/>
              <w:rPr>
                <w:rFonts w:hint="default"/>
                <w:b/>
                <w:bCs/>
                <w:color w:val="auto"/>
                <w:spacing w:val="-6"/>
                <w:sz w:val="24"/>
              </w:rPr>
            </w:pPr>
            <w:r>
              <w:rPr>
                <w:rFonts w:hint="default"/>
                <w:color w:val="auto"/>
                <w:sz w:val="24"/>
                <w:lang w:val="zh-CN"/>
              </w:rPr>
              <w:t>2020年</w:t>
            </w:r>
            <w:r>
              <w:rPr>
                <w:rFonts w:hint="eastAsia"/>
                <w:color w:val="auto"/>
                <w:sz w:val="24"/>
                <w:lang w:val="en-US" w:eastAsia="zh-CN"/>
              </w:rPr>
              <w:t>7</w:t>
            </w:r>
            <w:r>
              <w:rPr>
                <w:rFonts w:hint="default"/>
                <w:color w:val="auto"/>
                <w:sz w:val="24"/>
              </w:rPr>
              <w:t>月</w:t>
            </w:r>
            <w:r>
              <w:rPr>
                <w:rFonts w:hint="eastAsia"/>
                <w:color w:val="auto"/>
                <w:sz w:val="24"/>
                <w:lang w:val="en-US" w:eastAsia="zh-CN"/>
              </w:rPr>
              <w:t>19</w:t>
            </w:r>
            <w:r>
              <w:rPr>
                <w:rFonts w:hint="default"/>
                <w:color w:val="auto"/>
                <w:sz w:val="24"/>
              </w:rPr>
              <w:t>日，根据相关要求，</w:t>
            </w:r>
            <w:r>
              <w:rPr>
                <w:rFonts w:hint="default"/>
                <w:color w:val="auto"/>
                <w:sz w:val="24"/>
                <w:szCs w:val="24"/>
              </w:rPr>
              <w:t>立邦涂料（昆明）有限公司</w:t>
            </w:r>
            <w:r>
              <w:rPr>
                <w:rFonts w:hint="default"/>
                <w:color w:val="auto"/>
                <w:sz w:val="24"/>
              </w:rPr>
              <w:t>申请了排污许可证，《排污许可证》编号为：</w:t>
            </w:r>
            <w:r>
              <w:rPr>
                <w:rFonts w:hint="eastAsia"/>
                <w:color w:val="auto"/>
                <w:sz w:val="24"/>
                <w:lang w:val="en-US" w:eastAsia="zh-CN"/>
              </w:rPr>
              <w:t>915301000642951353001Q</w:t>
            </w:r>
            <w:r>
              <w:rPr>
                <w:rFonts w:hint="default"/>
                <w:color w:val="auto"/>
                <w:sz w:val="24"/>
              </w:rPr>
              <w:t>。建设单位严格按照《排污许可证》自行监测要求定期委托</w:t>
            </w:r>
            <w:r>
              <w:rPr>
                <w:rFonts w:hint="eastAsia"/>
                <w:color w:val="auto"/>
                <w:sz w:val="24"/>
                <w:lang w:eastAsia="zh-CN"/>
              </w:rPr>
              <w:t>云南环绿环境检测技术有限公司</w:t>
            </w:r>
            <w:r>
              <w:rPr>
                <w:rFonts w:hint="default"/>
                <w:color w:val="auto"/>
                <w:sz w:val="24"/>
              </w:rPr>
              <w:t>进行监测，并定期在全国排污许可证管理信息平台填报年度执行报告。</w:t>
            </w:r>
          </w:p>
          <w:p w14:paraId="5151BBD5">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default"/>
                <w:b/>
                <w:bCs/>
                <w:color w:val="auto"/>
                <w:kern w:val="0"/>
                <w:sz w:val="24"/>
                <w:lang w:bidi="ar"/>
              </w:rPr>
            </w:pPr>
            <w:r>
              <w:rPr>
                <w:rFonts w:hint="eastAsia"/>
                <w:color w:val="auto"/>
                <w:sz w:val="24"/>
                <w:lang w:val="en-US" w:eastAsia="zh-CN"/>
              </w:rPr>
              <w:t>企业</w:t>
            </w:r>
            <w:r>
              <w:rPr>
                <w:rFonts w:hint="default"/>
                <w:color w:val="auto"/>
                <w:sz w:val="24"/>
              </w:rPr>
              <w:t>《排污许可证》共</w:t>
            </w:r>
            <w:r>
              <w:rPr>
                <w:rFonts w:hint="eastAsia"/>
                <w:color w:val="auto"/>
                <w:sz w:val="24"/>
                <w:lang w:val="en-US" w:eastAsia="zh-CN"/>
              </w:rPr>
              <w:t>核准</w:t>
            </w:r>
            <w:r>
              <w:rPr>
                <w:rFonts w:hint="default"/>
                <w:color w:val="auto"/>
                <w:sz w:val="24"/>
              </w:rPr>
              <w:t>1个排气筒</w:t>
            </w:r>
            <w:r>
              <w:rPr>
                <w:rFonts w:hint="eastAsia"/>
                <w:color w:val="auto"/>
                <w:sz w:val="24"/>
                <w:lang w:val="en-US" w:eastAsia="zh-CN"/>
              </w:rPr>
              <w:t>DA001（腻子粉投料、配料、混料粉尘）</w:t>
            </w:r>
            <w:r>
              <w:rPr>
                <w:rFonts w:hint="default"/>
                <w:color w:val="auto"/>
                <w:sz w:val="24"/>
              </w:rPr>
              <w:t>，根据</w:t>
            </w:r>
            <w:r>
              <w:rPr>
                <w:rFonts w:hint="eastAsia"/>
                <w:color w:val="auto"/>
                <w:sz w:val="24"/>
                <w:lang w:val="en-US" w:eastAsia="zh-CN"/>
              </w:rPr>
              <w:t>季度</w:t>
            </w:r>
            <w:r>
              <w:rPr>
                <w:rFonts w:hint="default"/>
                <w:color w:val="auto"/>
                <w:sz w:val="24"/>
              </w:rPr>
              <w:t>监测结果表明，</w:t>
            </w:r>
            <w:r>
              <w:rPr>
                <w:rFonts w:hint="eastAsia"/>
                <w:color w:val="auto"/>
                <w:sz w:val="24"/>
                <w:lang w:eastAsia="zh-CN"/>
              </w:rPr>
              <w:t>排气筒</w:t>
            </w:r>
            <w:r>
              <w:rPr>
                <w:rFonts w:hint="default"/>
                <w:color w:val="auto"/>
                <w:sz w:val="24"/>
              </w:rPr>
              <w:t>颗粒物能达到</w:t>
            </w:r>
            <w:r>
              <w:rPr>
                <w:rFonts w:hint="default"/>
                <w:color w:val="auto"/>
                <w:sz w:val="24"/>
                <w:szCs w:val="21"/>
              </w:rPr>
              <w:t>《大气污染物综合排放标准》（GB16297--1996 ）表2</w:t>
            </w:r>
            <w:r>
              <w:rPr>
                <w:rFonts w:hint="eastAsia"/>
                <w:color w:val="auto"/>
                <w:sz w:val="24"/>
                <w:szCs w:val="21"/>
                <w:lang w:eastAsia="zh-CN"/>
              </w:rPr>
              <w:t>最高排放浓度</w:t>
            </w:r>
            <w:r>
              <w:rPr>
                <w:rFonts w:hint="default"/>
                <w:color w:val="auto"/>
                <w:sz w:val="24"/>
              </w:rPr>
              <w:t>，排放速率能达到《排污许可证》（</w:t>
            </w:r>
            <w:r>
              <w:rPr>
                <w:rFonts w:hint="eastAsia"/>
                <w:color w:val="auto"/>
                <w:sz w:val="24"/>
                <w:lang w:val="en-US" w:eastAsia="zh-CN"/>
              </w:rPr>
              <w:t>915301000642951353001Q</w:t>
            </w:r>
            <w:r>
              <w:rPr>
                <w:rFonts w:hint="default"/>
                <w:color w:val="auto"/>
                <w:sz w:val="24"/>
              </w:rPr>
              <w:t>）中许可排放速率限值要求</w:t>
            </w:r>
            <w:r>
              <w:rPr>
                <w:rFonts w:hint="eastAsia"/>
                <w:color w:val="auto"/>
                <w:sz w:val="24"/>
                <w:lang w:eastAsia="zh-CN"/>
              </w:rPr>
              <w:t>；</w:t>
            </w:r>
            <w:r>
              <w:rPr>
                <w:rFonts w:hint="default"/>
                <w:color w:val="auto"/>
                <w:sz w:val="24"/>
                <w:szCs w:val="21"/>
              </w:rPr>
              <w:t>项目厂界无组织颗粒物</w:t>
            </w:r>
            <w:r>
              <w:rPr>
                <w:rFonts w:hint="eastAsia"/>
                <w:color w:val="auto"/>
                <w:sz w:val="24"/>
                <w:szCs w:val="21"/>
                <w:lang w:eastAsia="zh-CN"/>
              </w:rPr>
              <w:t>满足</w:t>
            </w:r>
            <w:r>
              <w:rPr>
                <w:rFonts w:hint="default"/>
                <w:color w:val="auto"/>
                <w:sz w:val="24"/>
                <w:szCs w:val="21"/>
              </w:rPr>
              <w:t>《大气污染物综合排放标准》（GB16297--1996 ）表2</w:t>
            </w:r>
            <w:r>
              <w:rPr>
                <w:rFonts w:hint="eastAsia"/>
                <w:color w:val="auto"/>
                <w:sz w:val="24"/>
                <w:szCs w:val="21"/>
                <w:lang w:eastAsia="zh-CN"/>
              </w:rPr>
              <w:t>无组织排放限值；臭气浓度</w:t>
            </w:r>
            <w:r>
              <w:rPr>
                <w:rFonts w:hint="default"/>
                <w:color w:val="auto"/>
                <w:sz w:val="24"/>
                <w:szCs w:val="21"/>
              </w:rPr>
              <w:t>满足《恶臭污染物排放标准》（GB14554-93）表</w:t>
            </w:r>
            <w:r>
              <w:rPr>
                <w:rFonts w:hint="eastAsia"/>
                <w:color w:val="auto"/>
                <w:sz w:val="24"/>
                <w:szCs w:val="21"/>
                <w:lang w:val="en-US" w:eastAsia="zh-CN"/>
              </w:rPr>
              <w:t>1</w:t>
            </w:r>
            <w:r>
              <w:rPr>
                <w:rFonts w:hint="default"/>
                <w:color w:val="auto"/>
                <w:sz w:val="24"/>
                <w:szCs w:val="21"/>
              </w:rPr>
              <w:t>中</w:t>
            </w:r>
            <w:r>
              <w:rPr>
                <w:rFonts w:hint="eastAsia"/>
                <w:color w:val="auto"/>
                <w:sz w:val="24"/>
                <w:szCs w:val="21"/>
                <w:lang w:eastAsia="zh-CN"/>
              </w:rPr>
              <w:t>相关标准；生活污水经隔油池、化粪池预处理后同生产</w:t>
            </w:r>
            <w:r>
              <w:rPr>
                <w:rFonts w:hint="eastAsia"/>
                <w:color w:val="auto"/>
                <w:sz w:val="24"/>
                <w:szCs w:val="21"/>
                <w:lang w:val="en-US" w:eastAsia="zh-CN"/>
              </w:rPr>
              <w:t>环节清洗</w:t>
            </w:r>
            <w:r>
              <w:rPr>
                <w:rFonts w:hint="eastAsia"/>
                <w:color w:val="auto"/>
                <w:sz w:val="24"/>
                <w:szCs w:val="21"/>
                <w:lang w:eastAsia="zh-CN"/>
              </w:rPr>
              <w:t>废水一并进入自建的污水处理系统处理达《污水排入城镇下水道水质标准》（GB/T131962-2015）表1中</w:t>
            </w:r>
            <w:r>
              <w:rPr>
                <w:rFonts w:hint="eastAsia"/>
                <w:color w:val="auto"/>
                <w:sz w:val="24"/>
                <w:szCs w:val="21"/>
                <w:lang w:val="en-US" w:eastAsia="zh-CN"/>
              </w:rPr>
              <w:t>A</w:t>
            </w:r>
            <w:r>
              <w:rPr>
                <w:rFonts w:hint="eastAsia"/>
                <w:color w:val="auto"/>
                <w:sz w:val="24"/>
                <w:szCs w:val="21"/>
                <w:lang w:eastAsia="zh-CN"/>
              </w:rPr>
              <w:t>级标准后进入园区污水管网，最终进入富民工业园区哨箐机械加工园污水处理厂</w:t>
            </w:r>
            <w:r>
              <w:rPr>
                <w:rFonts w:hint="eastAsia"/>
                <w:color w:val="auto"/>
                <w:sz w:val="24"/>
                <w:szCs w:val="21"/>
                <w:lang w:val="en-US" w:eastAsia="zh-CN"/>
              </w:rPr>
              <w:t>；固体废弃物100%合理处置</w:t>
            </w:r>
            <w:r>
              <w:rPr>
                <w:rFonts w:hint="default"/>
                <w:color w:val="auto"/>
                <w:sz w:val="24"/>
                <w:szCs w:val="21"/>
              </w:rPr>
              <w:t>。</w:t>
            </w:r>
            <w:r>
              <w:rPr>
                <w:rFonts w:hint="eastAsia"/>
                <w:color w:val="auto"/>
                <w:sz w:val="24"/>
                <w:szCs w:val="21"/>
                <w:lang w:val="en-US" w:eastAsia="zh-CN"/>
              </w:rPr>
              <w:t>综上，企业</w:t>
            </w:r>
            <w:r>
              <w:rPr>
                <w:rFonts w:hint="default"/>
                <w:color w:val="auto"/>
                <w:sz w:val="24"/>
                <w:szCs w:val="21"/>
              </w:rPr>
              <w:t>满足《排污许可证》要求。</w:t>
            </w:r>
          </w:p>
          <w:p w14:paraId="356846C1">
            <w:pPr>
              <w:keepNext w:val="0"/>
              <w:keepLines w:val="0"/>
              <w:widowControl/>
              <w:suppressLineNumbers w:val="0"/>
              <w:adjustRightInd w:val="0"/>
              <w:snapToGrid w:val="0"/>
              <w:spacing w:before="0" w:beforeAutospacing="0" w:after="0" w:afterAutospacing="0" w:line="360" w:lineRule="auto"/>
              <w:ind w:left="0" w:right="0" w:firstLine="482" w:firstLineChars="200"/>
              <w:jc w:val="left"/>
              <w:rPr>
                <w:rFonts w:hint="default"/>
                <w:color w:val="auto"/>
                <w:sz w:val="24"/>
              </w:rPr>
            </w:pPr>
            <w:r>
              <w:rPr>
                <w:rFonts w:hint="eastAsia"/>
                <w:b/>
                <w:bCs/>
                <w:color w:val="auto"/>
                <w:kern w:val="0"/>
                <w:sz w:val="24"/>
                <w:lang w:val="en-US" w:eastAsia="zh-CN" w:bidi="ar"/>
              </w:rPr>
              <w:t>7</w:t>
            </w:r>
            <w:r>
              <w:rPr>
                <w:rFonts w:hint="default"/>
                <w:b/>
                <w:bCs/>
                <w:color w:val="auto"/>
                <w:kern w:val="0"/>
                <w:sz w:val="24"/>
                <w:lang w:bidi="ar"/>
              </w:rPr>
              <w:t xml:space="preserve">、原有工程遗留问题和整改措施 </w:t>
            </w:r>
          </w:p>
          <w:p w14:paraId="0926C32A">
            <w:pPr>
              <w:keepNext w:val="0"/>
              <w:keepLines w:val="0"/>
              <w:suppressLineNumbers w:val="0"/>
              <w:snapToGrid w:val="0"/>
              <w:spacing w:before="0" w:beforeAutospacing="0" w:after="0" w:afterAutospacing="0" w:line="360" w:lineRule="auto"/>
              <w:ind w:left="0" w:right="0" w:firstLine="480"/>
              <w:rPr>
                <w:rFonts w:hint="default"/>
                <w:b/>
                <w:bCs/>
                <w:color w:val="auto"/>
                <w:kern w:val="0"/>
                <w:sz w:val="24"/>
              </w:rPr>
            </w:pPr>
            <w:r>
              <w:rPr>
                <w:rFonts w:hint="default"/>
                <w:b/>
                <w:bCs/>
                <w:color w:val="auto"/>
                <w:kern w:val="0"/>
                <w:sz w:val="24"/>
              </w:rPr>
              <w:t>（1）</w:t>
            </w:r>
            <w:r>
              <w:rPr>
                <w:rFonts w:hint="eastAsia"/>
                <w:b/>
                <w:bCs/>
                <w:color w:val="auto"/>
                <w:kern w:val="0"/>
                <w:sz w:val="24"/>
              </w:rPr>
              <w:t>原</w:t>
            </w:r>
            <w:r>
              <w:rPr>
                <w:rFonts w:hint="default"/>
                <w:b/>
                <w:bCs/>
                <w:color w:val="auto"/>
                <w:kern w:val="0"/>
                <w:sz w:val="24"/>
              </w:rPr>
              <w:t>项目存在的问题</w:t>
            </w:r>
          </w:p>
          <w:p w14:paraId="0BD1BEA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lang w:val="en-US" w:eastAsia="zh-CN" w:bidi="ar"/>
              </w:rPr>
            </w:pPr>
            <w:r>
              <w:rPr>
                <w:rFonts w:hint="default"/>
                <w:color w:val="auto"/>
                <w:sz w:val="24"/>
                <w:lang w:bidi="ar"/>
              </w:rPr>
              <w:t>根据原环评报告</w:t>
            </w:r>
            <w:r>
              <w:rPr>
                <w:rFonts w:hint="eastAsia"/>
                <w:color w:val="auto"/>
                <w:sz w:val="24"/>
                <w:lang w:val="en-US" w:eastAsia="zh-CN" w:bidi="ar"/>
              </w:rPr>
              <w:t>批复</w:t>
            </w:r>
            <w:r>
              <w:rPr>
                <w:rFonts w:hint="default"/>
                <w:color w:val="auto"/>
                <w:sz w:val="24"/>
                <w:lang w:bidi="ar"/>
              </w:rPr>
              <w:t>、竣工环境保护验收报告</w:t>
            </w:r>
            <w:r>
              <w:rPr>
                <w:rFonts w:hint="eastAsia"/>
                <w:color w:val="auto"/>
                <w:sz w:val="24"/>
                <w:lang w:eastAsia="zh-CN" w:bidi="ar"/>
              </w:rPr>
              <w:t>、</w:t>
            </w:r>
            <w:r>
              <w:rPr>
                <w:rFonts w:hint="default"/>
                <w:color w:val="auto"/>
                <w:sz w:val="24"/>
                <w:lang w:bidi="ar"/>
              </w:rPr>
              <w:t>排污许可证查阅情况以及近期的现场踏勘情况，原有工程存在</w:t>
            </w:r>
            <w:r>
              <w:rPr>
                <w:rFonts w:hint="eastAsia"/>
                <w:color w:val="auto"/>
                <w:sz w:val="24"/>
                <w:lang w:val="en-US" w:eastAsia="zh-CN" w:bidi="ar"/>
              </w:rPr>
              <w:t>的</w:t>
            </w:r>
            <w:r>
              <w:rPr>
                <w:rFonts w:hint="default"/>
                <w:color w:val="auto"/>
                <w:sz w:val="24"/>
                <w:lang w:bidi="ar"/>
              </w:rPr>
              <w:t>遗留环境问题</w:t>
            </w:r>
            <w:r>
              <w:rPr>
                <w:rFonts w:hint="eastAsia"/>
                <w:color w:val="auto"/>
                <w:sz w:val="24"/>
                <w:lang w:val="en-US" w:eastAsia="zh-CN" w:bidi="ar"/>
              </w:rPr>
              <w:t>如下：</w:t>
            </w:r>
          </w:p>
          <w:p w14:paraId="1868697C">
            <w:pPr>
              <w:keepNext w:val="0"/>
              <w:keepLines w:val="0"/>
              <w:suppressLineNumbers w:val="0"/>
              <w:snapToGrid w:val="0"/>
              <w:spacing w:before="0" w:beforeAutospacing="0" w:after="0" w:afterAutospacing="0" w:line="360" w:lineRule="auto"/>
              <w:ind w:left="0" w:right="0" w:firstLine="480"/>
              <w:rPr>
                <w:rFonts w:hint="eastAsia" w:ascii="Times New Roman" w:hAnsi="Times New Roman" w:eastAsia="宋体" w:cs="Times New Roman"/>
                <w:color w:val="auto"/>
                <w:sz w:val="24"/>
                <w:lang w:val="en-US" w:eastAsia="zh-CN" w:bidi="ar"/>
              </w:rPr>
            </w:pPr>
            <w:r>
              <w:rPr>
                <w:rFonts w:hint="eastAsia" w:ascii="Times New Roman" w:hAnsi="Times New Roman" w:eastAsia="宋体" w:cs="Times New Roman"/>
                <w:color w:val="auto"/>
                <w:sz w:val="24"/>
                <w:lang w:val="en-US" w:eastAsia="zh-CN" w:bidi="ar"/>
              </w:rPr>
              <w:t>①为了控制投料口粉尘的产生及排放，</w:t>
            </w:r>
            <w:r>
              <w:rPr>
                <w:rFonts w:hint="eastAsia" w:cs="Times New Roman"/>
                <w:color w:val="auto"/>
                <w:sz w:val="24"/>
                <w:lang w:val="en-US" w:eastAsia="zh-CN" w:bidi="ar"/>
              </w:rPr>
              <w:t>设置</w:t>
            </w:r>
            <w:r>
              <w:rPr>
                <w:rFonts w:hint="eastAsia" w:ascii="Times New Roman" w:hAnsi="Times New Roman" w:eastAsia="宋体" w:cs="Times New Roman"/>
                <w:color w:val="auto"/>
                <w:sz w:val="24"/>
                <w:lang w:val="en-US" w:eastAsia="zh-CN" w:bidi="ar"/>
              </w:rPr>
              <w:t>一个专门的投料间，投料间为三面封闭，顶部封闭，投料口设置于中间，在投料口上方设置抽风口</w:t>
            </w:r>
            <w:r>
              <w:rPr>
                <w:rFonts w:hint="eastAsia" w:cs="Times New Roman"/>
                <w:color w:val="auto"/>
                <w:sz w:val="24"/>
                <w:lang w:val="en-US" w:eastAsia="zh-CN" w:bidi="ar"/>
              </w:rPr>
              <w:t>，产生的粉尘集气罩收集后进入布袋除尘系统</w:t>
            </w:r>
            <w:r>
              <w:rPr>
                <w:rFonts w:hint="eastAsia" w:ascii="Times New Roman" w:hAnsi="Times New Roman" w:eastAsia="宋体" w:cs="Times New Roman"/>
                <w:color w:val="auto"/>
                <w:sz w:val="24"/>
                <w:lang w:val="en-US" w:eastAsia="zh-CN" w:bidi="ar"/>
              </w:rPr>
              <w:t>处理后</w:t>
            </w:r>
            <w:r>
              <w:rPr>
                <w:rFonts w:hint="eastAsia" w:cs="Times New Roman"/>
                <w:color w:val="auto"/>
                <w:sz w:val="24"/>
                <w:lang w:val="en-US" w:eastAsia="zh-CN" w:bidi="ar"/>
              </w:rPr>
              <w:t>在车间</w:t>
            </w:r>
            <w:r>
              <w:rPr>
                <w:rFonts w:hint="eastAsia" w:ascii="Times New Roman" w:hAnsi="Times New Roman" w:eastAsia="宋体" w:cs="Times New Roman"/>
                <w:color w:val="auto"/>
                <w:sz w:val="24"/>
                <w:lang w:val="en-US" w:eastAsia="zh-CN" w:bidi="ar"/>
              </w:rPr>
              <w:t>无组织排放，无组织</w:t>
            </w:r>
            <w:r>
              <w:rPr>
                <w:rFonts w:hint="eastAsia" w:cs="Times New Roman"/>
                <w:color w:val="auto"/>
                <w:sz w:val="24"/>
                <w:lang w:val="en-US" w:eastAsia="zh-CN" w:bidi="ar"/>
              </w:rPr>
              <w:t>粉尘排放量对</w:t>
            </w:r>
            <w:r>
              <w:rPr>
                <w:rFonts w:hint="eastAsia" w:ascii="Times New Roman" w:hAnsi="Times New Roman" w:eastAsia="宋体" w:cs="Times New Roman"/>
                <w:color w:val="auto"/>
                <w:sz w:val="24"/>
                <w:lang w:val="en-US" w:eastAsia="zh-CN" w:bidi="ar"/>
              </w:rPr>
              <w:t>周围环境有一定的影响。</w:t>
            </w:r>
          </w:p>
          <w:p w14:paraId="758D8169">
            <w:pPr>
              <w:keepNext w:val="0"/>
              <w:keepLines w:val="0"/>
              <w:suppressLineNumbers w:val="0"/>
              <w:snapToGrid w:val="0"/>
              <w:spacing w:before="0" w:beforeAutospacing="0" w:after="0" w:afterAutospacing="0" w:line="360" w:lineRule="auto"/>
              <w:ind w:left="0" w:right="0" w:firstLine="480"/>
              <w:rPr>
                <w:rFonts w:hint="eastAsia" w:ascii="Times New Roman" w:hAnsi="Times New Roman" w:eastAsia="宋体" w:cs="Times New Roman"/>
                <w:color w:val="auto"/>
                <w:sz w:val="24"/>
                <w:lang w:val="en-US" w:eastAsia="zh-CN" w:bidi="ar"/>
              </w:rPr>
            </w:pPr>
            <w:r>
              <w:rPr>
                <w:rFonts w:hint="eastAsia" w:ascii="Times New Roman" w:hAnsi="Times New Roman" w:eastAsia="宋体" w:cs="Times New Roman"/>
                <w:color w:val="auto"/>
                <w:sz w:val="24"/>
                <w:lang w:val="en-US" w:eastAsia="zh-CN" w:bidi="ar"/>
              </w:rPr>
              <w:t>②砂壁产品生产线的砂壁投料间料口上方产生的粉尘抽至一套布袋除尘装置进行处理后无组织排放，</w:t>
            </w:r>
            <w:r>
              <w:rPr>
                <w:rFonts w:hint="eastAsia" w:cs="Times New Roman"/>
                <w:color w:val="auto"/>
                <w:sz w:val="24"/>
                <w:lang w:val="en-US" w:eastAsia="zh-CN" w:bidi="ar"/>
              </w:rPr>
              <w:t>对</w:t>
            </w:r>
            <w:r>
              <w:rPr>
                <w:rFonts w:hint="eastAsia" w:ascii="Times New Roman" w:hAnsi="Times New Roman" w:eastAsia="宋体" w:cs="Times New Roman"/>
                <w:color w:val="auto"/>
                <w:sz w:val="24"/>
                <w:lang w:val="en-US" w:eastAsia="zh-CN" w:bidi="ar"/>
              </w:rPr>
              <w:t>周围环境有一定的影响。</w:t>
            </w:r>
          </w:p>
          <w:p w14:paraId="2EE8A6C7">
            <w:pPr>
              <w:keepNext w:val="0"/>
              <w:keepLines w:val="0"/>
              <w:suppressLineNumbers w:val="0"/>
              <w:snapToGrid w:val="0"/>
              <w:spacing w:before="0" w:beforeAutospacing="0" w:after="0" w:afterAutospacing="0" w:line="360" w:lineRule="auto"/>
              <w:ind w:left="0" w:right="0" w:firstLine="480"/>
              <w:rPr>
                <w:rFonts w:hint="default" w:ascii="Times New Roman" w:hAnsi="Times New Roman" w:eastAsia="宋体" w:cs="Times New Roman"/>
                <w:color w:val="auto"/>
                <w:sz w:val="24"/>
                <w:lang w:val="en-US" w:eastAsia="zh-CN" w:bidi="ar"/>
              </w:rPr>
            </w:pPr>
            <w:r>
              <w:rPr>
                <w:rFonts w:hint="eastAsia" w:ascii="Times New Roman" w:hAnsi="Times New Roman" w:eastAsia="宋体" w:cs="Times New Roman"/>
                <w:color w:val="auto"/>
                <w:sz w:val="24"/>
                <w:lang w:val="en-US" w:eastAsia="zh-CN" w:bidi="ar"/>
              </w:rPr>
              <w:t>③腻子粉生产线的物料通过气流进行输送，产生的投料粉尘、混料粉尘</w:t>
            </w:r>
            <w:r>
              <w:rPr>
                <w:rFonts w:hint="eastAsia" w:cs="Times New Roman"/>
                <w:color w:val="auto"/>
                <w:sz w:val="24"/>
                <w:lang w:val="en-US" w:eastAsia="zh-CN" w:bidi="ar"/>
              </w:rPr>
              <w:t>采用集气罩收集后</w:t>
            </w:r>
            <w:r>
              <w:rPr>
                <w:rFonts w:hint="eastAsia" w:ascii="Times New Roman" w:hAnsi="Times New Roman" w:eastAsia="宋体" w:cs="Times New Roman"/>
                <w:color w:val="auto"/>
                <w:sz w:val="24"/>
                <w:lang w:val="en-US" w:eastAsia="zh-CN" w:bidi="ar"/>
              </w:rPr>
              <w:t>进入1套</w:t>
            </w:r>
            <w:r>
              <w:rPr>
                <w:rFonts w:hint="eastAsia" w:cs="Times New Roman"/>
                <w:color w:val="auto"/>
                <w:sz w:val="24"/>
                <w:lang w:val="en-US" w:eastAsia="zh-CN" w:bidi="ar"/>
              </w:rPr>
              <w:t>集中式滤筒除尘系统</w:t>
            </w:r>
            <w:r>
              <w:rPr>
                <w:rFonts w:hint="eastAsia" w:ascii="Times New Roman" w:hAnsi="Times New Roman" w:eastAsia="宋体" w:cs="Times New Roman"/>
                <w:color w:val="auto"/>
                <w:sz w:val="24"/>
                <w:lang w:val="en-US" w:eastAsia="zh-CN" w:bidi="ar"/>
              </w:rPr>
              <w:t>进行处理，2条腻子粉生产线共用</w:t>
            </w:r>
            <w:r>
              <w:rPr>
                <w:rFonts w:hint="eastAsia" w:cs="Times New Roman"/>
                <w:color w:val="auto"/>
                <w:sz w:val="24"/>
                <w:lang w:val="en-US" w:eastAsia="zh-CN" w:bidi="ar"/>
              </w:rPr>
              <w:t>1</w:t>
            </w:r>
            <w:r>
              <w:rPr>
                <w:rFonts w:hint="eastAsia" w:ascii="Times New Roman" w:hAnsi="Times New Roman" w:eastAsia="宋体" w:cs="Times New Roman"/>
                <w:color w:val="auto"/>
                <w:sz w:val="24"/>
                <w:lang w:val="en-US" w:eastAsia="zh-CN" w:bidi="ar"/>
              </w:rPr>
              <w:t>套布袋收尘装置，废气经处理后通过15m高的排气筒外排。</w:t>
            </w:r>
            <w:r>
              <w:rPr>
                <w:rFonts w:hint="eastAsia" w:cs="Times New Roman"/>
                <w:color w:val="auto"/>
                <w:sz w:val="24"/>
                <w:lang w:val="en-US" w:eastAsia="zh-CN" w:bidi="ar"/>
              </w:rPr>
              <w:t>包装口粉尘产生量较大，对厂区生产环境有一定的影响。</w:t>
            </w:r>
          </w:p>
          <w:p w14:paraId="59C6B7B1">
            <w:pPr>
              <w:keepNext w:val="0"/>
              <w:keepLines w:val="0"/>
              <w:suppressLineNumbers w:val="0"/>
              <w:snapToGrid w:val="0"/>
              <w:spacing w:before="0" w:beforeAutospacing="0" w:after="0" w:afterAutospacing="0" w:line="360" w:lineRule="auto"/>
              <w:ind w:left="0" w:right="0" w:firstLine="480"/>
              <w:rPr>
                <w:rFonts w:hint="eastAsia" w:ascii="Times New Roman" w:hAnsi="Times New Roman" w:eastAsia="宋体" w:cs="Times New Roman"/>
                <w:color w:val="auto"/>
                <w:sz w:val="24"/>
                <w:lang w:val="en-US" w:eastAsia="zh-CN" w:bidi="ar"/>
              </w:rPr>
            </w:pPr>
            <w:r>
              <w:rPr>
                <w:rFonts w:hint="eastAsia" w:cs="Times New Roman"/>
                <w:color w:val="auto"/>
                <w:sz w:val="24"/>
                <w:lang w:val="en-US" w:eastAsia="zh-CN" w:bidi="ar"/>
              </w:rPr>
              <w:t>④厂区内设置有6个粉料罐，在卸料至粉料罐时呼吸口会有粉尘扩散，呈无组织排放，对周围环境有一定的影响。</w:t>
            </w:r>
          </w:p>
          <w:p w14:paraId="593D347E">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firstLine="480" w:firstLineChars="200"/>
              <w:textAlignment w:val="auto"/>
              <w:rPr>
                <w:rFonts w:hint="default"/>
                <w:lang w:val="en-US" w:eastAsia="zh-CN"/>
              </w:rPr>
            </w:pPr>
            <w:r>
              <w:rPr>
                <w:rFonts w:hint="eastAsia" w:cs="Times New Roman"/>
                <w:color w:val="auto"/>
                <w:sz w:val="24"/>
                <w:lang w:val="en-US" w:eastAsia="zh-CN" w:bidi="ar"/>
              </w:rPr>
              <w:t>⑤VOC未收集处理，不符合《云南省重点行业挥发性有机物综合治理实施方案》中有关要求。</w:t>
            </w:r>
          </w:p>
          <w:p w14:paraId="28B6AAB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lang w:val="en-US" w:eastAsia="zh-CN" w:bidi="ar"/>
              </w:rPr>
            </w:pPr>
            <w:r>
              <w:rPr>
                <w:rFonts w:hint="eastAsia" w:cs="Times New Roman"/>
                <w:color w:val="auto"/>
                <w:sz w:val="24"/>
                <w:lang w:val="en-US" w:eastAsia="zh-CN" w:bidi="ar"/>
              </w:rPr>
              <w:t>⑥</w:t>
            </w:r>
            <w:r>
              <w:rPr>
                <w:rFonts w:hint="eastAsia" w:ascii="Times New Roman" w:hAnsi="Times New Roman" w:eastAsia="宋体" w:cs="Times New Roman"/>
                <w:color w:val="auto"/>
                <w:sz w:val="24"/>
                <w:lang w:val="en-US" w:eastAsia="zh-CN" w:bidi="ar"/>
              </w:rPr>
              <w:t>原项目运营期间产生的危险废物废机油、废润滑油、粘有机溶剂的材料均与一般固废混合堆放在一般固废间，存在较大的风险。</w:t>
            </w:r>
          </w:p>
          <w:p w14:paraId="29677C86">
            <w:pPr>
              <w:keepNext w:val="0"/>
              <w:keepLines w:val="0"/>
              <w:suppressLineNumbers w:val="0"/>
              <w:snapToGrid w:val="0"/>
              <w:spacing w:before="0" w:beforeAutospacing="0" w:after="0" w:afterAutospacing="0" w:line="360" w:lineRule="auto"/>
              <w:ind w:left="0" w:right="0" w:firstLine="480"/>
              <w:rPr>
                <w:rFonts w:hint="default"/>
                <w:b/>
                <w:bCs/>
                <w:color w:val="auto"/>
                <w:kern w:val="0"/>
                <w:sz w:val="24"/>
              </w:rPr>
            </w:pPr>
            <w:r>
              <w:rPr>
                <w:rFonts w:hint="default"/>
                <w:b/>
                <w:bCs/>
                <w:color w:val="auto"/>
                <w:kern w:val="0"/>
                <w:sz w:val="24"/>
              </w:rPr>
              <w:t>（2）“以新带老”措施</w:t>
            </w:r>
          </w:p>
          <w:p w14:paraId="76C3E8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lang w:val="en-US" w:eastAsia="zh-CN" w:bidi="ar"/>
              </w:rPr>
            </w:pPr>
            <w:r>
              <w:rPr>
                <w:rFonts w:hint="eastAsia" w:ascii="Times New Roman" w:hAnsi="Times New Roman" w:eastAsia="宋体" w:cs="Times New Roman"/>
                <w:color w:val="auto"/>
                <w:sz w:val="24"/>
                <w:lang w:val="en-US" w:eastAsia="zh-CN" w:bidi="ar"/>
              </w:rPr>
              <w:t>①</w:t>
            </w:r>
            <w:r>
              <w:rPr>
                <w:rFonts w:hint="eastAsia" w:cs="Times New Roman"/>
                <w:color w:val="auto"/>
                <w:sz w:val="24"/>
                <w:lang w:val="en-US" w:eastAsia="zh-CN" w:bidi="ar"/>
              </w:rPr>
              <w:t>为了提高厂区环境空气质量，</w:t>
            </w:r>
            <w:r>
              <w:rPr>
                <w:rFonts w:hint="eastAsia" w:ascii="Times New Roman" w:hAnsi="Times New Roman" w:eastAsia="宋体" w:cs="Times New Roman"/>
                <w:color w:val="auto"/>
                <w:sz w:val="24"/>
                <w:lang w:val="en-US" w:eastAsia="zh-CN" w:bidi="ar"/>
              </w:rPr>
              <w:t>本次以新代老环保措施提出：</w:t>
            </w:r>
            <w:r>
              <w:rPr>
                <w:rFonts w:hint="eastAsia" w:cs="Times New Roman"/>
                <w:color w:val="auto"/>
                <w:sz w:val="24"/>
                <w:lang w:val="en-US" w:eastAsia="zh-CN" w:bidi="ar"/>
              </w:rPr>
              <w:t>水性涂料</w:t>
            </w:r>
            <w:r>
              <w:rPr>
                <w:rFonts w:hint="eastAsia" w:ascii="Times New Roman" w:hAnsi="Times New Roman" w:eastAsia="宋体" w:cs="Times New Roman"/>
                <w:color w:val="auto"/>
                <w:sz w:val="24"/>
                <w:lang w:val="en-US" w:eastAsia="zh-CN" w:bidi="ar"/>
              </w:rPr>
              <w:t>生产线投料</w:t>
            </w:r>
            <w:r>
              <w:rPr>
                <w:rFonts w:hint="eastAsia" w:cs="Times New Roman"/>
                <w:color w:val="auto"/>
                <w:sz w:val="24"/>
                <w:lang w:val="en-US" w:eastAsia="zh-CN" w:bidi="ar"/>
              </w:rPr>
              <w:t>口、包装机口设置集气罩，产生的粉尘非甲烷总烃经1套“布袋除尘装置+UV光氧催化+活性炭吸附装置”</w:t>
            </w:r>
            <w:r>
              <w:rPr>
                <w:rFonts w:hint="eastAsia" w:ascii="Times New Roman" w:hAnsi="Times New Roman" w:eastAsia="宋体" w:cs="Times New Roman"/>
                <w:color w:val="auto"/>
                <w:sz w:val="24"/>
                <w:lang w:val="en-US" w:eastAsia="zh-CN" w:bidi="ar"/>
              </w:rPr>
              <w:t>经布袋除尘器处理后，</w:t>
            </w:r>
            <w:r>
              <w:rPr>
                <w:rFonts w:hint="eastAsia" w:cs="Times New Roman"/>
                <w:color w:val="auto"/>
                <w:sz w:val="24"/>
                <w:lang w:val="en-US" w:eastAsia="zh-CN" w:bidi="ar"/>
              </w:rPr>
              <w:t>通过</w:t>
            </w:r>
            <w:r>
              <w:rPr>
                <w:rFonts w:hint="eastAsia" w:ascii="Times New Roman" w:hAnsi="Times New Roman" w:eastAsia="宋体" w:cs="Times New Roman"/>
                <w:color w:val="auto"/>
                <w:sz w:val="24"/>
                <w:lang w:val="en-US" w:eastAsia="zh-CN" w:bidi="ar"/>
              </w:rPr>
              <w:t>15m排气筒排放（DA002），</w:t>
            </w:r>
            <w:r>
              <w:rPr>
                <w:rFonts w:hint="eastAsia" w:cs="Times New Roman"/>
                <w:color w:val="auto"/>
                <w:sz w:val="24"/>
                <w:lang w:val="en-US" w:eastAsia="zh-CN" w:bidi="ar"/>
              </w:rPr>
              <w:t>废气</w:t>
            </w:r>
            <w:r>
              <w:rPr>
                <w:rFonts w:hint="eastAsia" w:ascii="Times New Roman" w:hAnsi="Times New Roman" w:eastAsia="宋体" w:cs="Times New Roman"/>
                <w:color w:val="auto"/>
                <w:sz w:val="24"/>
                <w:lang w:val="en-US" w:eastAsia="zh-CN" w:bidi="ar"/>
              </w:rPr>
              <w:t>无组织变为有组织排放</w:t>
            </w:r>
            <w:r>
              <w:rPr>
                <w:rFonts w:hint="eastAsia" w:cs="Times New Roman"/>
                <w:color w:val="auto"/>
                <w:sz w:val="24"/>
                <w:lang w:val="en-US" w:eastAsia="zh-CN" w:bidi="ar"/>
              </w:rPr>
              <w:t>；</w:t>
            </w:r>
            <w:r>
              <w:rPr>
                <w:rFonts w:hint="eastAsia" w:ascii="Times New Roman" w:hAnsi="Times New Roman" w:eastAsia="宋体" w:cs="Times New Roman"/>
                <w:color w:val="auto"/>
                <w:sz w:val="24"/>
                <w:lang w:val="en-US" w:eastAsia="zh-CN" w:bidi="ar"/>
              </w:rPr>
              <w:t xml:space="preserve">  </w:t>
            </w:r>
          </w:p>
          <w:p w14:paraId="468781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lang w:val="en-US" w:eastAsia="zh-CN" w:bidi="ar"/>
              </w:rPr>
            </w:pPr>
            <w:r>
              <w:rPr>
                <w:rFonts w:hint="eastAsia" w:cs="Times New Roman"/>
                <w:color w:val="auto"/>
                <w:sz w:val="24"/>
                <w:lang w:val="en-US" w:eastAsia="zh-CN" w:bidi="ar"/>
              </w:rPr>
              <w:t>②为了提高厂区环境空气质量，</w:t>
            </w:r>
            <w:r>
              <w:rPr>
                <w:rFonts w:hint="eastAsia" w:ascii="Times New Roman" w:hAnsi="Times New Roman" w:eastAsia="宋体" w:cs="Times New Roman"/>
                <w:color w:val="auto"/>
                <w:sz w:val="24"/>
                <w:lang w:val="en-US" w:eastAsia="zh-CN" w:bidi="ar"/>
              </w:rPr>
              <w:t>本次以新代老环保措施提出：</w:t>
            </w:r>
            <w:r>
              <w:rPr>
                <w:rFonts w:hint="eastAsia" w:cs="Times New Roman"/>
                <w:color w:val="auto"/>
                <w:sz w:val="24"/>
                <w:lang w:val="en-US" w:eastAsia="zh-CN" w:bidi="ar"/>
              </w:rPr>
              <w:t>厂区</w:t>
            </w:r>
            <w:r>
              <w:rPr>
                <w:rFonts w:hint="eastAsia" w:ascii="Times New Roman" w:hAnsi="Times New Roman" w:eastAsia="宋体" w:cs="Times New Roman"/>
                <w:color w:val="auto"/>
                <w:sz w:val="24"/>
                <w:lang w:val="en-US" w:eastAsia="zh-CN" w:bidi="ar"/>
              </w:rPr>
              <w:t>粉料</w:t>
            </w:r>
            <w:r>
              <w:rPr>
                <w:rFonts w:hint="eastAsia" w:cs="Times New Roman"/>
                <w:color w:val="auto"/>
                <w:sz w:val="24"/>
                <w:lang w:val="en-US" w:eastAsia="zh-CN" w:bidi="ar"/>
              </w:rPr>
              <w:t>存储罐顶部设置</w:t>
            </w:r>
            <w:r>
              <w:rPr>
                <w:rFonts w:hint="eastAsia" w:ascii="Times New Roman" w:hAnsi="Times New Roman" w:eastAsia="宋体" w:cs="Times New Roman"/>
                <w:color w:val="auto"/>
                <w:sz w:val="24"/>
                <w:lang w:val="en-US" w:eastAsia="zh-CN" w:bidi="ar"/>
              </w:rPr>
              <w:t>脉冲布袋除尘</w:t>
            </w:r>
            <w:r>
              <w:rPr>
                <w:rFonts w:hint="eastAsia" w:cs="Times New Roman"/>
                <w:color w:val="auto"/>
                <w:sz w:val="24"/>
                <w:lang w:val="en-US" w:eastAsia="zh-CN" w:bidi="ar"/>
              </w:rPr>
              <w:t>装置</w:t>
            </w:r>
            <w:r>
              <w:rPr>
                <w:rFonts w:hint="eastAsia" w:ascii="Times New Roman" w:hAnsi="Times New Roman" w:eastAsia="宋体" w:cs="Times New Roman"/>
                <w:color w:val="auto"/>
                <w:sz w:val="24"/>
                <w:lang w:val="en-US" w:eastAsia="zh-CN" w:bidi="ar"/>
              </w:rPr>
              <w:t>除尘；</w:t>
            </w:r>
          </w:p>
          <w:p w14:paraId="511CC2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cs="Times New Roman"/>
                <w:color w:val="auto"/>
                <w:sz w:val="24"/>
                <w:lang w:val="en-US" w:eastAsia="zh-CN" w:bidi="ar"/>
              </w:rPr>
            </w:pPr>
            <w:r>
              <w:rPr>
                <w:rFonts w:hint="eastAsia" w:cs="Times New Roman"/>
                <w:color w:val="auto"/>
                <w:sz w:val="24"/>
                <w:lang w:val="en-US" w:eastAsia="zh-CN" w:bidi="ar"/>
              </w:rPr>
              <w:t>③腻子粉</w:t>
            </w:r>
            <w:r>
              <w:rPr>
                <w:rFonts w:hint="eastAsia" w:ascii="Times New Roman" w:hAnsi="Times New Roman" w:eastAsia="宋体" w:cs="Times New Roman"/>
                <w:color w:val="auto"/>
                <w:sz w:val="24"/>
                <w:lang w:val="en-US" w:eastAsia="zh-CN" w:bidi="ar"/>
              </w:rPr>
              <w:t>包装</w:t>
            </w:r>
            <w:r>
              <w:rPr>
                <w:rFonts w:hint="eastAsia" w:cs="Times New Roman"/>
                <w:color w:val="auto"/>
                <w:sz w:val="24"/>
                <w:lang w:val="en-US" w:eastAsia="zh-CN" w:bidi="ar"/>
              </w:rPr>
              <w:t>口产生的</w:t>
            </w:r>
            <w:r>
              <w:rPr>
                <w:rFonts w:hint="eastAsia" w:ascii="Times New Roman" w:hAnsi="Times New Roman" w:eastAsia="宋体" w:cs="Times New Roman"/>
                <w:color w:val="auto"/>
                <w:sz w:val="24"/>
                <w:lang w:val="en-US" w:eastAsia="zh-CN" w:bidi="ar"/>
              </w:rPr>
              <w:t>粉尘采用2台旋风除尘处理后无组织排放</w:t>
            </w:r>
            <w:r>
              <w:rPr>
                <w:rFonts w:hint="eastAsia" w:cs="Times New Roman"/>
                <w:color w:val="auto"/>
                <w:sz w:val="24"/>
                <w:lang w:val="en-US" w:eastAsia="zh-CN" w:bidi="ar"/>
              </w:rPr>
              <w:t>；</w:t>
            </w:r>
          </w:p>
          <w:p w14:paraId="66AB7D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cs="Times New Roman"/>
                <w:color w:val="auto"/>
                <w:sz w:val="24"/>
                <w:lang w:val="en-US" w:eastAsia="zh-CN" w:bidi="ar"/>
              </w:rPr>
            </w:pPr>
            <w:r>
              <w:rPr>
                <w:rFonts w:hint="eastAsia" w:cs="Times New Roman"/>
                <w:color w:val="auto"/>
                <w:sz w:val="24"/>
                <w:lang w:val="en-US" w:eastAsia="zh-CN" w:bidi="ar"/>
              </w:rPr>
              <w:t>④</w:t>
            </w:r>
            <w:r>
              <w:rPr>
                <w:rFonts w:hint="eastAsia" w:ascii="Times New Roman" w:hAnsi="Times New Roman" w:eastAsia="宋体" w:cs="Times New Roman"/>
                <w:color w:val="auto"/>
                <w:sz w:val="24"/>
                <w:lang w:val="en-US" w:eastAsia="zh-CN" w:bidi="ar"/>
              </w:rPr>
              <w:t>本次以新代老环保措施提出：在</w:t>
            </w:r>
            <w:r>
              <w:rPr>
                <w:rFonts w:hint="eastAsia" w:cs="Times New Roman"/>
                <w:color w:val="auto"/>
                <w:sz w:val="24"/>
                <w:lang w:val="en-US" w:eastAsia="zh-CN" w:bidi="ar"/>
              </w:rPr>
              <w:t>甲</w:t>
            </w:r>
            <w:r>
              <w:rPr>
                <w:rFonts w:hint="eastAsia" w:ascii="Times New Roman" w:hAnsi="Times New Roman" w:eastAsia="宋体" w:cs="Times New Roman"/>
                <w:color w:val="auto"/>
                <w:sz w:val="24"/>
                <w:lang w:val="en-US" w:eastAsia="zh-CN" w:bidi="ar"/>
              </w:rPr>
              <w:t>类仓库</w:t>
            </w:r>
            <w:r>
              <w:rPr>
                <w:rFonts w:hint="eastAsia" w:cs="Times New Roman"/>
                <w:color w:val="auto"/>
                <w:sz w:val="24"/>
                <w:lang w:val="en-US" w:eastAsia="zh-CN" w:bidi="ar"/>
              </w:rPr>
              <w:t>西侧</w:t>
            </w:r>
            <w:r>
              <w:rPr>
                <w:rFonts w:hint="eastAsia" w:ascii="Times New Roman" w:hAnsi="Times New Roman" w:eastAsia="宋体" w:cs="Times New Roman"/>
                <w:color w:val="auto"/>
                <w:sz w:val="24"/>
                <w:lang w:val="en-US" w:eastAsia="zh-CN" w:bidi="ar"/>
              </w:rPr>
              <w:t>隔出1间面积为15m</w:t>
            </w:r>
            <w:r>
              <w:rPr>
                <w:rFonts w:hint="eastAsia" w:ascii="Times New Roman" w:hAnsi="Times New Roman" w:eastAsia="宋体" w:cs="Times New Roman"/>
                <w:color w:val="auto"/>
                <w:sz w:val="24"/>
                <w:vertAlign w:val="superscript"/>
                <w:lang w:val="en-US" w:eastAsia="zh-CN" w:bidi="ar"/>
              </w:rPr>
              <w:t>2</w:t>
            </w:r>
            <w:r>
              <w:rPr>
                <w:rFonts w:hint="eastAsia" w:ascii="Times New Roman" w:hAnsi="Times New Roman" w:eastAsia="宋体" w:cs="Times New Roman"/>
                <w:color w:val="auto"/>
                <w:sz w:val="24"/>
                <w:lang w:val="en-US" w:eastAsia="zh-CN" w:bidi="ar"/>
              </w:rPr>
              <w:t>的危废暂存间，严格按照《危险废物贮存污染控制标准》（GB18597-2001）及其修改单要求中相关要求规范设置。</w:t>
            </w:r>
            <w:r>
              <w:rPr>
                <w:rFonts w:hint="eastAsia" w:cs="Times New Roman"/>
                <w:color w:val="auto"/>
                <w:sz w:val="24"/>
                <w:lang w:val="en-US" w:eastAsia="zh-CN" w:bidi="ar"/>
              </w:rPr>
              <w:t xml:space="preserve">    </w:t>
            </w:r>
          </w:p>
          <w:p w14:paraId="4273EA8F">
            <w:pPr>
              <w:pStyle w:val="19"/>
              <w:keepNext w:val="0"/>
              <w:keepLines w:val="0"/>
              <w:suppressLineNumbers w:val="0"/>
              <w:spacing w:before="0" w:beforeAutospacing="0" w:afterAutospacing="0"/>
              <w:ind w:right="0"/>
              <w:rPr>
                <w:rFonts w:hint="eastAsia" w:cs="Times New Roman"/>
                <w:color w:val="auto"/>
                <w:sz w:val="24"/>
                <w:lang w:val="en-US" w:eastAsia="zh-CN" w:bidi="ar"/>
              </w:rPr>
            </w:pPr>
          </w:p>
          <w:p w14:paraId="361279D7">
            <w:pPr>
              <w:pStyle w:val="20"/>
              <w:keepNext w:val="0"/>
              <w:keepLines w:val="0"/>
              <w:suppressLineNumbers w:val="0"/>
              <w:spacing w:beforeAutospacing="0" w:afterAutospacing="0"/>
              <w:ind w:left="0"/>
              <w:rPr>
                <w:rFonts w:hint="eastAsia" w:cs="Times New Roman"/>
                <w:color w:val="auto"/>
                <w:sz w:val="24"/>
                <w:lang w:val="en-US" w:eastAsia="zh-CN" w:bidi="ar"/>
              </w:rPr>
            </w:pPr>
          </w:p>
          <w:p w14:paraId="137803B6">
            <w:pPr>
              <w:keepNext w:val="0"/>
              <w:keepLines w:val="0"/>
              <w:suppressLineNumbers w:val="0"/>
              <w:spacing w:before="0" w:beforeAutospacing="0" w:after="0" w:afterAutospacing="0"/>
              <w:ind w:left="0" w:right="0"/>
              <w:rPr>
                <w:rFonts w:hint="eastAsia" w:cs="Times New Roman"/>
                <w:color w:val="auto"/>
                <w:sz w:val="24"/>
                <w:lang w:val="en-US" w:eastAsia="zh-CN" w:bidi="ar"/>
              </w:rPr>
            </w:pPr>
          </w:p>
          <w:p w14:paraId="67186164">
            <w:pPr>
              <w:pStyle w:val="19"/>
              <w:keepNext w:val="0"/>
              <w:keepLines w:val="0"/>
              <w:suppressLineNumbers w:val="0"/>
              <w:spacing w:before="0" w:beforeAutospacing="0" w:afterAutospacing="0"/>
              <w:ind w:right="0"/>
              <w:rPr>
                <w:rFonts w:hint="eastAsia" w:cs="Times New Roman"/>
                <w:color w:val="auto"/>
                <w:sz w:val="24"/>
                <w:lang w:val="en-US" w:eastAsia="zh-CN" w:bidi="ar"/>
              </w:rPr>
            </w:pPr>
          </w:p>
          <w:p w14:paraId="0BA07050">
            <w:pPr>
              <w:pStyle w:val="20"/>
              <w:keepNext w:val="0"/>
              <w:keepLines w:val="0"/>
              <w:suppressLineNumbers w:val="0"/>
              <w:spacing w:beforeAutospacing="0" w:afterAutospacing="0"/>
              <w:ind w:left="0"/>
              <w:rPr>
                <w:rFonts w:hint="eastAsia" w:cs="Times New Roman"/>
                <w:color w:val="auto"/>
                <w:sz w:val="24"/>
                <w:lang w:val="en-US" w:eastAsia="zh-CN" w:bidi="ar"/>
              </w:rPr>
            </w:pPr>
          </w:p>
          <w:p w14:paraId="2110C13E">
            <w:pPr>
              <w:keepNext w:val="0"/>
              <w:keepLines w:val="0"/>
              <w:suppressLineNumbers w:val="0"/>
              <w:spacing w:before="0" w:beforeAutospacing="0" w:after="0" w:afterAutospacing="0"/>
              <w:ind w:left="0" w:right="0"/>
              <w:rPr>
                <w:rFonts w:hint="eastAsia" w:cs="Times New Roman"/>
                <w:color w:val="auto"/>
                <w:sz w:val="24"/>
                <w:lang w:val="en-US" w:eastAsia="zh-CN" w:bidi="ar"/>
              </w:rPr>
            </w:pPr>
          </w:p>
          <w:p w14:paraId="14675582">
            <w:pPr>
              <w:pStyle w:val="19"/>
              <w:keepNext w:val="0"/>
              <w:keepLines w:val="0"/>
              <w:suppressLineNumbers w:val="0"/>
              <w:spacing w:before="0" w:beforeAutospacing="0" w:afterAutospacing="0"/>
              <w:ind w:right="0"/>
              <w:rPr>
                <w:rFonts w:hint="eastAsia" w:cs="Times New Roman"/>
                <w:color w:val="auto"/>
                <w:sz w:val="24"/>
                <w:lang w:val="en-US" w:eastAsia="zh-CN" w:bidi="ar"/>
              </w:rPr>
            </w:pPr>
          </w:p>
          <w:p w14:paraId="12ACDCA5">
            <w:pPr>
              <w:pStyle w:val="20"/>
              <w:keepNext w:val="0"/>
              <w:keepLines w:val="0"/>
              <w:suppressLineNumbers w:val="0"/>
              <w:spacing w:beforeAutospacing="0" w:afterAutospacing="0"/>
              <w:ind w:left="0"/>
              <w:rPr>
                <w:rFonts w:hint="eastAsia" w:cs="Times New Roman"/>
                <w:color w:val="auto"/>
                <w:sz w:val="24"/>
                <w:lang w:val="en-US" w:eastAsia="zh-CN" w:bidi="ar"/>
              </w:rPr>
            </w:pPr>
          </w:p>
          <w:p w14:paraId="05B73817">
            <w:pPr>
              <w:keepNext w:val="0"/>
              <w:keepLines w:val="0"/>
              <w:suppressLineNumbers w:val="0"/>
              <w:spacing w:before="0" w:beforeAutospacing="0" w:after="0" w:afterAutospacing="0"/>
              <w:ind w:left="0" w:right="0"/>
              <w:rPr>
                <w:rFonts w:hint="eastAsia" w:cs="Times New Roman"/>
                <w:color w:val="auto"/>
                <w:sz w:val="24"/>
                <w:lang w:val="en-US" w:eastAsia="zh-CN" w:bidi="ar"/>
              </w:rPr>
            </w:pPr>
          </w:p>
          <w:p w14:paraId="23077184">
            <w:pPr>
              <w:pStyle w:val="19"/>
              <w:keepNext w:val="0"/>
              <w:keepLines w:val="0"/>
              <w:suppressLineNumbers w:val="0"/>
              <w:spacing w:before="0" w:beforeAutospacing="0" w:afterAutospacing="0"/>
              <w:ind w:right="0"/>
              <w:rPr>
                <w:rFonts w:hint="eastAsia" w:cs="Times New Roman"/>
                <w:color w:val="auto"/>
                <w:sz w:val="24"/>
                <w:lang w:val="en-US" w:eastAsia="zh-CN" w:bidi="ar"/>
              </w:rPr>
            </w:pPr>
          </w:p>
          <w:p w14:paraId="149C1CB0">
            <w:pPr>
              <w:pStyle w:val="20"/>
              <w:keepNext w:val="0"/>
              <w:keepLines w:val="0"/>
              <w:suppressLineNumbers w:val="0"/>
              <w:spacing w:beforeAutospacing="0" w:afterAutospacing="0"/>
              <w:ind w:left="0"/>
              <w:rPr>
                <w:rFonts w:hint="eastAsia" w:cs="Times New Roman"/>
                <w:color w:val="auto"/>
                <w:sz w:val="24"/>
                <w:lang w:val="en-US" w:eastAsia="zh-CN" w:bidi="ar"/>
              </w:rPr>
            </w:pPr>
          </w:p>
          <w:p w14:paraId="50F152DD">
            <w:pPr>
              <w:pStyle w:val="20"/>
              <w:keepNext w:val="0"/>
              <w:keepLines w:val="0"/>
              <w:suppressLineNumbers w:val="0"/>
              <w:spacing w:beforeAutospacing="0" w:afterAutospacing="0"/>
              <w:ind w:left="0"/>
              <w:rPr>
                <w:rFonts w:hint="eastAsia" w:cs="Times New Roman"/>
                <w:color w:val="auto"/>
                <w:sz w:val="24"/>
                <w:lang w:val="en-US" w:eastAsia="zh-CN" w:bidi="ar"/>
              </w:rPr>
            </w:pPr>
          </w:p>
          <w:p w14:paraId="164B67D7">
            <w:pPr>
              <w:keepNext w:val="0"/>
              <w:keepLines w:val="0"/>
              <w:suppressLineNumbers w:val="0"/>
              <w:spacing w:before="0" w:beforeAutospacing="0" w:after="0" w:afterAutospacing="0"/>
              <w:ind w:left="0" w:right="0"/>
              <w:rPr>
                <w:rFonts w:hint="eastAsia" w:cs="Times New Roman"/>
                <w:color w:val="auto"/>
                <w:sz w:val="24"/>
                <w:lang w:val="en-US" w:eastAsia="zh-CN" w:bidi="ar"/>
              </w:rPr>
            </w:pPr>
          </w:p>
          <w:p w14:paraId="73ECA6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Times New Roman" w:hAnsi="Times New Roman" w:eastAsia="宋体" w:cs="Times New Roman"/>
                <w:color w:val="auto"/>
                <w:sz w:val="24"/>
                <w:lang w:val="en-US" w:eastAsia="zh-CN" w:bidi="ar"/>
              </w:rPr>
            </w:pPr>
          </w:p>
          <w:p w14:paraId="707D3F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default" w:ascii="Times New Roman" w:hAnsi="Times New Roman" w:eastAsia="宋体" w:cs="Times New Roman"/>
                <w:bCs/>
                <w:color w:val="auto"/>
                <w:szCs w:val="21"/>
                <w:lang w:val="en-US" w:eastAsia="zh-CN"/>
              </w:rPr>
            </w:pPr>
          </w:p>
        </w:tc>
      </w:tr>
    </w:tbl>
    <w:p w14:paraId="2C630D95">
      <w:pPr>
        <w:pStyle w:val="26"/>
        <w:jc w:val="center"/>
        <w:rPr>
          <w:rFonts w:hint="default" w:ascii="Times New Roman" w:hAnsi="Times New Roman" w:eastAsia="宋体" w:cs="Times New Roman"/>
          <w:snapToGrid w:val="0"/>
          <w:color w:val="auto"/>
          <w:sz w:val="36"/>
          <w:szCs w:val="36"/>
        </w:rPr>
        <w:sectPr>
          <w:pgSz w:w="11906" w:h="16838"/>
          <w:pgMar w:top="1701" w:right="1531" w:bottom="1701" w:left="1531" w:header="851" w:footer="851" w:gutter="0"/>
          <w:pgNumType w:fmt="decimal"/>
          <w:cols w:space="720" w:num="1"/>
          <w:docGrid w:linePitch="312" w:charSpace="0"/>
        </w:sectPr>
      </w:pPr>
    </w:p>
    <w:p w14:paraId="37DD33E0">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bookmarkStart w:id="9" w:name="_Toc30321"/>
      <w:r>
        <w:rPr>
          <w:rFonts w:hint="default" w:ascii="Times New Roman" w:hAnsi="Times New Roman" w:eastAsia="宋体" w:cs="Times New Roman"/>
          <w:b/>
          <w:bCs/>
          <w:snapToGrid w:val="0"/>
          <w:color w:val="auto"/>
          <w:sz w:val="30"/>
          <w:szCs w:val="30"/>
        </w:rPr>
        <w:t>三、区域环境质量现状、环境保护目标及评价标准</w:t>
      </w:r>
      <w:bookmarkEnd w:id="9"/>
    </w:p>
    <w:tbl>
      <w:tblPr>
        <w:tblStyle w:val="28"/>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8632"/>
      </w:tblGrid>
      <w:tr w14:paraId="5CD9BC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noWrap w:val="0"/>
            <w:vAlign w:val="center"/>
          </w:tcPr>
          <w:p w14:paraId="7CCB01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区域</w:t>
            </w:r>
          </w:p>
          <w:p w14:paraId="27F1BB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14:paraId="579815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质量</w:t>
            </w:r>
          </w:p>
          <w:p w14:paraId="5243C4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现状</w:t>
            </w:r>
          </w:p>
        </w:tc>
        <w:tc>
          <w:tcPr>
            <w:tcW w:w="8190" w:type="dxa"/>
            <w:noWrap w:val="0"/>
            <w:vAlign w:val="center"/>
          </w:tcPr>
          <w:p w14:paraId="2DB58DE8">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环境空气质量</w:t>
            </w:r>
            <w:r>
              <w:rPr>
                <w:rFonts w:hint="default" w:ascii="Times New Roman" w:hAnsi="Times New Roman" w:eastAsia="宋体" w:cs="Times New Roman"/>
                <w:b/>
                <w:bCs/>
                <w:color w:val="auto"/>
                <w:kern w:val="0"/>
                <w:sz w:val="24"/>
                <w:szCs w:val="24"/>
                <w:lang w:eastAsia="zh-CN"/>
              </w:rPr>
              <w:t>现状</w:t>
            </w:r>
          </w:p>
          <w:p w14:paraId="2B8A37DD">
            <w:pPr>
              <w:pStyle w:val="92"/>
              <w:keepNext w:val="0"/>
              <w:keepLines w:val="0"/>
              <w:suppressLineNumbers w:val="0"/>
              <w:spacing w:before="0" w:beforeAutospacing="0" w:after="0" w:afterAutospacing="0"/>
              <w:ind w:left="0" w:right="0" w:firstLine="48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（1）基本污染物</w:t>
            </w:r>
          </w:p>
          <w:p w14:paraId="09CDE5A6">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项目位于</w:t>
            </w:r>
            <w:r>
              <w:rPr>
                <w:rFonts w:hint="eastAsia" w:ascii="Times New Roman" w:hAnsi="Times New Roman" w:eastAsia="宋体" w:cs="Times New Roman"/>
                <w:color w:val="auto"/>
                <w:sz w:val="24"/>
                <w:szCs w:val="22"/>
                <w:highlight w:val="none"/>
                <w:lang w:val="en-US" w:eastAsia="zh-CN"/>
              </w:rPr>
              <w:t>白石岩—大白坡片区</w:t>
            </w:r>
            <w:r>
              <w:rPr>
                <w:rFonts w:hint="eastAsia" w:cs="Times New Roman"/>
                <w:color w:val="auto"/>
                <w:sz w:val="24"/>
                <w:szCs w:val="22"/>
                <w:highlight w:val="none"/>
                <w:lang w:val="en-US" w:eastAsia="zh-CN"/>
              </w:rPr>
              <w:t>哨箐</w:t>
            </w:r>
            <w:r>
              <w:rPr>
                <w:rFonts w:hint="eastAsia" w:ascii="Times New Roman" w:hAnsi="Times New Roman" w:eastAsia="宋体" w:cs="Times New Roman"/>
                <w:color w:val="auto"/>
                <w:sz w:val="24"/>
                <w:szCs w:val="22"/>
                <w:highlight w:val="none"/>
                <w:lang w:val="en-US" w:eastAsia="zh-CN"/>
              </w:rPr>
              <w:t>组团</w:t>
            </w:r>
            <w:r>
              <w:rPr>
                <w:rFonts w:hint="default" w:ascii="Times New Roman" w:hAnsi="Times New Roman" w:cs="Times New Roman"/>
                <w:color w:val="auto"/>
                <w:sz w:val="24"/>
                <w:szCs w:val="22"/>
                <w:highlight w:val="none"/>
              </w:rPr>
              <w:t>，根据环</w:t>
            </w:r>
            <w:r>
              <w:rPr>
                <w:rFonts w:hint="default" w:ascii="Times New Roman" w:hAnsi="Times New Roman" w:cs="Times New Roman"/>
                <w:color w:val="auto"/>
                <w:sz w:val="24"/>
                <w:highlight w:val="none"/>
              </w:rPr>
              <w:t>境空气质量功能区划分原则及项目周围环境情况</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项目区</w:t>
            </w:r>
            <w:r>
              <w:rPr>
                <w:rFonts w:hint="default" w:ascii="Times New Roman" w:hAnsi="Times New Roman" w:cs="Times New Roman"/>
                <w:color w:val="auto"/>
                <w:sz w:val="24"/>
                <w:highlight w:val="none"/>
              </w:rPr>
              <w:t>属于《环境空气质量标准》（GB3095-2012）二类功能区，执行《环境空气质量标准》（GB3095-2012）二级标准。</w:t>
            </w:r>
          </w:p>
          <w:p w14:paraId="75F4BC0D">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1年度昆明市生态环境状况公报》：2021年，各县（市）区环境空气质量总体保持良好。与2020年相比，安宁市、禄劝县环境空气综合污染指数有所下降，东川区、石林县、嵩明县、富民县、宜良县、寻甸县和阳宗海风景名胜区环境空气综合污染指数有所上升。</w:t>
            </w:r>
          </w:p>
          <w:p w14:paraId="6B939D21">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sz w:val="24"/>
                <w:szCs w:val="24"/>
                <w:highlight w:val="none"/>
                <w:lang w:val="en-US" w:eastAsia="zh-CN"/>
              </w:rPr>
              <w:t>因此，</w:t>
            </w:r>
            <w:r>
              <w:rPr>
                <w:rFonts w:hint="default" w:ascii="Times New Roman" w:hAnsi="Times New Roman" w:eastAsia="宋体" w:cs="Times New Roman"/>
                <w:color w:val="auto"/>
                <w:kern w:val="0"/>
                <w:sz w:val="24"/>
                <w:highlight w:val="none"/>
              </w:rPr>
              <w:t>项目选址区属于环境空气质量达标区。</w:t>
            </w:r>
          </w:p>
          <w:p w14:paraId="46A551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）其它污染物</w:t>
            </w:r>
          </w:p>
          <w:p w14:paraId="6C1811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根据项目工程分析，本项目的特征污染物主要为颗粒物</w:t>
            </w:r>
            <w:r>
              <w:rPr>
                <w:rFonts w:hint="eastAsia"/>
                <w:color w:val="auto"/>
                <w:sz w:val="24"/>
                <w:szCs w:val="24"/>
                <w:highlight w:val="none"/>
                <w:lang w:eastAsia="zh-CN"/>
              </w:rPr>
              <w:t>、</w:t>
            </w:r>
            <w:r>
              <w:rPr>
                <w:rFonts w:hint="default" w:ascii="Times New Roman" w:hAnsi="Times New Roman"/>
                <w:color w:val="auto"/>
                <w:sz w:val="24"/>
                <w:szCs w:val="24"/>
                <w:highlight w:val="none"/>
              </w:rPr>
              <w:t>挥发性有机物（</w:t>
            </w:r>
            <w:r>
              <w:rPr>
                <w:rFonts w:hint="eastAsia"/>
                <w:color w:val="auto"/>
                <w:sz w:val="24"/>
                <w:szCs w:val="24"/>
                <w:highlight w:val="none"/>
                <w:lang w:val="en-US" w:eastAsia="zh-CN"/>
              </w:rPr>
              <w:t>以</w:t>
            </w:r>
            <w:r>
              <w:rPr>
                <w:rFonts w:hint="default" w:ascii="Times New Roman" w:hAnsi="Times New Roman"/>
                <w:color w:val="auto"/>
                <w:sz w:val="24"/>
                <w:szCs w:val="24"/>
                <w:highlight w:val="none"/>
              </w:rPr>
              <w:t>非甲烷总烃</w:t>
            </w:r>
            <w:r>
              <w:rPr>
                <w:rFonts w:hint="eastAsia"/>
                <w:color w:val="auto"/>
                <w:sz w:val="24"/>
                <w:szCs w:val="24"/>
                <w:highlight w:val="none"/>
                <w:lang w:val="en-US" w:eastAsia="zh-CN"/>
              </w:rPr>
              <w:t>计</w:t>
            </w:r>
            <w:r>
              <w:rPr>
                <w:rFonts w:hint="default" w:ascii="Times New Roman" w:hAnsi="Times New Roman"/>
                <w:color w:val="auto"/>
                <w:sz w:val="24"/>
                <w:szCs w:val="24"/>
                <w:highlight w:val="none"/>
              </w:rPr>
              <w:t>）。根据《建设项目环境影响报告表编制技术指南（污染影响类）》中“1.大气环境。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64428C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eastAsia" w:ascii="Times New Roman" w:hAnsi="Times New Roman"/>
                <w:color w:val="auto"/>
                <w:sz w:val="24"/>
                <w:szCs w:val="24"/>
                <w:lang w:val="en-US" w:eastAsia="zh-CN"/>
              </w:rPr>
              <w:t>根据调查，《</w:t>
            </w:r>
            <w:r>
              <w:rPr>
                <w:rFonts w:hint="eastAsia" w:ascii="Times New Roman" w:hAnsi="Times New Roman" w:cs="Times New Roman"/>
                <w:color w:val="auto"/>
                <w:sz w:val="24"/>
                <w:szCs w:val="24"/>
                <w:highlight w:val="none"/>
                <w:lang w:val="en-US" w:eastAsia="zh-CN"/>
              </w:rPr>
              <w:t>昆明恩茂工贸有限责任公司固液分离设备专用配套件斜板、斜管类生产线项目</w:t>
            </w:r>
            <w:r>
              <w:rPr>
                <w:rFonts w:hint="eastAsia" w:ascii="Times New Roman" w:hAnsi="Times New Roman"/>
                <w:color w:val="auto"/>
                <w:sz w:val="24"/>
                <w:szCs w:val="24"/>
                <w:lang w:val="en-US" w:eastAsia="zh-CN"/>
              </w:rPr>
              <w:t>环境影响报告表》编制时委托</w:t>
            </w:r>
            <w:r>
              <w:rPr>
                <w:rFonts w:hint="default" w:ascii="Times New Roman" w:hAnsi="Times New Roman"/>
                <w:color w:val="auto"/>
                <w:sz w:val="24"/>
                <w:szCs w:val="24"/>
              </w:rPr>
              <w:t>云南长源检测技术有限公司于202</w:t>
            </w:r>
            <w:r>
              <w:rPr>
                <w:rFonts w:hint="eastAsia" w:ascii="Times New Roman" w:hAnsi="Times New Roman"/>
                <w:color w:val="auto"/>
                <w:sz w:val="24"/>
                <w:szCs w:val="24"/>
                <w:lang w:val="en-US" w:eastAsia="zh-CN"/>
              </w:rPr>
              <w:t>2</w:t>
            </w:r>
            <w:r>
              <w:rPr>
                <w:rFonts w:hint="default" w:ascii="Times New Roman" w:hAnsi="Times New Roman"/>
                <w:color w:val="auto"/>
                <w:sz w:val="24"/>
                <w:szCs w:val="24"/>
              </w:rPr>
              <w:t>年</w:t>
            </w:r>
            <w:r>
              <w:rPr>
                <w:rFonts w:hint="eastAsia" w:ascii="Times New Roman" w:hAnsi="Times New Roman"/>
                <w:color w:val="auto"/>
                <w:sz w:val="24"/>
                <w:szCs w:val="24"/>
                <w:lang w:val="en-US" w:eastAsia="zh-CN"/>
              </w:rPr>
              <w:t>05</w:t>
            </w:r>
            <w:r>
              <w:rPr>
                <w:rFonts w:hint="default" w:ascii="Times New Roman" w:hAnsi="Times New Roman"/>
                <w:color w:val="auto"/>
                <w:sz w:val="24"/>
                <w:szCs w:val="24"/>
              </w:rPr>
              <w:t>月</w:t>
            </w:r>
            <w:r>
              <w:rPr>
                <w:rFonts w:hint="eastAsia" w:ascii="Times New Roman" w:hAnsi="Times New Roman"/>
                <w:color w:val="auto"/>
                <w:sz w:val="24"/>
                <w:szCs w:val="24"/>
                <w:lang w:val="en-US" w:eastAsia="zh-CN"/>
              </w:rPr>
              <w:t>11</w:t>
            </w:r>
            <w:r>
              <w:rPr>
                <w:rFonts w:hint="default" w:ascii="Times New Roman" w:hAnsi="Times New Roman"/>
                <w:color w:val="auto"/>
                <w:sz w:val="24"/>
                <w:szCs w:val="24"/>
              </w:rPr>
              <w:t>日至</w:t>
            </w:r>
            <w:r>
              <w:rPr>
                <w:rFonts w:hint="eastAsia" w:ascii="Times New Roman" w:hAnsi="Times New Roman"/>
                <w:color w:val="auto"/>
                <w:sz w:val="24"/>
                <w:szCs w:val="24"/>
                <w:lang w:val="en-US" w:eastAsia="zh-CN"/>
              </w:rPr>
              <w:t>05</w:t>
            </w:r>
            <w:r>
              <w:rPr>
                <w:rFonts w:hint="default" w:ascii="Times New Roman" w:hAnsi="Times New Roman"/>
                <w:color w:val="auto"/>
                <w:sz w:val="24"/>
                <w:szCs w:val="24"/>
              </w:rPr>
              <w:t>月</w:t>
            </w:r>
            <w:r>
              <w:rPr>
                <w:rFonts w:hint="eastAsia" w:ascii="Times New Roman" w:hAnsi="Times New Roman"/>
                <w:color w:val="auto"/>
                <w:sz w:val="24"/>
                <w:szCs w:val="24"/>
                <w:lang w:val="en-US" w:eastAsia="zh-CN"/>
              </w:rPr>
              <w:t>13</w:t>
            </w:r>
            <w:r>
              <w:rPr>
                <w:rFonts w:hint="default" w:ascii="Times New Roman" w:hAnsi="Times New Roman"/>
                <w:color w:val="auto"/>
                <w:sz w:val="24"/>
                <w:szCs w:val="24"/>
              </w:rPr>
              <w:t>日对项目所在区域大气环境质量现状进行</w:t>
            </w:r>
            <w:r>
              <w:rPr>
                <w:rFonts w:hint="eastAsia" w:ascii="Times New Roman" w:hAnsi="Times New Roman"/>
                <w:color w:val="auto"/>
                <w:sz w:val="24"/>
                <w:szCs w:val="24"/>
                <w:lang w:val="en-US" w:eastAsia="zh-CN"/>
              </w:rPr>
              <w:t>过</w:t>
            </w:r>
            <w:r>
              <w:rPr>
                <w:rFonts w:hint="default" w:ascii="Times New Roman" w:hAnsi="Times New Roman"/>
                <w:color w:val="auto"/>
                <w:sz w:val="24"/>
                <w:szCs w:val="24"/>
              </w:rPr>
              <w:t>现状监测</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大气环境监测点位</w:t>
            </w:r>
            <w:r>
              <w:rPr>
                <w:rFonts w:hint="eastAsia" w:ascii="Times New Roman"/>
                <w:color w:val="auto"/>
                <w:sz w:val="24"/>
                <w:szCs w:val="24"/>
              </w:rPr>
              <w:t>为昆明恩茂工贸有限责任公司厂址下风向东北面123m处的</w:t>
            </w:r>
            <w:r>
              <w:rPr>
                <w:rFonts w:hint="eastAsia" w:ascii="Arial" w:hAnsi="Arial" w:cs="Arial"/>
                <w:color w:val="auto"/>
                <w:sz w:val="24"/>
                <w:szCs w:val="24"/>
              </w:rPr>
              <w:t>哨箐村散户</w:t>
            </w:r>
            <w:r>
              <w:rPr>
                <w:rFonts w:hint="eastAsia" w:ascii="Times New Roman"/>
                <w:color w:val="auto"/>
                <w:sz w:val="24"/>
                <w:szCs w:val="24"/>
              </w:rPr>
              <w:t>，位于本项目</w:t>
            </w:r>
            <w:r>
              <w:rPr>
                <w:rFonts w:hint="eastAsia" w:ascii="Times New Roman"/>
                <w:color w:val="auto"/>
                <w:sz w:val="24"/>
                <w:szCs w:val="24"/>
                <w:lang w:eastAsia="zh-CN"/>
              </w:rPr>
              <w:t>东南</w:t>
            </w:r>
            <w:r>
              <w:rPr>
                <w:rFonts w:hint="eastAsia" w:ascii="Times New Roman"/>
                <w:color w:val="auto"/>
                <w:sz w:val="24"/>
                <w:szCs w:val="24"/>
              </w:rPr>
              <w:t>面</w:t>
            </w:r>
            <w:r>
              <w:rPr>
                <w:rFonts w:hint="eastAsia" w:ascii="Times New Roman"/>
                <w:color w:val="auto"/>
                <w:sz w:val="24"/>
                <w:szCs w:val="24"/>
                <w:lang w:val="en-US" w:eastAsia="zh-CN"/>
              </w:rPr>
              <w:t>570</w:t>
            </w:r>
            <w:r>
              <w:rPr>
                <w:rFonts w:hint="eastAsia" w:ascii="Times New Roman"/>
                <w:color w:val="auto"/>
                <w:sz w:val="24"/>
                <w:szCs w:val="24"/>
              </w:rPr>
              <w:t>m处</w:t>
            </w:r>
            <w:r>
              <w:rPr>
                <w:rFonts w:hint="eastAsia" w:ascii="Times New Roman"/>
                <w:color w:val="auto"/>
                <w:sz w:val="24"/>
                <w:szCs w:val="24"/>
                <w:lang w:eastAsia="zh-CN"/>
              </w:rPr>
              <w:t>。</w:t>
            </w:r>
            <w:r>
              <w:rPr>
                <w:rFonts w:hint="default" w:ascii="Times New Roman" w:hAnsi="Times New Roman"/>
                <w:color w:val="auto"/>
                <w:sz w:val="24"/>
                <w:szCs w:val="24"/>
              </w:rPr>
              <w:t>根据《建设项目环境影响报告表编制技术指南（污染影响类）》</w:t>
            </w:r>
            <w:r>
              <w:rPr>
                <w:rFonts w:hint="eastAsia" w:ascii="Times New Roman" w:hAnsi="Times New Roman"/>
                <w:color w:val="auto"/>
                <w:sz w:val="24"/>
                <w:szCs w:val="24"/>
                <w:lang w:val="en-US" w:eastAsia="zh-CN"/>
              </w:rPr>
              <w:t>的相关要求，本项目</w:t>
            </w:r>
            <w:r>
              <w:rPr>
                <w:rFonts w:hint="default" w:ascii="Times New Roman" w:hAnsi="Times New Roman" w:cs="Times New Roman"/>
                <w:color w:val="auto"/>
                <w:sz w:val="24"/>
                <w:szCs w:val="24"/>
              </w:rPr>
              <w:t>引用</w:t>
            </w:r>
            <w:r>
              <w:rPr>
                <w:rFonts w:hint="eastAsia" w:ascii="Times New Roman" w:hAnsi="Times New Roman"/>
                <w:color w:val="auto"/>
                <w:sz w:val="24"/>
                <w:szCs w:val="24"/>
                <w:lang w:val="en-US" w:eastAsia="zh-CN"/>
              </w:rPr>
              <w:t>《</w:t>
            </w:r>
            <w:r>
              <w:rPr>
                <w:rFonts w:hint="eastAsia" w:ascii="Times New Roman" w:hAnsi="Times New Roman" w:cs="Times New Roman"/>
                <w:color w:val="auto"/>
                <w:sz w:val="24"/>
                <w:szCs w:val="24"/>
                <w:highlight w:val="none"/>
                <w:lang w:val="en-US" w:eastAsia="zh-CN"/>
              </w:rPr>
              <w:t>昆明恩茂工贸有限责任公司固液分离设备专用配套件斜板、斜管类生产线项目</w:t>
            </w:r>
            <w:r>
              <w:rPr>
                <w:rFonts w:hint="eastAsia" w:ascii="Times New Roman" w:hAnsi="Times New Roman"/>
                <w:color w:val="auto"/>
                <w:sz w:val="24"/>
                <w:szCs w:val="24"/>
                <w:lang w:val="en-US" w:eastAsia="zh-CN"/>
              </w:rPr>
              <w:t>环境影响报告表》</w:t>
            </w:r>
            <w:r>
              <w:rPr>
                <w:rFonts w:hint="default" w:ascii="Times New Roman" w:hAnsi="Times New Roman" w:cs="Times New Roman"/>
                <w:color w:val="auto"/>
                <w:sz w:val="24"/>
                <w:szCs w:val="24"/>
              </w:rPr>
              <w:t>中环境质量现状调查的监测数据可行，</w:t>
            </w:r>
            <w:r>
              <w:rPr>
                <w:rFonts w:hint="eastAsia" w:ascii="Times New Roman" w:hAnsi="Times New Roman" w:cs="Times New Roman"/>
                <w:color w:val="auto"/>
                <w:sz w:val="24"/>
                <w:szCs w:val="24"/>
                <w:lang w:val="en-US" w:eastAsia="zh-CN"/>
              </w:rPr>
              <w:t>引用</w:t>
            </w:r>
            <w:r>
              <w:rPr>
                <w:rFonts w:hint="default" w:ascii="Times New Roman" w:hAnsi="Times New Roman" w:cs="Times New Roman"/>
                <w:color w:val="auto"/>
                <w:sz w:val="24"/>
                <w:szCs w:val="24"/>
              </w:rPr>
              <w:t>监测结果见表3-</w:t>
            </w:r>
            <w:r>
              <w:rPr>
                <w:rFonts w:hint="eastAsia" w:cs="Times New Roman"/>
                <w:color w:val="auto"/>
                <w:sz w:val="24"/>
                <w:szCs w:val="24"/>
                <w:lang w:val="en-US" w:eastAsia="zh-CN"/>
              </w:rPr>
              <w:t>1</w:t>
            </w:r>
            <w:r>
              <w:rPr>
                <w:rFonts w:hint="default" w:ascii="Times New Roman" w:hAnsi="Times New Roman" w:cs="Times New Roman"/>
                <w:color w:val="auto"/>
                <w:sz w:val="24"/>
                <w:szCs w:val="24"/>
              </w:rPr>
              <w:t>。</w:t>
            </w:r>
          </w:p>
          <w:p w14:paraId="1A38D00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olor w:val="auto"/>
              </w:rPr>
            </w:pPr>
          </w:p>
          <w:p w14:paraId="2694BB91">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b/>
                <w:color w:val="auto"/>
                <w:szCs w:val="24"/>
                <w:vertAlign w:val="superscript"/>
              </w:rPr>
            </w:pPr>
            <w:r>
              <w:rPr>
                <w:rFonts w:hint="default" w:ascii="Times New Roman" w:hAnsi="Times New Roman"/>
                <w:b/>
                <w:color w:val="auto"/>
                <w:szCs w:val="24"/>
              </w:rPr>
              <w:t>表3-</w:t>
            </w:r>
            <w:r>
              <w:rPr>
                <w:rFonts w:hint="eastAsia"/>
                <w:b/>
                <w:color w:val="auto"/>
                <w:szCs w:val="24"/>
                <w:lang w:val="en-US" w:eastAsia="zh-CN"/>
              </w:rPr>
              <w:t>1</w:t>
            </w:r>
            <w:r>
              <w:rPr>
                <w:rFonts w:hint="default" w:ascii="Times New Roman" w:hAnsi="Times New Roman"/>
                <w:b/>
                <w:color w:val="auto"/>
                <w:szCs w:val="24"/>
              </w:rPr>
              <w:t xml:space="preserve">   </w:t>
            </w:r>
            <w:r>
              <w:rPr>
                <w:rFonts w:hint="eastAsia" w:ascii="Times New Roman" w:hAnsi="Times New Roman"/>
                <w:b/>
                <w:color w:val="auto"/>
                <w:szCs w:val="24"/>
                <w:lang w:val="en-US" w:eastAsia="zh-CN"/>
              </w:rPr>
              <w:t>引用</w:t>
            </w:r>
            <w:r>
              <w:rPr>
                <w:rFonts w:hint="default" w:ascii="Times New Roman" w:hAnsi="Times New Roman"/>
                <w:b/>
                <w:color w:val="auto"/>
                <w:szCs w:val="24"/>
              </w:rPr>
              <w:t>监测点环境空气质量现状评价结果    单位：mg/m</w:t>
            </w:r>
            <w:r>
              <w:rPr>
                <w:rFonts w:hint="default" w:ascii="Times New Roman" w:hAnsi="Times New Roman"/>
                <w:b/>
                <w:color w:val="auto"/>
                <w:szCs w:val="24"/>
                <w:vertAlign w:val="superscript"/>
              </w:rPr>
              <w:t>3</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997"/>
              <w:gridCol w:w="1317"/>
              <w:gridCol w:w="1317"/>
              <w:gridCol w:w="1012"/>
              <w:gridCol w:w="812"/>
              <w:gridCol w:w="1030"/>
              <w:gridCol w:w="1188"/>
              <w:gridCol w:w="728"/>
            </w:tblGrid>
            <w:tr w14:paraId="2063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8" w:hRule="atLeast"/>
                <w:jc w:val="center"/>
              </w:trPr>
              <w:tc>
                <w:tcPr>
                  <w:tcW w:w="655" w:type="pct"/>
                  <w:vMerge w:val="restart"/>
                  <w:noWrap w:val="0"/>
                  <w:vAlign w:val="center"/>
                </w:tcPr>
                <w:p w14:paraId="2A94652C">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1285" w:type="pct"/>
                  <w:gridSpan w:val="2"/>
                  <w:noWrap w:val="0"/>
                  <w:vAlign w:val="center"/>
                </w:tcPr>
                <w:p w14:paraId="20DCEED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地理位置</w:t>
                  </w:r>
                </w:p>
              </w:tc>
              <w:tc>
                <w:tcPr>
                  <w:tcW w:w="664" w:type="pct"/>
                  <w:vMerge w:val="restart"/>
                  <w:noWrap w:val="0"/>
                  <w:vAlign w:val="center"/>
                </w:tcPr>
                <w:p w14:paraId="00BAD1A0">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545" w:type="pct"/>
                  <w:vMerge w:val="restart"/>
                  <w:noWrap w:val="0"/>
                  <w:vAlign w:val="center"/>
                </w:tcPr>
                <w:p w14:paraId="5517B8E8">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平均时间</w:t>
                  </w:r>
                </w:p>
              </w:tc>
              <w:tc>
                <w:tcPr>
                  <w:tcW w:w="586" w:type="pct"/>
                  <w:vMerge w:val="restart"/>
                  <w:noWrap w:val="0"/>
                  <w:vAlign w:val="center"/>
                </w:tcPr>
                <w:p w14:paraId="44FF418A">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768" w:type="pct"/>
                  <w:vMerge w:val="restart"/>
                  <w:noWrap w:val="0"/>
                  <w:vAlign w:val="center"/>
                </w:tcPr>
                <w:p w14:paraId="73165090">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监测浓度范围/（μg/m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494" w:type="pct"/>
                  <w:vMerge w:val="restart"/>
                  <w:noWrap w:val="0"/>
                  <w:vAlign w:val="center"/>
                </w:tcPr>
                <w:p w14:paraId="473C5920">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tr w14:paraId="3F9E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09" w:hRule="atLeast"/>
                <w:jc w:val="center"/>
              </w:trPr>
              <w:tc>
                <w:tcPr>
                  <w:tcW w:w="655" w:type="pct"/>
                  <w:vMerge w:val="continue"/>
                  <w:noWrap w:val="0"/>
                  <w:vAlign w:val="center"/>
                </w:tcPr>
                <w:p w14:paraId="65986677">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45" w:type="pct"/>
                  <w:noWrap w:val="0"/>
                  <w:vAlign w:val="center"/>
                </w:tcPr>
                <w:p w14:paraId="45ACC35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640" w:type="pct"/>
                  <w:noWrap w:val="0"/>
                  <w:vAlign w:val="center"/>
                </w:tcPr>
                <w:p w14:paraId="7B6794E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664" w:type="pct"/>
                  <w:vMerge w:val="continue"/>
                  <w:noWrap w:val="0"/>
                  <w:vAlign w:val="center"/>
                </w:tcPr>
                <w:p w14:paraId="25B7130C">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545" w:type="pct"/>
                  <w:vMerge w:val="continue"/>
                  <w:noWrap w:val="0"/>
                  <w:vAlign w:val="center"/>
                </w:tcPr>
                <w:p w14:paraId="1F2AD26F">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586" w:type="pct"/>
                  <w:vMerge w:val="continue"/>
                  <w:noWrap w:val="0"/>
                  <w:vAlign w:val="center"/>
                </w:tcPr>
                <w:p w14:paraId="47BBCEFF">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68" w:type="pct"/>
                  <w:vMerge w:val="continue"/>
                  <w:noWrap w:val="0"/>
                  <w:vAlign w:val="center"/>
                </w:tcPr>
                <w:p w14:paraId="5CF89814">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94" w:type="pct"/>
                  <w:vMerge w:val="continue"/>
                  <w:noWrap w:val="0"/>
                  <w:vAlign w:val="center"/>
                </w:tcPr>
                <w:p w14:paraId="2C6F49DE">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0673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82" w:hRule="atLeast"/>
                <w:jc w:val="center"/>
              </w:trPr>
              <w:tc>
                <w:tcPr>
                  <w:tcW w:w="655" w:type="pct"/>
                  <w:vMerge w:val="restart"/>
                  <w:noWrap w:val="0"/>
                  <w:vAlign w:val="center"/>
                </w:tcPr>
                <w:p w14:paraId="292946C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哨箐村散户</w:t>
                  </w:r>
                </w:p>
              </w:tc>
              <w:tc>
                <w:tcPr>
                  <w:tcW w:w="645" w:type="pct"/>
                  <w:vMerge w:val="restart"/>
                  <w:noWrap w:val="0"/>
                  <w:vAlign w:val="center"/>
                </w:tcPr>
                <w:p w14:paraId="6848459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28</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0.453</w:t>
                  </w:r>
                  <w:r>
                    <w:rPr>
                      <w:rFonts w:hint="default" w:ascii="Times New Roman" w:hAnsi="Times New Roman" w:cs="Times New Roman"/>
                      <w:color w:val="auto"/>
                      <w:sz w:val="21"/>
                      <w:szCs w:val="21"/>
                      <w:highlight w:val="none"/>
                      <w:lang w:val="en-US" w:eastAsia="zh-CN"/>
                    </w:rPr>
                    <w:t>″</w:t>
                  </w:r>
                </w:p>
              </w:tc>
              <w:tc>
                <w:tcPr>
                  <w:tcW w:w="640" w:type="pct"/>
                  <w:vMerge w:val="restart"/>
                  <w:noWrap w:val="0"/>
                  <w:vAlign w:val="center"/>
                </w:tcPr>
                <w:p w14:paraId="569D651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55.922</w:t>
                  </w:r>
                  <w:r>
                    <w:rPr>
                      <w:rFonts w:hint="default" w:ascii="Times New Roman" w:hAnsi="Times New Roman" w:cs="Times New Roman"/>
                      <w:color w:val="auto"/>
                      <w:sz w:val="21"/>
                      <w:szCs w:val="21"/>
                      <w:highlight w:val="none"/>
                      <w:lang w:val="en-US" w:eastAsia="zh-CN"/>
                    </w:rPr>
                    <w:t>″</w:t>
                  </w:r>
                </w:p>
              </w:tc>
              <w:tc>
                <w:tcPr>
                  <w:tcW w:w="664" w:type="pct"/>
                  <w:noWrap w:val="0"/>
                  <w:vAlign w:val="center"/>
                </w:tcPr>
                <w:p w14:paraId="7F3D9CF1">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TSP</w:t>
                  </w:r>
                </w:p>
              </w:tc>
              <w:tc>
                <w:tcPr>
                  <w:tcW w:w="545" w:type="pct"/>
                  <w:noWrap w:val="0"/>
                  <w:vAlign w:val="center"/>
                </w:tcPr>
                <w:p w14:paraId="68F011F9">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日均</w:t>
                  </w:r>
                </w:p>
              </w:tc>
              <w:tc>
                <w:tcPr>
                  <w:tcW w:w="586" w:type="pct"/>
                  <w:noWrap w:val="0"/>
                  <w:vAlign w:val="center"/>
                </w:tcPr>
                <w:p w14:paraId="50FDCF86">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300</w:t>
                  </w:r>
                </w:p>
              </w:tc>
              <w:tc>
                <w:tcPr>
                  <w:tcW w:w="768" w:type="pct"/>
                  <w:noWrap w:val="0"/>
                  <w:vAlign w:val="center"/>
                </w:tcPr>
                <w:p w14:paraId="2F1B31DE">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94</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106</w:t>
                  </w:r>
                </w:p>
              </w:tc>
              <w:tc>
                <w:tcPr>
                  <w:tcW w:w="494" w:type="pct"/>
                  <w:noWrap w:val="0"/>
                  <w:vAlign w:val="center"/>
                </w:tcPr>
                <w:p w14:paraId="5ED1B0DD">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r w14:paraId="18DB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49" w:hRule="atLeast"/>
                <w:jc w:val="center"/>
              </w:trPr>
              <w:tc>
                <w:tcPr>
                  <w:tcW w:w="655" w:type="pct"/>
                  <w:vMerge w:val="continue"/>
                  <w:noWrap w:val="0"/>
                  <w:vAlign w:val="center"/>
                </w:tcPr>
                <w:p w14:paraId="366A3FEC">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45" w:type="pct"/>
                  <w:vMerge w:val="continue"/>
                  <w:noWrap w:val="0"/>
                  <w:vAlign w:val="center"/>
                </w:tcPr>
                <w:p w14:paraId="40B6FA78">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40" w:type="pct"/>
                  <w:vMerge w:val="continue"/>
                  <w:noWrap w:val="0"/>
                  <w:vAlign w:val="center"/>
                </w:tcPr>
                <w:p w14:paraId="2AFBAACE">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64" w:type="pct"/>
                  <w:noWrap w:val="0"/>
                  <w:vAlign w:val="center"/>
                </w:tcPr>
                <w:p w14:paraId="6B95AAC0">
                  <w:pPr>
                    <w:keepNext w:val="0"/>
                    <w:keepLines w:val="0"/>
                    <w:suppressLineNumbers w:val="0"/>
                    <w:tabs>
                      <w:tab w:val="left" w:pos="180"/>
                    </w:tabs>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非甲烷总烃</w:t>
                  </w:r>
                </w:p>
              </w:tc>
              <w:tc>
                <w:tcPr>
                  <w:tcW w:w="545" w:type="pct"/>
                  <w:noWrap w:val="0"/>
                  <w:vAlign w:val="center"/>
                </w:tcPr>
                <w:p w14:paraId="2D3FDF5C">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小时</w:t>
                  </w:r>
                </w:p>
              </w:tc>
              <w:tc>
                <w:tcPr>
                  <w:tcW w:w="586" w:type="pct"/>
                  <w:noWrap w:val="0"/>
                  <w:vAlign w:val="center"/>
                </w:tcPr>
                <w:p w14:paraId="6F44A786">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2000</w:t>
                  </w:r>
                </w:p>
              </w:tc>
              <w:tc>
                <w:tcPr>
                  <w:tcW w:w="768" w:type="pct"/>
                  <w:noWrap w:val="0"/>
                  <w:vAlign w:val="center"/>
                </w:tcPr>
                <w:p w14:paraId="0CF016B3">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190</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460</w:t>
                  </w:r>
                </w:p>
              </w:tc>
              <w:tc>
                <w:tcPr>
                  <w:tcW w:w="494" w:type="pct"/>
                  <w:noWrap w:val="0"/>
                  <w:vAlign w:val="center"/>
                </w:tcPr>
                <w:p w14:paraId="23C1C214">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5CE113BE">
            <w:pPr>
              <w:keepNext w:val="0"/>
              <w:keepLines w:val="0"/>
              <w:suppressLineNumbers w:val="0"/>
              <w:spacing w:before="0" w:beforeAutospacing="0" w:after="0" w:afterAutospacing="0" w:line="360" w:lineRule="auto"/>
              <w:ind w:left="0" w:right="0" w:firstLine="480"/>
              <w:rPr>
                <w:rFonts w:hint="default" w:ascii="Times New Roman" w:hAnsi="Times New Roman"/>
                <w:color w:val="auto"/>
                <w:szCs w:val="24"/>
              </w:rPr>
            </w:pPr>
            <w:r>
              <w:rPr>
                <w:rFonts w:hint="default"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引用的</w:t>
            </w:r>
            <w:r>
              <w:rPr>
                <w:rFonts w:hint="default" w:ascii="Times New Roman" w:hAnsi="Times New Roman" w:eastAsia="宋体" w:cs="Times New Roman"/>
                <w:color w:val="auto"/>
                <w:sz w:val="24"/>
                <w:szCs w:val="24"/>
                <w:highlight w:val="none"/>
                <w:lang w:val="en-US" w:eastAsia="zh-CN"/>
              </w:rPr>
              <w:t>监测</w:t>
            </w:r>
            <w:r>
              <w:rPr>
                <w:rFonts w:hint="eastAsia" w:cs="Times New Roman"/>
                <w:color w:val="auto"/>
                <w:sz w:val="24"/>
                <w:szCs w:val="24"/>
                <w:highlight w:val="none"/>
                <w:lang w:val="en-US" w:eastAsia="zh-CN"/>
              </w:rPr>
              <w:t>数据</w:t>
            </w:r>
            <w:r>
              <w:rPr>
                <w:rFonts w:hint="default" w:ascii="Times New Roman" w:hAnsi="Times New Roman" w:eastAsia="宋体" w:cs="Times New Roman"/>
                <w:color w:val="auto"/>
                <w:sz w:val="24"/>
                <w:szCs w:val="24"/>
                <w:highlight w:val="none"/>
                <w:lang w:val="en-US" w:eastAsia="zh-CN"/>
              </w:rPr>
              <w:t>，监测点</w:t>
            </w:r>
            <w:r>
              <w:rPr>
                <w:rFonts w:hint="eastAsia" w:ascii="Times New Roman" w:hAnsi="Times New Roman" w:eastAsia="宋体" w:cs="Times New Roman"/>
                <w:color w:val="auto"/>
                <w:sz w:val="24"/>
                <w:szCs w:val="24"/>
                <w:highlight w:val="none"/>
                <w:lang w:val="en-US" w:eastAsia="zh-CN"/>
              </w:rPr>
              <w:t>哨箐村散户</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rPr>
              <w:t>小时</w:t>
            </w:r>
            <w:r>
              <w:rPr>
                <w:rFonts w:hint="eastAsia" w:ascii="Times New Roman" w:hAnsi="Times New Roman" w:eastAsia="宋体" w:cs="Times New Roman"/>
                <w:color w:val="auto"/>
                <w:sz w:val="24"/>
                <w:szCs w:val="24"/>
                <w:highlight w:val="none"/>
                <w:lang w:val="en-US" w:eastAsia="zh-CN"/>
              </w:rPr>
              <w:t>最大</w:t>
            </w:r>
            <w:r>
              <w:rPr>
                <w:rFonts w:hint="default" w:ascii="Times New Roman" w:hAnsi="Times New Roman" w:eastAsia="宋体" w:cs="Times New Roman"/>
                <w:color w:val="auto"/>
                <w:sz w:val="24"/>
                <w:szCs w:val="24"/>
                <w:highlight w:val="none"/>
              </w:rPr>
              <w:t>浓度现状监测值可满足</w:t>
            </w:r>
            <w:r>
              <w:rPr>
                <w:rFonts w:hint="eastAsia" w:ascii="Times New Roman" w:hAnsi="Times New Roman" w:eastAsia="宋体" w:cs="Times New Roman"/>
                <w:color w:val="auto"/>
                <w:sz w:val="24"/>
                <w:szCs w:val="24"/>
                <w:highlight w:val="none"/>
                <w:lang w:val="en-US" w:eastAsia="zh-CN"/>
              </w:rPr>
              <w:t>《大气污染物综合排放标准详解》的限值要求；TSP最大日均浓度</w:t>
            </w:r>
            <w:r>
              <w:rPr>
                <w:rFonts w:hint="default" w:ascii="Times New Roman" w:hAnsi="Times New Roman" w:eastAsia="宋体" w:cs="Times New Roman"/>
                <w:color w:val="auto"/>
                <w:sz w:val="24"/>
                <w:szCs w:val="24"/>
                <w:highlight w:val="none"/>
              </w:rPr>
              <w:t>现状监测值</w:t>
            </w:r>
            <w:r>
              <w:rPr>
                <w:rFonts w:hint="eastAsia" w:ascii="Times New Roman" w:hAnsi="Times New Roman" w:eastAsia="宋体" w:cs="Times New Roman"/>
                <w:color w:val="auto"/>
                <w:sz w:val="24"/>
                <w:szCs w:val="24"/>
                <w:highlight w:val="none"/>
                <w:lang w:val="en-US" w:eastAsia="zh-CN"/>
              </w:rPr>
              <w:t>可满足《环境空气质量标准》（GB3095-2012）的限值要求。</w:t>
            </w:r>
          </w:p>
          <w:p w14:paraId="66FEA659">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地表水环境质量状况</w:t>
            </w:r>
          </w:p>
          <w:p w14:paraId="3A06B14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olor w:val="auto"/>
                <w:sz w:val="24"/>
                <w:szCs w:val="24"/>
                <w:highlight w:val="none"/>
              </w:rPr>
            </w:pPr>
            <w:r>
              <w:rPr>
                <w:rFonts w:hint="eastAsia" w:ascii="Times New Roman" w:hAnsi="Times New Roman"/>
                <w:color w:val="auto"/>
                <w:sz w:val="24"/>
                <w:szCs w:val="24"/>
                <w:highlight w:val="none"/>
                <w:lang w:eastAsia="zh-CN"/>
              </w:rPr>
              <w:t>项目区附近的主要地表水体为螳螂川，</w:t>
            </w:r>
            <w:r>
              <w:rPr>
                <w:rFonts w:hint="default" w:ascii="Times New Roman" w:hAnsi="Times New Roman"/>
                <w:color w:val="auto"/>
                <w:sz w:val="24"/>
                <w:szCs w:val="24"/>
                <w:highlight w:val="none"/>
              </w:rPr>
              <w:t>螳螂川属长江流域金沙江水系支流，根据《云南省水功能区划》（2014年修订），项目所涉及螳螂川河段为“富民大桥—普渡河桥”河段</w:t>
            </w:r>
            <w:r>
              <w:rPr>
                <w:rFonts w:hint="eastAsia" w:ascii="Times New Roman" w:hAnsi="Times New Roman" w:eastAsia="宋体"/>
                <w:color w:val="auto"/>
                <w:sz w:val="24"/>
                <w:szCs w:val="24"/>
                <w:highlight w:val="none"/>
                <w:lang w:eastAsia="zh-CN"/>
              </w:rPr>
              <w:t>（</w:t>
            </w:r>
            <w:r>
              <w:rPr>
                <w:rFonts w:hint="default"/>
                <w:color w:val="auto"/>
                <w:sz w:val="24"/>
                <w:szCs w:val="24"/>
                <w:highlight w:val="none"/>
              </w:rPr>
              <w:t>普渡河富民</w:t>
            </w:r>
            <w:r>
              <w:rPr>
                <w:rFonts w:hint="default" w:ascii="Times New Roman" w:hAnsi="Times New Roman" w:eastAsia="Times New Roman"/>
                <w:color w:val="auto"/>
                <w:sz w:val="24"/>
                <w:szCs w:val="24"/>
                <w:highlight w:val="none"/>
              </w:rPr>
              <w:t>-</w:t>
            </w:r>
            <w:r>
              <w:rPr>
                <w:rFonts w:hint="default"/>
                <w:color w:val="auto"/>
                <w:sz w:val="24"/>
                <w:szCs w:val="24"/>
                <w:highlight w:val="none"/>
              </w:rPr>
              <w:t>禄劝保留区</w:t>
            </w:r>
            <w:r>
              <w:rPr>
                <w:rFonts w:hint="eastAsia" w:ascii="Times New Roman" w:hAnsi="Times New Roman" w:eastAsia="宋体"/>
                <w:color w:val="auto"/>
                <w:sz w:val="24"/>
                <w:szCs w:val="24"/>
                <w:highlight w:val="none"/>
                <w:lang w:eastAsia="zh-CN"/>
              </w:rPr>
              <w:t>）</w:t>
            </w:r>
            <w:r>
              <w:rPr>
                <w:rFonts w:hint="default" w:ascii="Times New Roman" w:hAnsi="Times New Roman"/>
                <w:color w:val="auto"/>
                <w:sz w:val="24"/>
                <w:szCs w:val="24"/>
                <w:highlight w:val="none"/>
              </w:rPr>
              <w:t>，水质保护目标为《地表水环境质量标准》（GB3838-2002）</w:t>
            </w:r>
            <w:r>
              <w:rPr>
                <w:rFonts w:hint="eastAsia" w:hAnsi="宋体" w:cs="宋体"/>
                <w:color w:val="auto"/>
                <w:sz w:val="24"/>
                <w:szCs w:val="24"/>
                <w:highlight w:val="none"/>
              </w:rPr>
              <w:t>Ⅳ</w:t>
            </w:r>
            <w:r>
              <w:rPr>
                <w:rFonts w:hint="default" w:ascii="Times New Roman" w:hAnsi="Times New Roman"/>
                <w:color w:val="auto"/>
                <w:sz w:val="24"/>
                <w:szCs w:val="24"/>
                <w:highlight w:val="none"/>
              </w:rPr>
              <w:t>类水体。</w:t>
            </w:r>
          </w:p>
          <w:p w14:paraId="56DB35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auto"/>
                <w:sz w:val="24"/>
                <w:szCs w:val="24"/>
                <w:highlight w:val="none"/>
                <w:lang w:val="en-US" w:eastAsia="zh-CN"/>
              </w:rPr>
              <w:t>螳螂川水环境质量现状评价，引用《云南富民产业园区总体规划修编（2022-2035年）环境影响报告书》编制时</w:t>
            </w:r>
            <w:r>
              <w:rPr>
                <w:rFonts w:hint="default" w:ascii="Times New Roman" w:hAnsi="Times New Roman" w:cs="Times New Roman"/>
                <w:color w:val="000000" w:themeColor="text1"/>
                <w:sz w:val="24"/>
                <w14:textFill>
                  <w14:solidFill>
                    <w14:schemeClr w14:val="tx1"/>
                  </w14:solidFill>
                </w14:textFill>
              </w:rPr>
              <w:t>云南泰义检测技术有限公司2022年11月25日~2022年11月27日对</w:t>
            </w:r>
            <w:r>
              <w:rPr>
                <w:rFonts w:hint="eastAsia" w:ascii="Times New Roman" w:hAnsi="Times New Roman" w:cs="Times New Roman"/>
                <w:color w:val="000000" w:themeColor="text1"/>
                <w:sz w:val="24"/>
                <w:lang w:val="en-US" w:eastAsia="zh-CN"/>
                <w14:textFill>
                  <w14:solidFill>
                    <w14:schemeClr w14:val="tx1"/>
                  </w14:solidFill>
                </w14:textFill>
              </w:rPr>
              <w:t>螳螂川环保产业组团</w:t>
            </w:r>
            <w:r>
              <w:rPr>
                <w:rFonts w:hint="default" w:ascii="Times New Roman" w:hAnsi="Times New Roman" w:cs="Times New Roman"/>
                <w:color w:val="000000" w:themeColor="text1"/>
                <w:sz w:val="24"/>
                <w14:textFill>
                  <w14:solidFill>
                    <w14:schemeClr w14:val="tx1"/>
                  </w14:solidFill>
                </w14:textFill>
              </w:rPr>
              <w:t>污水厂排口上游</w:t>
            </w:r>
            <w:r>
              <w:rPr>
                <w:rFonts w:hint="eastAsia" w:ascii="Times New Roman" w:hAnsi="Times New Roman" w:cs="Times New Roman"/>
                <w:color w:val="000000" w:themeColor="text1"/>
                <w:sz w:val="24"/>
                <w:lang w:val="en-US" w:eastAsia="zh-CN"/>
                <w14:textFill>
                  <w14:solidFill>
                    <w14:schemeClr w14:val="tx1"/>
                  </w14:solidFill>
                </w14:textFill>
              </w:rPr>
              <w:t>500m（本项目下游300m）的现状监测检测数据，监测情况见下表。</w:t>
            </w:r>
          </w:p>
          <w:p w14:paraId="42C0C495">
            <w:pPr>
              <w:pStyle w:val="2"/>
              <w:keepNext w:val="0"/>
              <w:keepLines w:val="0"/>
              <w:suppressLineNumbers w:val="0"/>
              <w:spacing w:before="0" w:beforeAutospacing="0" w:after="0" w:afterAutospacing="0"/>
              <w:ind w:left="0" w:right="0"/>
              <w:jc w:val="center"/>
              <w:rPr>
                <w:rFonts w:hint="default"/>
                <w:b/>
                <w:bCs/>
                <w:sz w:val="21"/>
                <w:szCs w:val="21"/>
                <w:lang w:val="en-US" w:eastAsia="zh-CN"/>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表3-2 项目区下游300m螳螂川水质监测数据一览表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858"/>
              <w:gridCol w:w="976"/>
              <w:gridCol w:w="1170"/>
              <w:gridCol w:w="1155"/>
              <w:gridCol w:w="1121"/>
              <w:gridCol w:w="1121"/>
              <w:gridCol w:w="1121"/>
            </w:tblGrid>
            <w:tr w14:paraId="6350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41" w:type="pct"/>
                  <w:gridSpan w:val="2"/>
                  <w:vAlign w:val="center"/>
                </w:tcPr>
                <w:p w14:paraId="7284AB11">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分析项目</w:t>
                  </w:r>
                </w:p>
              </w:tc>
              <w:tc>
                <w:tcPr>
                  <w:tcW w:w="596" w:type="pct"/>
                  <w:vAlign w:val="center"/>
                </w:tcPr>
                <w:p w14:paraId="7FBCE136">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宋体" w:hAnsi="宋体" w:eastAsia="宋体" w:cs="宋体"/>
                      <w:b/>
                      <w:color w:val="000000" w:themeColor="text1"/>
                      <w:szCs w:val="16"/>
                      <w14:textFill>
                        <w14:solidFill>
                          <w14:schemeClr w14:val="tx1"/>
                        </w14:solidFill>
                      </w14:textFill>
                    </w:rPr>
                    <w:t>Ⅳ</w:t>
                  </w:r>
                  <w:r>
                    <w:rPr>
                      <w:rFonts w:hint="default" w:ascii="Times New Roman" w:hAnsi="Times New Roman" w:cs="Times New Roman"/>
                      <w:b/>
                      <w:color w:val="000000" w:themeColor="text1"/>
                      <w:szCs w:val="16"/>
                      <w14:textFill>
                        <w14:solidFill>
                          <w14:schemeClr w14:val="tx1"/>
                        </w14:solidFill>
                      </w14:textFill>
                    </w:rPr>
                    <w:t>类</w:t>
                  </w:r>
                  <w:r>
                    <w:rPr>
                      <w:rFonts w:hint="default" w:ascii="Times New Roman" w:hAnsi="Times New Roman" w:cs="Times New Roman"/>
                      <w:b/>
                      <w:bCs/>
                      <w:color w:val="000000" w:themeColor="text1"/>
                      <w:szCs w:val="21"/>
                      <w14:textFill>
                        <w14:solidFill>
                          <w14:schemeClr w14:val="tx1"/>
                        </w14:solidFill>
                      </w14:textFill>
                    </w:rPr>
                    <w:t>标准值</w:t>
                  </w:r>
                </w:p>
              </w:tc>
              <w:tc>
                <w:tcPr>
                  <w:tcW w:w="711" w:type="pct"/>
                  <w:vAlign w:val="center"/>
                </w:tcPr>
                <w:p w14:paraId="720F3CB4">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采样时间</w:t>
                  </w:r>
                </w:p>
              </w:tc>
              <w:tc>
                <w:tcPr>
                  <w:tcW w:w="702" w:type="pct"/>
                  <w:vAlign w:val="center"/>
                </w:tcPr>
                <w:p w14:paraId="6EC7CDA2">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检测结果</w:t>
                  </w:r>
                </w:p>
              </w:tc>
              <w:tc>
                <w:tcPr>
                  <w:tcW w:w="682" w:type="pct"/>
                  <w:vAlign w:val="center"/>
                </w:tcPr>
                <w:p w14:paraId="4E7F918D">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标准指数</w:t>
                  </w:r>
                </w:p>
              </w:tc>
              <w:tc>
                <w:tcPr>
                  <w:tcW w:w="682" w:type="pct"/>
                  <w:vAlign w:val="center"/>
                </w:tcPr>
                <w:p w14:paraId="3850064A">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超标倍数</w:t>
                  </w:r>
                </w:p>
              </w:tc>
              <w:tc>
                <w:tcPr>
                  <w:tcW w:w="682" w:type="pct"/>
                  <w:vAlign w:val="center"/>
                </w:tcPr>
                <w:p w14:paraId="659822C8">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达标分析</w:t>
                  </w:r>
                </w:p>
              </w:tc>
            </w:tr>
            <w:tr w14:paraId="51CB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5DC4F22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w:t>
                  </w:r>
                </w:p>
              </w:tc>
              <w:tc>
                <w:tcPr>
                  <w:tcW w:w="402" w:type="pct"/>
                  <w:vMerge w:val="restart"/>
                  <w:vAlign w:val="center"/>
                </w:tcPr>
                <w:p w14:paraId="2BCA634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无量纲</w:t>
                  </w:r>
                </w:p>
              </w:tc>
              <w:tc>
                <w:tcPr>
                  <w:tcW w:w="596" w:type="pct"/>
                  <w:vMerge w:val="restart"/>
                  <w:vAlign w:val="center"/>
                </w:tcPr>
                <w:p w14:paraId="2A29CB7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6~9</w:t>
                  </w:r>
                </w:p>
              </w:tc>
              <w:tc>
                <w:tcPr>
                  <w:tcW w:w="711" w:type="pct"/>
                  <w:vAlign w:val="center"/>
                </w:tcPr>
                <w:p w14:paraId="4BE0344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0970201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7.24</w:t>
                  </w:r>
                </w:p>
              </w:tc>
              <w:tc>
                <w:tcPr>
                  <w:tcW w:w="682" w:type="pct"/>
                  <w:vAlign w:val="center"/>
                </w:tcPr>
                <w:p w14:paraId="3221885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0.12</w:t>
                  </w:r>
                </w:p>
              </w:tc>
              <w:tc>
                <w:tcPr>
                  <w:tcW w:w="682" w:type="pct"/>
                  <w:vAlign w:val="center"/>
                </w:tcPr>
                <w:p w14:paraId="6A9BD90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20C9DC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0EB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725842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281A7F31">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678B4EE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0A8BC9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62526DD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7.27</w:t>
                  </w:r>
                </w:p>
              </w:tc>
              <w:tc>
                <w:tcPr>
                  <w:tcW w:w="682" w:type="pct"/>
                  <w:vAlign w:val="center"/>
                </w:tcPr>
                <w:p w14:paraId="4711CE8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0.14</w:t>
                  </w:r>
                </w:p>
              </w:tc>
              <w:tc>
                <w:tcPr>
                  <w:tcW w:w="682" w:type="pct"/>
                  <w:vAlign w:val="center"/>
                </w:tcPr>
                <w:p w14:paraId="770F872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086CE5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03A5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42663F7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14EAFAE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70E4405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7ADB6D44">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1A1E962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7.21</w:t>
                  </w:r>
                </w:p>
              </w:tc>
              <w:tc>
                <w:tcPr>
                  <w:tcW w:w="682" w:type="pct"/>
                  <w:vAlign w:val="center"/>
                </w:tcPr>
                <w:p w14:paraId="388A2FC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0.105</w:t>
                  </w:r>
                </w:p>
              </w:tc>
              <w:tc>
                <w:tcPr>
                  <w:tcW w:w="682" w:type="pct"/>
                  <w:vAlign w:val="center"/>
                </w:tcPr>
                <w:p w14:paraId="6266B6F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68B56DB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0375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0BBA4C8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水温</w:t>
                  </w:r>
                </w:p>
              </w:tc>
              <w:tc>
                <w:tcPr>
                  <w:tcW w:w="402" w:type="pct"/>
                  <w:vMerge w:val="restart"/>
                  <w:vAlign w:val="center"/>
                </w:tcPr>
                <w:p w14:paraId="4DE2AE1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596" w:type="pct"/>
                  <w:vMerge w:val="restart"/>
                  <w:vAlign w:val="center"/>
                </w:tcPr>
                <w:p w14:paraId="60E029E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11" w:type="pct"/>
                  <w:vAlign w:val="center"/>
                </w:tcPr>
                <w:p w14:paraId="57DE4F4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10691D8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20.4</w:t>
                  </w:r>
                </w:p>
              </w:tc>
              <w:tc>
                <w:tcPr>
                  <w:tcW w:w="682" w:type="pct"/>
                  <w:vAlign w:val="center"/>
                </w:tcPr>
                <w:p w14:paraId="00449FD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4EA74F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5F8E93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r>
            <w:tr w14:paraId="194E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0B49BF4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2722699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3C07E5F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034294D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3FFDFFD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19.7</w:t>
                  </w:r>
                </w:p>
              </w:tc>
              <w:tc>
                <w:tcPr>
                  <w:tcW w:w="682" w:type="pct"/>
                  <w:vAlign w:val="center"/>
                </w:tcPr>
                <w:p w14:paraId="5FA538C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EE7FB6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C112DA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r>
            <w:tr w14:paraId="06C7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4B42B28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37640B9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08A7FA3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569E2B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721A432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19</w:t>
                  </w:r>
                </w:p>
              </w:tc>
              <w:tc>
                <w:tcPr>
                  <w:tcW w:w="682" w:type="pct"/>
                  <w:vAlign w:val="center"/>
                </w:tcPr>
                <w:p w14:paraId="4421B42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5045D8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168A9A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r>
            <w:tr w14:paraId="4891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4BCFB1C1">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溶解氧</w:t>
                  </w:r>
                </w:p>
              </w:tc>
              <w:tc>
                <w:tcPr>
                  <w:tcW w:w="402" w:type="pct"/>
                  <w:vMerge w:val="restart"/>
                  <w:vAlign w:val="center"/>
                </w:tcPr>
                <w:p w14:paraId="00E49D9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4AB69FC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711" w:type="pct"/>
                  <w:vAlign w:val="center"/>
                </w:tcPr>
                <w:p w14:paraId="3B9F591A">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7F9E4D7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6.3</w:t>
                  </w:r>
                </w:p>
              </w:tc>
              <w:tc>
                <w:tcPr>
                  <w:tcW w:w="682" w:type="pct"/>
                  <w:vAlign w:val="center"/>
                </w:tcPr>
                <w:p w14:paraId="09FD4BA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0.48</w:t>
                  </w:r>
                </w:p>
              </w:tc>
              <w:tc>
                <w:tcPr>
                  <w:tcW w:w="682" w:type="pct"/>
                  <w:vAlign w:val="center"/>
                </w:tcPr>
                <w:p w14:paraId="674A363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682" w:type="pct"/>
                  <w:vAlign w:val="center"/>
                </w:tcPr>
                <w:p w14:paraId="31B58CA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DE8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DCA1D34">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7F82F9CA">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13276CA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552010B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03B6F1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6.1</w:t>
                  </w:r>
                </w:p>
              </w:tc>
              <w:tc>
                <w:tcPr>
                  <w:tcW w:w="682" w:type="pct"/>
                  <w:vAlign w:val="center"/>
                </w:tcPr>
                <w:p w14:paraId="18281AD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0.49</w:t>
                  </w:r>
                </w:p>
              </w:tc>
              <w:tc>
                <w:tcPr>
                  <w:tcW w:w="682" w:type="pct"/>
                  <w:vAlign w:val="center"/>
                </w:tcPr>
                <w:p w14:paraId="35219DE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682" w:type="pct"/>
                  <w:vAlign w:val="center"/>
                </w:tcPr>
                <w:p w14:paraId="3CB5F79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5E2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6A49ED3">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7BF7870C">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4D51043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5BF999B6">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5E82F43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6.1</w:t>
                  </w:r>
                </w:p>
              </w:tc>
              <w:tc>
                <w:tcPr>
                  <w:tcW w:w="682" w:type="pct"/>
                  <w:vAlign w:val="center"/>
                </w:tcPr>
                <w:p w14:paraId="57E6C66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0.49</w:t>
                  </w:r>
                </w:p>
              </w:tc>
              <w:tc>
                <w:tcPr>
                  <w:tcW w:w="682" w:type="pct"/>
                  <w:vAlign w:val="center"/>
                </w:tcPr>
                <w:p w14:paraId="2B02399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682" w:type="pct"/>
                  <w:vAlign w:val="center"/>
                </w:tcPr>
                <w:p w14:paraId="0CA2A90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324E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3096AA80">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高锰酸盐指数</w:t>
                  </w:r>
                </w:p>
              </w:tc>
              <w:tc>
                <w:tcPr>
                  <w:tcW w:w="402" w:type="pct"/>
                  <w:vMerge w:val="restart"/>
                  <w:vAlign w:val="center"/>
                </w:tcPr>
                <w:p w14:paraId="290E133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0CE43C9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711" w:type="pct"/>
                  <w:vAlign w:val="center"/>
                </w:tcPr>
                <w:p w14:paraId="1BEB702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664D0F3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1.8</w:t>
                  </w:r>
                </w:p>
              </w:tc>
              <w:tc>
                <w:tcPr>
                  <w:tcW w:w="682" w:type="pct"/>
                  <w:vAlign w:val="center"/>
                </w:tcPr>
                <w:p w14:paraId="6620BD1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0.18</w:t>
                  </w:r>
                </w:p>
              </w:tc>
              <w:tc>
                <w:tcPr>
                  <w:tcW w:w="682" w:type="pct"/>
                  <w:vAlign w:val="center"/>
                </w:tcPr>
                <w:p w14:paraId="2485AFB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BFD0C7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246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142C66B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0042ED83">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1E96528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403647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F53511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1.8</w:t>
                  </w:r>
                </w:p>
              </w:tc>
              <w:tc>
                <w:tcPr>
                  <w:tcW w:w="682" w:type="pct"/>
                  <w:vAlign w:val="center"/>
                </w:tcPr>
                <w:p w14:paraId="085FB5A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0.18</w:t>
                  </w:r>
                </w:p>
              </w:tc>
              <w:tc>
                <w:tcPr>
                  <w:tcW w:w="682" w:type="pct"/>
                  <w:vAlign w:val="center"/>
                </w:tcPr>
                <w:p w14:paraId="3AEDC2F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5232FC3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2B94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2AE7446">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45A0C8EF">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2B5C55B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545606E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39EB4C4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1.8</w:t>
                  </w:r>
                </w:p>
              </w:tc>
              <w:tc>
                <w:tcPr>
                  <w:tcW w:w="682" w:type="pct"/>
                  <w:vAlign w:val="center"/>
                </w:tcPr>
                <w:p w14:paraId="04E0BAB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0.18</w:t>
                  </w:r>
                </w:p>
              </w:tc>
              <w:tc>
                <w:tcPr>
                  <w:tcW w:w="682" w:type="pct"/>
                  <w:vAlign w:val="center"/>
                </w:tcPr>
                <w:p w14:paraId="472559E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4B539A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965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32022CC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化学需氧量</w:t>
                  </w:r>
                </w:p>
              </w:tc>
              <w:tc>
                <w:tcPr>
                  <w:tcW w:w="402" w:type="pct"/>
                  <w:vMerge w:val="restart"/>
                  <w:vAlign w:val="center"/>
                </w:tcPr>
                <w:p w14:paraId="0AD7DF8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32F8623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c>
                <w:tcPr>
                  <w:tcW w:w="711" w:type="pct"/>
                  <w:vAlign w:val="center"/>
                </w:tcPr>
                <w:p w14:paraId="2F8643EF">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74DBBF6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34</w:t>
                  </w:r>
                </w:p>
              </w:tc>
              <w:tc>
                <w:tcPr>
                  <w:tcW w:w="682" w:type="pct"/>
                  <w:vAlign w:val="center"/>
                </w:tcPr>
                <w:p w14:paraId="5D9628D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1.13 </w:t>
                  </w:r>
                </w:p>
              </w:tc>
              <w:tc>
                <w:tcPr>
                  <w:tcW w:w="682" w:type="pct"/>
                  <w:vAlign w:val="center"/>
                </w:tcPr>
                <w:p w14:paraId="0EABCA4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0.13 </w:t>
                  </w:r>
                </w:p>
              </w:tc>
              <w:tc>
                <w:tcPr>
                  <w:tcW w:w="682" w:type="pct"/>
                  <w:vAlign w:val="center"/>
                </w:tcPr>
                <w:p w14:paraId="6A7534A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5067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F67CEA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22FC13F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525A781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7EB020E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3FFDA7D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34</w:t>
                  </w:r>
                </w:p>
              </w:tc>
              <w:tc>
                <w:tcPr>
                  <w:tcW w:w="682" w:type="pct"/>
                  <w:vAlign w:val="center"/>
                </w:tcPr>
                <w:p w14:paraId="1C83182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1.13 </w:t>
                  </w:r>
                </w:p>
              </w:tc>
              <w:tc>
                <w:tcPr>
                  <w:tcW w:w="682" w:type="pct"/>
                  <w:vAlign w:val="center"/>
                </w:tcPr>
                <w:p w14:paraId="1D723E5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0.13 </w:t>
                  </w:r>
                </w:p>
              </w:tc>
              <w:tc>
                <w:tcPr>
                  <w:tcW w:w="682" w:type="pct"/>
                  <w:vAlign w:val="center"/>
                </w:tcPr>
                <w:p w14:paraId="1474E7F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39C7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0E9658C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1626AF6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60C24E3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2E7917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7D49FE6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33</w:t>
                  </w:r>
                </w:p>
              </w:tc>
              <w:tc>
                <w:tcPr>
                  <w:tcW w:w="682" w:type="pct"/>
                  <w:vAlign w:val="center"/>
                </w:tcPr>
                <w:p w14:paraId="6E58B36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1.10 </w:t>
                  </w:r>
                </w:p>
              </w:tc>
              <w:tc>
                <w:tcPr>
                  <w:tcW w:w="682" w:type="pct"/>
                  <w:vAlign w:val="center"/>
                </w:tcPr>
                <w:p w14:paraId="344C2D3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0.10 </w:t>
                  </w:r>
                </w:p>
              </w:tc>
              <w:tc>
                <w:tcPr>
                  <w:tcW w:w="682" w:type="pct"/>
                  <w:vAlign w:val="center"/>
                </w:tcPr>
                <w:p w14:paraId="17D950F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1A3C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110D147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五日生化需氧量</w:t>
                  </w:r>
                </w:p>
              </w:tc>
              <w:tc>
                <w:tcPr>
                  <w:tcW w:w="402" w:type="pct"/>
                  <w:vMerge w:val="restart"/>
                  <w:vAlign w:val="center"/>
                </w:tcPr>
                <w:p w14:paraId="01165D6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3BBA27D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711" w:type="pct"/>
                  <w:vAlign w:val="center"/>
                </w:tcPr>
                <w:p w14:paraId="490B9AD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5C6C7C9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10.4</w:t>
                  </w:r>
                </w:p>
              </w:tc>
              <w:tc>
                <w:tcPr>
                  <w:tcW w:w="682" w:type="pct"/>
                  <w:vAlign w:val="center"/>
                </w:tcPr>
                <w:p w14:paraId="42B7F86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1.73 </w:t>
                  </w:r>
                </w:p>
              </w:tc>
              <w:tc>
                <w:tcPr>
                  <w:tcW w:w="682" w:type="pct"/>
                  <w:vAlign w:val="center"/>
                </w:tcPr>
                <w:p w14:paraId="6C168C5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0.73 </w:t>
                  </w:r>
                </w:p>
              </w:tc>
              <w:tc>
                <w:tcPr>
                  <w:tcW w:w="682" w:type="pct"/>
                  <w:vAlign w:val="center"/>
                </w:tcPr>
                <w:p w14:paraId="7AFE17A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1815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C9C9B9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610029A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475090A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7BEE9F44">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6EEC6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10.8</w:t>
                  </w:r>
                </w:p>
              </w:tc>
              <w:tc>
                <w:tcPr>
                  <w:tcW w:w="682" w:type="pct"/>
                  <w:vAlign w:val="center"/>
                </w:tcPr>
                <w:p w14:paraId="38818B8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1.80 </w:t>
                  </w:r>
                </w:p>
              </w:tc>
              <w:tc>
                <w:tcPr>
                  <w:tcW w:w="682" w:type="pct"/>
                  <w:vAlign w:val="center"/>
                </w:tcPr>
                <w:p w14:paraId="40388E5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0.80 </w:t>
                  </w:r>
                </w:p>
              </w:tc>
              <w:tc>
                <w:tcPr>
                  <w:tcW w:w="682" w:type="pct"/>
                  <w:vAlign w:val="center"/>
                </w:tcPr>
                <w:p w14:paraId="35D17CD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629C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43F4C8D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3C246DB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5527FBB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6F682F1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568E610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10.3</w:t>
                  </w:r>
                </w:p>
              </w:tc>
              <w:tc>
                <w:tcPr>
                  <w:tcW w:w="682" w:type="pct"/>
                  <w:vAlign w:val="center"/>
                </w:tcPr>
                <w:p w14:paraId="6B23AB1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1.72 </w:t>
                  </w:r>
                </w:p>
              </w:tc>
              <w:tc>
                <w:tcPr>
                  <w:tcW w:w="682" w:type="pct"/>
                  <w:vAlign w:val="center"/>
                </w:tcPr>
                <w:p w14:paraId="6B00F18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0.72 </w:t>
                  </w:r>
                </w:p>
              </w:tc>
              <w:tc>
                <w:tcPr>
                  <w:tcW w:w="682" w:type="pct"/>
                  <w:vAlign w:val="center"/>
                </w:tcPr>
                <w:p w14:paraId="64F019B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23DF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4AF4AF9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氨氮</w:t>
                  </w:r>
                </w:p>
              </w:tc>
              <w:tc>
                <w:tcPr>
                  <w:tcW w:w="402" w:type="pct"/>
                  <w:vMerge w:val="restart"/>
                  <w:vAlign w:val="center"/>
                </w:tcPr>
                <w:p w14:paraId="6C1374F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46DBFE5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≤1.5</w:t>
                  </w:r>
                </w:p>
              </w:tc>
              <w:tc>
                <w:tcPr>
                  <w:tcW w:w="711" w:type="pct"/>
                  <w:vAlign w:val="center"/>
                </w:tcPr>
                <w:p w14:paraId="52D530F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1015A7F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0.126</w:t>
                  </w:r>
                </w:p>
              </w:tc>
              <w:tc>
                <w:tcPr>
                  <w:tcW w:w="682" w:type="pct"/>
                  <w:vAlign w:val="center"/>
                </w:tcPr>
                <w:p w14:paraId="3576BAB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0.08 </w:t>
                  </w:r>
                </w:p>
              </w:tc>
              <w:tc>
                <w:tcPr>
                  <w:tcW w:w="682" w:type="pct"/>
                  <w:vAlign w:val="center"/>
                </w:tcPr>
                <w:p w14:paraId="6DF319E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4FDC458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2C94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B075C1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1B657A5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602B3C5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4B185B8">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9B64FD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0.137</w:t>
                  </w:r>
                </w:p>
              </w:tc>
              <w:tc>
                <w:tcPr>
                  <w:tcW w:w="682" w:type="pct"/>
                  <w:vAlign w:val="center"/>
                </w:tcPr>
                <w:p w14:paraId="588E6B5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0.09 </w:t>
                  </w:r>
                </w:p>
              </w:tc>
              <w:tc>
                <w:tcPr>
                  <w:tcW w:w="682" w:type="pct"/>
                  <w:vAlign w:val="center"/>
                </w:tcPr>
                <w:p w14:paraId="500F6AD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08A1629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308D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14911A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396722C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1147480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5AC3AA0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03B8C12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0.113</w:t>
                  </w:r>
                </w:p>
              </w:tc>
              <w:tc>
                <w:tcPr>
                  <w:tcW w:w="682" w:type="pct"/>
                  <w:vAlign w:val="center"/>
                </w:tcPr>
                <w:p w14:paraId="406ED00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0.08 </w:t>
                  </w:r>
                </w:p>
              </w:tc>
              <w:tc>
                <w:tcPr>
                  <w:tcW w:w="682" w:type="pct"/>
                  <w:vAlign w:val="center"/>
                </w:tcPr>
                <w:p w14:paraId="6DB1DDA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1331928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2BB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1B9511A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总磷</w:t>
                  </w:r>
                </w:p>
              </w:tc>
              <w:tc>
                <w:tcPr>
                  <w:tcW w:w="402" w:type="pct"/>
                  <w:vMerge w:val="restart"/>
                  <w:vAlign w:val="center"/>
                </w:tcPr>
                <w:p w14:paraId="24ADA81C">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3EFD2EF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≤0.3</w:t>
                  </w:r>
                </w:p>
              </w:tc>
              <w:tc>
                <w:tcPr>
                  <w:tcW w:w="711" w:type="pct"/>
                  <w:vAlign w:val="center"/>
                </w:tcPr>
                <w:p w14:paraId="3589B9E3">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3A2CC4E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0.38</w:t>
                  </w:r>
                </w:p>
              </w:tc>
              <w:tc>
                <w:tcPr>
                  <w:tcW w:w="682" w:type="pct"/>
                  <w:vAlign w:val="center"/>
                </w:tcPr>
                <w:p w14:paraId="343A966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1.27 </w:t>
                  </w:r>
                </w:p>
              </w:tc>
              <w:tc>
                <w:tcPr>
                  <w:tcW w:w="682" w:type="pct"/>
                  <w:vAlign w:val="center"/>
                </w:tcPr>
                <w:p w14:paraId="5B221F2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0.27 </w:t>
                  </w:r>
                </w:p>
              </w:tc>
              <w:tc>
                <w:tcPr>
                  <w:tcW w:w="682" w:type="pct"/>
                  <w:vAlign w:val="center"/>
                </w:tcPr>
                <w:p w14:paraId="1A40A40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1E1A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08B35BD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1F7B4E3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7B54AE3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0B52CD2">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3267DEA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0.35</w:t>
                  </w:r>
                </w:p>
              </w:tc>
              <w:tc>
                <w:tcPr>
                  <w:tcW w:w="682" w:type="pct"/>
                  <w:vAlign w:val="center"/>
                </w:tcPr>
                <w:p w14:paraId="1D175BB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1.17 </w:t>
                  </w:r>
                </w:p>
              </w:tc>
              <w:tc>
                <w:tcPr>
                  <w:tcW w:w="682" w:type="pct"/>
                  <w:vAlign w:val="center"/>
                </w:tcPr>
                <w:p w14:paraId="35221DD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0.17 </w:t>
                  </w:r>
                </w:p>
              </w:tc>
              <w:tc>
                <w:tcPr>
                  <w:tcW w:w="682" w:type="pct"/>
                  <w:vAlign w:val="center"/>
                </w:tcPr>
                <w:p w14:paraId="4306975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6D32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5975943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05C69E9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52CB793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6324BE0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549C872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0.36</w:t>
                  </w:r>
                </w:p>
              </w:tc>
              <w:tc>
                <w:tcPr>
                  <w:tcW w:w="682" w:type="pct"/>
                  <w:vAlign w:val="center"/>
                </w:tcPr>
                <w:p w14:paraId="019E02E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1.20 </w:t>
                  </w:r>
                </w:p>
              </w:tc>
              <w:tc>
                <w:tcPr>
                  <w:tcW w:w="682" w:type="pct"/>
                  <w:vAlign w:val="center"/>
                </w:tcPr>
                <w:p w14:paraId="2FEEBE2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0.20 </w:t>
                  </w:r>
                </w:p>
              </w:tc>
              <w:tc>
                <w:tcPr>
                  <w:tcW w:w="682" w:type="pct"/>
                  <w:vAlign w:val="center"/>
                </w:tcPr>
                <w:p w14:paraId="49FBB21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6E0A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66791F7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总氮</w:t>
                  </w:r>
                </w:p>
              </w:tc>
              <w:tc>
                <w:tcPr>
                  <w:tcW w:w="402" w:type="pct"/>
                  <w:vMerge w:val="restart"/>
                  <w:vAlign w:val="center"/>
                </w:tcPr>
                <w:p w14:paraId="2E0478E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212E43E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711" w:type="pct"/>
                  <w:vAlign w:val="center"/>
                </w:tcPr>
                <w:p w14:paraId="180A19E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7DC2EB0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0.881</w:t>
                  </w:r>
                </w:p>
              </w:tc>
              <w:tc>
                <w:tcPr>
                  <w:tcW w:w="682" w:type="pct"/>
                  <w:vAlign w:val="center"/>
                </w:tcPr>
                <w:p w14:paraId="4EA5924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0.59 </w:t>
                  </w:r>
                </w:p>
              </w:tc>
              <w:tc>
                <w:tcPr>
                  <w:tcW w:w="682" w:type="pct"/>
                  <w:vAlign w:val="center"/>
                </w:tcPr>
                <w:p w14:paraId="7525887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4B537E7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9D6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42D3F82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4902CB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45D307B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63506C8A">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06CBC11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0.891</w:t>
                  </w:r>
                </w:p>
              </w:tc>
              <w:tc>
                <w:tcPr>
                  <w:tcW w:w="682" w:type="pct"/>
                  <w:vAlign w:val="center"/>
                </w:tcPr>
                <w:p w14:paraId="5DB1B05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0.59 </w:t>
                  </w:r>
                </w:p>
              </w:tc>
              <w:tc>
                <w:tcPr>
                  <w:tcW w:w="682" w:type="pct"/>
                  <w:vAlign w:val="center"/>
                </w:tcPr>
                <w:p w14:paraId="0B930D8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0583570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3CA9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58DB8F1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0ED5DBD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2E42D30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AF6594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37E178B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0.853</w:t>
                  </w:r>
                </w:p>
              </w:tc>
              <w:tc>
                <w:tcPr>
                  <w:tcW w:w="682" w:type="pct"/>
                  <w:vAlign w:val="center"/>
                </w:tcPr>
                <w:p w14:paraId="13631B0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0.57 </w:t>
                  </w:r>
                </w:p>
              </w:tc>
              <w:tc>
                <w:tcPr>
                  <w:tcW w:w="682" w:type="pct"/>
                  <w:vAlign w:val="center"/>
                </w:tcPr>
                <w:p w14:paraId="197BBE8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DB0945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0C21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52DBEBE6">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铜</w:t>
                  </w:r>
                </w:p>
              </w:tc>
              <w:tc>
                <w:tcPr>
                  <w:tcW w:w="402" w:type="pct"/>
                  <w:vMerge w:val="restart"/>
                  <w:vAlign w:val="center"/>
                </w:tcPr>
                <w:p w14:paraId="4FB2403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6DCFC1B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711" w:type="pct"/>
                  <w:vAlign w:val="center"/>
                </w:tcPr>
                <w:p w14:paraId="71C774F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5814F26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2021C9A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65945B2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1D9B81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492D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9802DA7">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666A24C6">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441E8AD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0B2994F">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117080B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29FF1D9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3E7AE0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6577F3D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587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19A1CAF7">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201494E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6F48F55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5ED94818">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2BB8569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06F8DB3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5A1176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A5072C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830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376812E0">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锌</w:t>
                  </w:r>
                </w:p>
              </w:tc>
              <w:tc>
                <w:tcPr>
                  <w:tcW w:w="402" w:type="pct"/>
                  <w:vMerge w:val="restart"/>
                  <w:vAlign w:val="center"/>
                </w:tcPr>
                <w:p w14:paraId="3132753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68DF815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711" w:type="pct"/>
                  <w:vAlign w:val="center"/>
                </w:tcPr>
                <w:p w14:paraId="3B2FA624">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48666E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685059E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699206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CF6243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C06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94A1912">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509DB247">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11E7FAA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489004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BEA2D3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224013C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61C2B7D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A1A982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7417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60CC5FB0">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47D5B8B8">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2891C53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FC29FCA">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48272FA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46D0776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6A14777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FBA74F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4E66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666D0245">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氟化物</w:t>
                  </w:r>
                </w:p>
              </w:tc>
              <w:tc>
                <w:tcPr>
                  <w:tcW w:w="402" w:type="pct"/>
                  <w:vMerge w:val="restart"/>
                  <w:vAlign w:val="center"/>
                </w:tcPr>
                <w:p w14:paraId="5ED6CBF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19E9E97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711" w:type="pct"/>
                  <w:vAlign w:val="center"/>
                </w:tcPr>
                <w:p w14:paraId="0F500BBF">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630A841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0.09</w:t>
                  </w:r>
                </w:p>
              </w:tc>
              <w:tc>
                <w:tcPr>
                  <w:tcW w:w="682" w:type="pct"/>
                  <w:vAlign w:val="center"/>
                </w:tcPr>
                <w:p w14:paraId="261E498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0.05</w:t>
                  </w:r>
                </w:p>
              </w:tc>
              <w:tc>
                <w:tcPr>
                  <w:tcW w:w="682" w:type="pct"/>
                  <w:vAlign w:val="center"/>
                </w:tcPr>
                <w:p w14:paraId="6948651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2DEC44C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707E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F6A6E9D">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730E8AB0">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7FE9E07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DE803B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1E06DAD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0.08</w:t>
                  </w:r>
                </w:p>
              </w:tc>
              <w:tc>
                <w:tcPr>
                  <w:tcW w:w="682" w:type="pct"/>
                  <w:vAlign w:val="center"/>
                </w:tcPr>
                <w:p w14:paraId="5ED803D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0.05</w:t>
                  </w:r>
                </w:p>
              </w:tc>
              <w:tc>
                <w:tcPr>
                  <w:tcW w:w="682" w:type="pct"/>
                  <w:vAlign w:val="center"/>
                </w:tcPr>
                <w:p w14:paraId="05C95F6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229B34C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16D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1431600">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4156617E">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71C5407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0A2D774E">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4730A91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0.11</w:t>
                  </w:r>
                </w:p>
              </w:tc>
              <w:tc>
                <w:tcPr>
                  <w:tcW w:w="682" w:type="pct"/>
                  <w:vAlign w:val="center"/>
                </w:tcPr>
                <w:p w14:paraId="0F74A78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0.07</w:t>
                  </w:r>
                </w:p>
              </w:tc>
              <w:tc>
                <w:tcPr>
                  <w:tcW w:w="682" w:type="pct"/>
                  <w:vAlign w:val="center"/>
                </w:tcPr>
                <w:p w14:paraId="49CC866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18B2AE5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7EC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49969D2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硒</w:t>
                  </w:r>
                </w:p>
              </w:tc>
              <w:tc>
                <w:tcPr>
                  <w:tcW w:w="402" w:type="pct"/>
                  <w:vMerge w:val="restart"/>
                  <w:vAlign w:val="center"/>
                </w:tcPr>
                <w:p w14:paraId="37805E0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μg/L</w:t>
                  </w:r>
                </w:p>
              </w:tc>
              <w:tc>
                <w:tcPr>
                  <w:tcW w:w="596" w:type="pct"/>
                  <w:vMerge w:val="restart"/>
                  <w:vAlign w:val="center"/>
                </w:tcPr>
                <w:p w14:paraId="79A4626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≤0.02</w:t>
                  </w:r>
                </w:p>
              </w:tc>
              <w:tc>
                <w:tcPr>
                  <w:tcW w:w="711" w:type="pct"/>
                  <w:vAlign w:val="center"/>
                </w:tcPr>
                <w:p w14:paraId="3087D71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63819F0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0.4L</w:t>
                  </w:r>
                </w:p>
              </w:tc>
              <w:tc>
                <w:tcPr>
                  <w:tcW w:w="682" w:type="pct"/>
                  <w:vAlign w:val="center"/>
                </w:tcPr>
                <w:p w14:paraId="271AAD0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69BD11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4BA629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48D3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FFC468F">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5FECB01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7BE0C18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64D28262">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1011FB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0.4L</w:t>
                  </w:r>
                </w:p>
              </w:tc>
              <w:tc>
                <w:tcPr>
                  <w:tcW w:w="682" w:type="pct"/>
                  <w:vAlign w:val="center"/>
                </w:tcPr>
                <w:p w14:paraId="4995D16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C1CD9A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6B2710B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4E80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F85351E">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539FF482">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36474DF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E112D2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73C658B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0.4L</w:t>
                  </w:r>
                </w:p>
              </w:tc>
              <w:tc>
                <w:tcPr>
                  <w:tcW w:w="682" w:type="pct"/>
                  <w:vAlign w:val="center"/>
                </w:tcPr>
                <w:p w14:paraId="6ED19C3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2B3399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A30107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68E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22789690">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砷</w:t>
                  </w:r>
                </w:p>
              </w:tc>
              <w:tc>
                <w:tcPr>
                  <w:tcW w:w="402" w:type="pct"/>
                  <w:vMerge w:val="restart"/>
                  <w:vAlign w:val="center"/>
                </w:tcPr>
                <w:p w14:paraId="631650D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μg/L</w:t>
                  </w:r>
                </w:p>
              </w:tc>
              <w:tc>
                <w:tcPr>
                  <w:tcW w:w="596" w:type="pct"/>
                  <w:vMerge w:val="restart"/>
                  <w:vAlign w:val="center"/>
                </w:tcPr>
                <w:p w14:paraId="42520FA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w:t>
                  </w:r>
                </w:p>
              </w:tc>
              <w:tc>
                <w:tcPr>
                  <w:tcW w:w="711" w:type="pct"/>
                  <w:vAlign w:val="center"/>
                </w:tcPr>
                <w:p w14:paraId="428EADDC">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6ACD0F8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0.3L</w:t>
                  </w:r>
                </w:p>
              </w:tc>
              <w:tc>
                <w:tcPr>
                  <w:tcW w:w="682" w:type="pct"/>
                  <w:vAlign w:val="center"/>
                </w:tcPr>
                <w:p w14:paraId="162A8F7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43DDEC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B08BEF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D4E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7BCE0EE">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77B26597">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0FE684A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7C5798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549A98E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0.3L</w:t>
                  </w:r>
                </w:p>
              </w:tc>
              <w:tc>
                <w:tcPr>
                  <w:tcW w:w="682" w:type="pct"/>
                  <w:vAlign w:val="center"/>
                </w:tcPr>
                <w:p w14:paraId="0558541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C7CE28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34C5C8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89B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00FB20FF">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6E0609F7">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744AC14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FAA4CD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38DF338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0.3L</w:t>
                  </w:r>
                </w:p>
              </w:tc>
              <w:tc>
                <w:tcPr>
                  <w:tcW w:w="682" w:type="pct"/>
                  <w:vAlign w:val="center"/>
                </w:tcPr>
                <w:p w14:paraId="1B46149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58FCB7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7AB34E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5FE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4AB768ED">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汞</w:t>
                  </w:r>
                </w:p>
              </w:tc>
              <w:tc>
                <w:tcPr>
                  <w:tcW w:w="402" w:type="pct"/>
                  <w:vMerge w:val="restart"/>
                  <w:vAlign w:val="center"/>
                </w:tcPr>
                <w:p w14:paraId="0DC9E5F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μg/L</w:t>
                  </w:r>
                </w:p>
              </w:tc>
              <w:tc>
                <w:tcPr>
                  <w:tcW w:w="596" w:type="pct"/>
                  <w:vMerge w:val="restart"/>
                  <w:vAlign w:val="center"/>
                </w:tcPr>
                <w:p w14:paraId="53A2F41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w:t>
                  </w:r>
                </w:p>
              </w:tc>
              <w:tc>
                <w:tcPr>
                  <w:tcW w:w="711" w:type="pct"/>
                  <w:vAlign w:val="center"/>
                </w:tcPr>
                <w:p w14:paraId="73BBF26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53DFBB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0.04L</w:t>
                  </w:r>
                </w:p>
              </w:tc>
              <w:tc>
                <w:tcPr>
                  <w:tcW w:w="682" w:type="pct"/>
                  <w:vAlign w:val="center"/>
                </w:tcPr>
                <w:p w14:paraId="777E231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2554F2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F544B8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3912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B517E5D">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686AF3F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30E549C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F4BC4F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585B3C7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0.04L</w:t>
                  </w:r>
                </w:p>
              </w:tc>
              <w:tc>
                <w:tcPr>
                  <w:tcW w:w="682" w:type="pct"/>
                  <w:vAlign w:val="center"/>
                </w:tcPr>
                <w:p w14:paraId="434821F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9EF779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3E013B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390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4055B762">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1EEF75B3">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5CB486E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45FB8FB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1566CA1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0.04L</w:t>
                  </w:r>
                </w:p>
              </w:tc>
              <w:tc>
                <w:tcPr>
                  <w:tcW w:w="682" w:type="pct"/>
                  <w:vAlign w:val="center"/>
                </w:tcPr>
                <w:p w14:paraId="7C20FE7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FE26A8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EABBE4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06FD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36DF473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铅</w:t>
                  </w:r>
                </w:p>
              </w:tc>
              <w:tc>
                <w:tcPr>
                  <w:tcW w:w="402" w:type="pct"/>
                  <w:vMerge w:val="restart"/>
                  <w:vAlign w:val="center"/>
                </w:tcPr>
                <w:p w14:paraId="3DD99D1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μg/L</w:t>
                  </w:r>
                </w:p>
              </w:tc>
              <w:tc>
                <w:tcPr>
                  <w:tcW w:w="596" w:type="pct"/>
                  <w:vMerge w:val="restart"/>
                  <w:vAlign w:val="center"/>
                </w:tcPr>
                <w:p w14:paraId="68D5729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≤0.05</w:t>
                  </w:r>
                </w:p>
              </w:tc>
              <w:tc>
                <w:tcPr>
                  <w:tcW w:w="711" w:type="pct"/>
                  <w:vAlign w:val="center"/>
                </w:tcPr>
                <w:p w14:paraId="31D2DBD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12722CE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0.1L</w:t>
                  </w:r>
                </w:p>
              </w:tc>
              <w:tc>
                <w:tcPr>
                  <w:tcW w:w="682" w:type="pct"/>
                  <w:vAlign w:val="center"/>
                </w:tcPr>
                <w:p w14:paraId="1E959C0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04629F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3FCA65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D10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648294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402" w:type="pct"/>
                  <w:vMerge w:val="continue"/>
                  <w:vAlign w:val="center"/>
                </w:tcPr>
                <w:p w14:paraId="4802A7E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596" w:type="pct"/>
                  <w:vMerge w:val="continue"/>
                  <w:vAlign w:val="center"/>
                </w:tcPr>
                <w:p w14:paraId="19D7705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63596B0B">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39D0035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0.1L</w:t>
                  </w:r>
                </w:p>
              </w:tc>
              <w:tc>
                <w:tcPr>
                  <w:tcW w:w="682" w:type="pct"/>
                  <w:vAlign w:val="center"/>
                </w:tcPr>
                <w:p w14:paraId="7E6CF8B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036B4E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432302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24B5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009D34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402" w:type="pct"/>
                  <w:vMerge w:val="continue"/>
                  <w:vAlign w:val="center"/>
                </w:tcPr>
                <w:p w14:paraId="0C0974E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596" w:type="pct"/>
                  <w:vMerge w:val="continue"/>
                  <w:vAlign w:val="center"/>
                </w:tcPr>
                <w:p w14:paraId="00D461C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4511430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0EE75A3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0.1L</w:t>
                  </w:r>
                </w:p>
              </w:tc>
              <w:tc>
                <w:tcPr>
                  <w:tcW w:w="682" w:type="pct"/>
                  <w:vAlign w:val="center"/>
                </w:tcPr>
                <w:p w14:paraId="69550A6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D9F679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C28422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4D7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26A1965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镉</w:t>
                  </w:r>
                </w:p>
              </w:tc>
              <w:tc>
                <w:tcPr>
                  <w:tcW w:w="402" w:type="pct"/>
                  <w:vMerge w:val="restart"/>
                  <w:vAlign w:val="center"/>
                </w:tcPr>
                <w:p w14:paraId="282ED1B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μg/L</w:t>
                  </w:r>
                </w:p>
              </w:tc>
              <w:tc>
                <w:tcPr>
                  <w:tcW w:w="596" w:type="pct"/>
                  <w:vMerge w:val="restart"/>
                  <w:vAlign w:val="center"/>
                </w:tcPr>
                <w:p w14:paraId="2CDD1A1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≤0.005</w:t>
                  </w:r>
                </w:p>
              </w:tc>
              <w:tc>
                <w:tcPr>
                  <w:tcW w:w="711" w:type="pct"/>
                  <w:vAlign w:val="center"/>
                </w:tcPr>
                <w:p w14:paraId="4085F09A">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046A233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1.0L</w:t>
                  </w:r>
                </w:p>
              </w:tc>
              <w:tc>
                <w:tcPr>
                  <w:tcW w:w="682" w:type="pct"/>
                  <w:vAlign w:val="center"/>
                </w:tcPr>
                <w:p w14:paraId="3B7087A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C8A213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55DEA0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C63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5F25D22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30F9E90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4851A5A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7627B576">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6B7303A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1.0L</w:t>
                  </w:r>
                </w:p>
              </w:tc>
              <w:tc>
                <w:tcPr>
                  <w:tcW w:w="682" w:type="pct"/>
                  <w:vAlign w:val="center"/>
                </w:tcPr>
                <w:p w14:paraId="7E8D12B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82E0B1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E97252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D88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6910FC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50078D0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2AE5120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02AF56C6">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5BA454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1.0L</w:t>
                  </w:r>
                </w:p>
              </w:tc>
              <w:tc>
                <w:tcPr>
                  <w:tcW w:w="682" w:type="pct"/>
                  <w:vAlign w:val="center"/>
                </w:tcPr>
                <w:p w14:paraId="0E7D975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F6EA10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F1CEEA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F41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7AA82C7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六价铬</w:t>
                  </w:r>
                </w:p>
              </w:tc>
              <w:tc>
                <w:tcPr>
                  <w:tcW w:w="402" w:type="pct"/>
                  <w:vMerge w:val="restart"/>
                  <w:vAlign w:val="center"/>
                </w:tcPr>
                <w:p w14:paraId="256A763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1A73E85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≤0.05</w:t>
                  </w:r>
                </w:p>
              </w:tc>
              <w:tc>
                <w:tcPr>
                  <w:tcW w:w="711" w:type="pct"/>
                  <w:vAlign w:val="center"/>
                </w:tcPr>
                <w:p w14:paraId="0FD1FB0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47F40F5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0.004L</w:t>
                  </w:r>
                </w:p>
              </w:tc>
              <w:tc>
                <w:tcPr>
                  <w:tcW w:w="682" w:type="pct"/>
                  <w:vAlign w:val="center"/>
                </w:tcPr>
                <w:p w14:paraId="4305F57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3249A5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E8E45D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4514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13669B8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71862C5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709ED2A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5679DA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3E30114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0.004L</w:t>
                  </w:r>
                </w:p>
              </w:tc>
              <w:tc>
                <w:tcPr>
                  <w:tcW w:w="682" w:type="pct"/>
                  <w:vAlign w:val="center"/>
                </w:tcPr>
                <w:p w14:paraId="1B05532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C52329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F5EA3A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2B82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A5B15F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2B91F7D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5E8D79B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01283BC3">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7C6CEF4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0.004L</w:t>
                  </w:r>
                </w:p>
              </w:tc>
              <w:tc>
                <w:tcPr>
                  <w:tcW w:w="682" w:type="pct"/>
                  <w:vAlign w:val="center"/>
                </w:tcPr>
                <w:p w14:paraId="7FF9646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585446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119332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B63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763A2D9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氰化物</w:t>
                  </w:r>
                </w:p>
              </w:tc>
              <w:tc>
                <w:tcPr>
                  <w:tcW w:w="402" w:type="pct"/>
                  <w:vMerge w:val="restart"/>
                  <w:vAlign w:val="center"/>
                </w:tcPr>
                <w:p w14:paraId="7E74309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56E0DB2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w:t>
                  </w:r>
                </w:p>
              </w:tc>
              <w:tc>
                <w:tcPr>
                  <w:tcW w:w="711" w:type="pct"/>
                  <w:vAlign w:val="center"/>
                </w:tcPr>
                <w:p w14:paraId="73AA9A1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0AC5309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0.004L</w:t>
                  </w:r>
                </w:p>
              </w:tc>
              <w:tc>
                <w:tcPr>
                  <w:tcW w:w="682" w:type="pct"/>
                  <w:vAlign w:val="center"/>
                </w:tcPr>
                <w:p w14:paraId="2C23F61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A73C94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6C02F9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842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989007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7E2BF5C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26F40D4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057EA862">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17BBB8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0.004L</w:t>
                  </w:r>
                </w:p>
              </w:tc>
              <w:tc>
                <w:tcPr>
                  <w:tcW w:w="682" w:type="pct"/>
                  <w:vAlign w:val="center"/>
                </w:tcPr>
                <w:p w14:paraId="5DFEF8C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A48F10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34F9C5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348A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590F122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3242DE8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0ADECE1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1CD029C">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2B5C6DB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0.004L</w:t>
                  </w:r>
                </w:p>
              </w:tc>
              <w:tc>
                <w:tcPr>
                  <w:tcW w:w="682" w:type="pct"/>
                  <w:vAlign w:val="center"/>
                </w:tcPr>
                <w:p w14:paraId="3724575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EFDF09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339AB2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7A63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4302885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挥发酚</w:t>
                  </w:r>
                </w:p>
              </w:tc>
              <w:tc>
                <w:tcPr>
                  <w:tcW w:w="402" w:type="pct"/>
                  <w:vMerge w:val="restart"/>
                  <w:vAlign w:val="center"/>
                </w:tcPr>
                <w:p w14:paraId="134D805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7643819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≤0.01</w:t>
                  </w:r>
                </w:p>
              </w:tc>
              <w:tc>
                <w:tcPr>
                  <w:tcW w:w="711" w:type="pct"/>
                  <w:vAlign w:val="center"/>
                </w:tcPr>
                <w:p w14:paraId="3557AB5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7E67F8B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0.0003L</w:t>
                  </w:r>
                </w:p>
              </w:tc>
              <w:tc>
                <w:tcPr>
                  <w:tcW w:w="682" w:type="pct"/>
                  <w:vAlign w:val="center"/>
                </w:tcPr>
                <w:p w14:paraId="6AFAB39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66E99B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F21D91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93D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4971AE9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12729F7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520C030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60A86CCE">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0568AA0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0.0003L</w:t>
                  </w:r>
                </w:p>
              </w:tc>
              <w:tc>
                <w:tcPr>
                  <w:tcW w:w="682" w:type="pct"/>
                  <w:vAlign w:val="center"/>
                </w:tcPr>
                <w:p w14:paraId="2D9EEAA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7C3176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60FD75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7D70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8118F1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3102DF2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3218894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A47DDD3">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767FFBE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0.0003L</w:t>
                  </w:r>
                </w:p>
              </w:tc>
              <w:tc>
                <w:tcPr>
                  <w:tcW w:w="682" w:type="pct"/>
                  <w:vAlign w:val="center"/>
                </w:tcPr>
                <w:p w14:paraId="7FBB794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61605B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1AB351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27DE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7990B413">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石油类</w:t>
                  </w:r>
                </w:p>
              </w:tc>
              <w:tc>
                <w:tcPr>
                  <w:tcW w:w="402" w:type="pct"/>
                  <w:vMerge w:val="restart"/>
                  <w:vAlign w:val="center"/>
                </w:tcPr>
                <w:p w14:paraId="21B7197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731FC6A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711" w:type="pct"/>
                  <w:vAlign w:val="center"/>
                </w:tcPr>
                <w:p w14:paraId="0B902B93">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0C03BF7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0.01L</w:t>
                  </w:r>
                </w:p>
              </w:tc>
              <w:tc>
                <w:tcPr>
                  <w:tcW w:w="682" w:type="pct"/>
                  <w:vAlign w:val="center"/>
                </w:tcPr>
                <w:p w14:paraId="3AC19C4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EB9E12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115C40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551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1B994423">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6AA56862">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7F59939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6A75CB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405F0A3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0.01L</w:t>
                  </w:r>
                </w:p>
              </w:tc>
              <w:tc>
                <w:tcPr>
                  <w:tcW w:w="682" w:type="pct"/>
                  <w:vAlign w:val="center"/>
                </w:tcPr>
                <w:p w14:paraId="4BF9F9C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259887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C6A100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3EFE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B6EDB5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506759B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44CA116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81C772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6AFC152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0.01L</w:t>
                  </w:r>
                </w:p>
              </w:tc>
              <w:tc>
                <w:tcPr>
                  <w:tcW w:w="682" w:type="pct"/>
                  <w:vAlign w:val="center"/>
                </w:tcPr>
                <w:p w14:paraId="129A13C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CD110F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D4132B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0EA3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79C8ED61">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硫化物</w:t>
                  </w:r>
                </w:p>
              </w:tc>
              <w:tc>
                <w:tcPr>
                  <w:tcW w:w="402" w:type="pct"/>
                  <w:vMerge w:val="restart"/>
                  <w:vAlign w:val="center"/>
                </w:tcPr>
                <w:p w14:paraId="3C8CDB5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7778A23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711" w:type="pct"/>
                  <w:vAlign w:val="center"/>
                </w:tcPr>
                <w:p w14:paraId="4D9A139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355E3F2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0.012</w:t>
                  </w:r>
                </w:p>
              </w:tc>
              <w:tc>
                <w:tcPr>
                  <w:tcW w:w="682" w:type="pct"/>
                  <w:vAlign w:val="center"/>
                </w:tcPr>
                <w:p w14:paraId="2E509B6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0.024</w:t>
                  </w:r>
                </w:p>
              </w:tc>
              <w:tc>
                <w:tcPr>
                  <w:tcW w:w="682" w:type="pct"/>
                  <w:vAlign w:val="center"/>
                </w:tcPr>
                <w:p w14:paraId="0EEA3D3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2692DB0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04E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64B2BBB">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1987B683">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1084EF1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72A33F7B">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0336DD0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0.008</w:t>
                  </w:r>
                </w:p>
              </w:tc>
              <w:tc>
                <w:tcPr>
                  <w:tcW w:w="682" w:type="pct"/>
                  <w:vAlign w:val="center"/>
                </w:tcPr>
                <w:p w14:paraId="416E375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0.016</w:t>
                  </w:r>
                </w:p>
              </w:tc>
              <w:tc>
                <w:tcPr>
                  <w:tcW w:w="682" w:type="pct"/>
                  <w:vAlign w:val="center"/>
                </w:tcPr>
                <w:p w14:paraId="25CAEE3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832C28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3699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579629AF">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04842C54">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4F37BAF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AFE4FA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6D9B4CF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0.014</w:t>
                  </w:r>
                </w:p>
              </w:tc>
              <w:tc>
                <w:tcPr>
                  <w:tcW w:w="682" w:type="pct"/>
                  <w:vAlign w:val="center"/>
                </w:tcPr>
                <w:p w14:paraId="039AF15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0.028</w:t>
                  </w:r>
                </w:p>
              </w:tc>
              <w:tc>
                <w:tcPr>
                  <w:tcW w:w="682" w:type="pct"/>
                  <w:vAlign w:val="center"/>
                </w:tcPr>
                <w:p w14:paraId="282FB1A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BFE815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2A0C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3D5EE39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粪大肠菌群</w:t>
                  </w:r>
                </w:p>
              </w:tc>
              <w:tc>
                <w:tcPr>
                  <w:tcW w:w="402" w:type="pct"/>
                  <w:vMerge w:val="restart"/>
                  <w:vAlign w:val="center"/>
                </w:tcPr>
                <w:p w14:paraId="5BE282E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MPN/L</w:t>
                  </w:r>
                </w:p>
              </w:tc>
              <w:tc>
                <w:tcPr>
                  <w:tcW w:w="596" w:type="pct"/>
                  <w:vMerge w:val="restart"/>
                  <w:vAlign w:val="center"/>
                </w:tcPr>
                <w:p w14:paraId="2F16AA0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≤20000</w:t>
                  </w:r>
                </w:p>
              </w:tc>
              <w:tc>
                <w:tcPr>
                  <w:tcW w:w="711" w:type="pct"/>
                  <w:vAlign w:val="center"/>
                </w:tcPr>
                <w:p w14:paraId="2962AC0F">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71569C6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110</w:t>
                  </w:r>
                </w:p>
              </w:tc>
              <w:tc>
                <w:tcPr>
                  <w:tcW w:w="682" w:type="pct"/>
                  <w:vAlign w:val="center"/>
                </w:tcPr>
                <w:p w14:paraId="5B62996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0.0055</w:t>
                  </w:r>
                </w:p>
              </w:tc>
              <w:tc>
                <w:tcPr>
                  <w:tcW w:w="682" w:type="pct"/>
                  <w:vAlign w:val="center"/>
                </w:tcPr>
                <w:p w14:paraId="349CB5B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73322CE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E89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029CAE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3CF8C6E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56E9617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4AFAADAB">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7BD2C2B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120</w:t>
                  </w:r>
                </w:p>
              </w:tc>
              <w:tc>
                <w:tcPr>
                  <w:tcW w:w="682" w:type="pct"/>
                  <w:vAlign w:val="center"/>
                </w:tcPr>
                <w:p w14:paraId="082DF71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0.006</w:t>
                  </w:r>
                </w:p>
              </w:tc>
              <w:tc>
                <w:tcPr>
                  <w:tcW w:w="682" w:type="pct"/>
                  <w:vAlign w:val="center"/>
                </w:tcPr>
                <w:p w14:paraId="150092B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004750A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8F1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5BE7B17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34310B2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269092D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6D0AA0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599C33F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110</w:t>
                  </w:r>
                </w:p>
              </w:tc>
              <w:tc>
                <w:tcPr>
                  <w:tcW w:w="682" w:type="pct"/>
                  <w:vAlign w:val="center"/>
                </w:tcPr>
                <w:p w14:paraId="16E080E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0.0055</w:t>
                  </w:r>
                </w:p>
              </w:tc>
              <w:tc>
                <w:tcPr>
                  <w:tcW w:w="682" w:type="pct"/>
                  <w:vAlign w:val="center"/>
                </w:tcPr>
                <w:p w14:paraId="5708F0A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76AFF7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874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6DB53A8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阴离子表面活性剂</w:t>
                  </w:r>
                </w:p>
              </w:tc>
              <w:tc>
                <w:tcPr>
                  <w:tcW w:w="402" w:type="pct"/>
                  <w:vMerge w:val="restart"/>
                  <w:vAlign w:val="center"/>
                </w:tcPr>
                <w:p w14:paraId="502346D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14CC38B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≤0.3</w:t>
                  </w:r>
                </w:p>
              </w:tc>
              <w:tc>
                <w:tcPr>
                  <w:tcW w:w="711" w:type="pct"/>
                  <w:vAlign w:val="center"/>
                </w:tcPr>
                <w:p w14:paraId="04D1290B">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2B39115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1EC3664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6FF6CEF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F85240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C69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02C5CE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6D86E87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77CE029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0C249CE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C26AD6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63A8879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7533CF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CAF1D9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0BCA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063795D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728516E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316C200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5A0D25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770EA04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193B79C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4A337F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D5206D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bl>
          <w:p w14:paraId="4CED6C6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由上表可知，</w:t>
            </w:r>
            <w:r>
              <w:rPr>
                <w:rFonts w:hint="eastAsia" w:ascii="Times New Roman" w:hAnsi="Times New Roman" w:cs="Times New Roman"/>
                <w:color w:val="000000" w:themeColor="text1"/>
                <w:sz w:val="24"/>
                <w:lang w:val="en-US" w:eastAsia="zh-CN"/>
                <w14:textFill>
                  <w14:solidFill>
                    <w14:schemeClr w14:val="tx1"/>
                  </w14:solidFill>
                </w14:textFill>
              </w:rPr>
              <w:t>项目区下游300m</w:t>
            </w:r>
            <w:r>
              <w:rPr>
                <w:rFonts w:hint="default" w:ascii="Times New Roman" w:hAnsi="Times New Roman" w:cs="Times New Roman"/>
                <w:color w:val="000000" w:themeColor="text1"/>
                <w:sz w:val="24"/>
                <w14:textFill>
                  <w14:solidFill>
                    <w14:schemeClr w14:val="tx1"/>
                  </w14:solidFill>
                </w14:textFill>
              </w:rPr>
              <w:t>断面螳螂川水质检测指标</w:t>
            </w:r>
            <w:r>
              <w:rPr>
                <w:rFonts w:hint="default" w:ascii="Times New Roman" w:hAnsi="Times New Roman" w:cs="Times New Roman"/>
                <w:color w:val="000000" w:themeColor="text1"/>
                <w:kern w:val="0"/>
                <w:sz w:val="24"/>
                <w14:textFill>
                  <w14:solidFill>
                    <w14:schemeClr w14:val="tx1"/>
                  </w14:solidFill>
                </w14:textFill>
              </w:rPr>
              <w:t>化学需氧量、五日生化需氧量、总磷不</w:t>
            </w:r>
            <w:r>
              <w:rPr>
                <w:rFonts w:hint="default" w:ascii="Times New Roman" w:hAnsi="Times New Roman" w:cs="Times New Roman"/>
                <w:color w:val="000000" w:themeColor="text1"/>
                <w:sz w:val="24"/>
                <w14:textFill>
                  <w14:solidFill>
                    <w14:schemeClr w14:val="tx1"/>
                  </w14:solidFill>
                </w14:textFill>
              </w:rPr>
              <w:t>满足《地表水环境质量标准》（GB3838-2002）IV类水质标准，其中</w:t>
            </w:r>
            <w:r>
              <w:rPr>
                <w:rFonts w:hint="default" w:ascii="Times New Roman" w:hAnsi="Times New Roman" w:cs="Times New Roman"/>
                <w:color w:val="000000" w:themeColor="text1"/>
                <w:kern w:val="0"/>
                <w:sz w:val="24"/>
                <w14:textFill>
                  <w14:solidFill>
                    <w14:schemeClr w14:val="tx1"/>
                  </w14:solidFill>
                </w14:textFill>
              </w:rPr>
              <w:t>化学需氧量超标0.13倍、五日生化需氧量超标0.80倍、总磷超标0.27倍，</w:t>
            </w:r>
            <w:r>
              <w:rPr>
                <w:rFonts w:hint="default" w:ascii="Times New Roman" w:hAnsi="Times New Roman" w:cs="Times New Roman"/>
                <w:color w:val="000000" w:themeColor="text1"/>
                <w:sz w:val="24"/>
                <w14:textFill>
                  <w14:solidFill>
                    <w14:schemeClr w14:val="tx1"/>
                  </w14:solidFill>
                </w14:textFill>
              </w:rPr>
              <w:t>超标原因：螳螂川为富民县纳污河道，主要是</w:t>
            </w:r>
            <w:r>
              <w:rPr>
                <w:rFonts w:hint="eastAsia" w:ascii="Times New Roman" w:hAnsi="Times New Roman" w:cs="Times New Roman"/>
                <w:color w:val="000000" w:themeColor="text1"/>
                <w:sz w:val="24"/>
                <w:lang w:val="en-US" w:eastAsia="zh-CN"/>
                <w14:textFill>
                  <w14:solidFill>
                    <w14:schemeClr w14:val="tx1"/>
                  </w14:solidFill>
                </w14:textFill>
              </w:rPr>
              <w:t>项目区上游</w:t>
            </w:r>
            <w:r>
              <w:rPr>
                <w:rFonts w:hint="default" w:ascii="Times New Roman" w:hAnsi="Times New Roman" w:cs="Times New Roman"/>
                <w:color w:val="000000" w:themeColor="text1"/>
                <w:sz w:val="24"/>
                <w14:textFill>
                  <w14:solidFill>
                    <w14:schemeClr w14:val="tx1"/>
                  </w14:solidFill>
                </w14:textFill>
              </w:rPr>
              <w:t>工业、集镇生活、农业农村面源污染所致。</w:t>
            </w:r>
          </w:p>
          <w:p w14:paraId="6A2B4E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rPr>
              <w:t>3</w:t>
            </w:r>
            <w:r>
              <w:rPr>
                <w:rFonts w:hint="default" w:ascii="Times New Roman" w:hAnsi="Times New Roman" w:eastAsia="宋体" w:cs="Times New Roman"/>
                <w:b/>
                <w:bCs/>
                <w:color w:val="auto"/>
                <w:kern w:val="0"/>
                <w:sz w:val="24"/>
                <w:szCs w:val="24"/>
              </w:rPr>
              <w:t>、声环境质量状况</w:t>
            </w:r>
          </w:p>
          <w:p w14:paraId="3393F2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color w:val="auto"/>
                <w:sz w:val="24"/>
                <w:szCs w:val="24"/>
                <w:highlight w:val="none"/>
              </w:rPr>
              <w:t>项目位于昆明市富民县富民工业园区，项目区域</w:t>
            </w:r>
            <w:r>
              <w:rPr>
                <w:rFonts w:hint="eastAsia"/>
                <w:color w:val="auto"/>
                <w:sz w:val="24"/>
                <w:szCs w:val="24"/>
                <w:highlight w:val="none"/>
                <w:lang w:val="en-US" w:eastAsia="zh-CN"/>
              </w:rPr>
              <w:t>声环境质量标准</w:t>
            </w:r>
            <w:r>
              <w:rPr>
                <w:rFonts w:hint="default" w:ascii="Times New Roman" w:hAnsi="Times New Roman"/>
                <w:color w:val="auto"/>
                <w:sz w:val="24"/>
                <w:szCs w:val="24"/>
                <w:highlight w:val="none"/>
              </w:rPr>
              <w:t>执行《声环境质量标准》（GB3096-2008）3类标准。</w:t>
            </w:r>
          </w:p>
          <w:p w14:paraId="01364A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根据《建设项目环境影响报告表编制技术指南（污染影响类）》（试行）相关内容，厂界外周边50米范围内不存在声环境保护目标的建设项目，</w:t>
            </w:r>
            <w:r>
              <w:rPr>
                <w:rFonts w:hint="eastAsia" w:ascii="Times New Roman" w:hAnsi="Times New Roman" w:cs="Times New Roman"/>
                <w:color w:val="auto"/>
                <w:sz w:val="24"/>
                <w:szCs w:val="24"/>
                <w:highlight w:val="none"/>
                <w:lang w:val="en-US" w:eastAsia="zh-CN"/>
              </w:rPr>
              <w:t>不</w:t>
            </w:r>
            <w:r>
              <w:rPr>
                <w:rFonts w:hint="default" w:ascii="Times New Roman" w:hAnsi="Times New Roman" w:cs="Times New Roman"/>
                <w:color w:val="auto"/>
                <w:sz w:val="24"/>
                <w:szCs w:val="24"/>
                <w:highlight w:val="none"/>
              </w:rPr>
              <w:t>监测保护目标声环境质量现状并评价达标情况</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故本项目未监测项目周边村庄的</w:t>
            </w:r>
            <w:r>
              <w:rPr>
                <w:rFonts w:hint="default" w:ascii="Times New Roman" w:hAnsi="Times New Roman" w:cs="Times New Roman"/>
                <w:color w:val="auto"/>
                <w:sz w:val="24"/>
                <w:szCs w:val="24"/>
                <w:highlight w:val="none"/>
              </w:rPr>
              <w:t>声环境现状。</w:t>
            </w:r>
          </w:p>
          <w:p w14:paraId="3DF9F0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4、</w:t>
            </w:r>
            <w:r>
              <w:rPr>
                <w:rFonts w:hint="eastAsia" w:cs="Times New Roman"/>
                <w:b/>
                <w:bCs/>
                <w:color w:val="auto"/>
                <w:kern w:val="0"/>
                <w:sz w:val="24"/>
                <w:szCs w:val="24"/>
                <w:lang w:val="en-US" w:eastAsia="zh-CN"/>
              </w:rPr>
              <w:t>地下水环境质量</w:t>
            </w:r>
          </w:p>
          <w:p w14:paraId="644BB4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auto"/>
                <w:sz w:val="24"/>
                <w:szCs w:val="24"/>
                <w:highlight w:val="none"/>
                <w:lang w:val="en-US" w:eastAsia="zh-CN"/>
              </w:rPr>
              <w:t>项目地下水环境质量现状</w:t>
            </w:r>
            <w:r>
              <w:rPr>
                <w:rFonts w:hint="eastAsia" w:cs="Times New Roman"/>
                <w:color w:val="auto"/>
                <w:sz w:val="24"/>
                <w:szCs w:val="24"/>
                <w:highlight w:val="none"/>
                <w:lang w:val="en-US" w:eastAsia="zh-CN"/>
              </w:rPr>
              <w:t>，引用《云南富民产业园区总体规划修编（2022-2035年）环境影响报告书》</w:t>
            </w:r>
            <w:r>
              <w:rPr>
                <w:rFonts w:hint="default" w:ascii="Times New Roman" w:hAnsi="Times New Roman" w:cs="Times New Roman"/>
                <w:color w:val="000000" w:themeColor="text1"/>
                <w:sz w:val="24"/>
                <w14:textFill>
                  <w14:solidFill>
                    <w14:schemeClr w14:val="tx1"/>
                  </w14:solidFill>
                </w14:textFill>
              </w:rPr>
              <w:t>云南泰义检测技术有限公司2022年11月25日~11月26日对</w:t>
            </w:r>
            <w:r>
              <w:rPr>
                <w:rFonts w:hint="eastAsia" w:ascii="Times New Roman" w:hAnsi="Times New Roman" w:cs="Times New Roman"/>
                <w:color w:val="000000" w:themeColor="text1"/>
                <w:sz w:val="24"/>
                <w:lang w:val="en-US" w:eastAsia="zh-CN"/>
                <w14:textFill>
                  <w14:solidFill>
                    <w14:schemeClr w14:val="tx1"/>
                  </w14:solidFill>
                </w14:textFill>
              </w:rPr>
              <w:t>本项目所在区域的地下水检测数据，监测点D1位于项目东南侧3.8km，D2位于项目北侧4.6km、D3位于项目东侧3.4km。检测结果见下表。</w:t>
            </w:r>
          </w:p>
          <w:p w14:paraId="30E6B94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w:t>
            </w:r>
            <w:r>
              <w:rPr>
                <w:rFonts w:hint="eastAsia" w:ascii="Times New Roman" w:hAnsi="Times New Roman" w:cs="Times New Roman"/>
                <w:b/>
                <w:bCs/>
                <w:color w:val="000000" w:themeColor="text1"/>
                <w:sz w:val="21"/>
                <w:szCs w:val="21"/>
                <w:lang w:val="en-US" w:eastAsia="zh-CN"/>
                <w14:textFill>
                  <w14:solidFill>
                    <w14:schemeClr w14:val="tx1"/>
                  </w14:solidFill>
                </w14:textFill>
              </w:rPr>
              <w:t>3-3</w:t>
            </w:r>
            <w:r>
              <w:rPr>
                <w:rFonts w:hint="default" w:ascii="Times New Roman" w:hAnsi="Times New Roman" w:cs="Times New Roman"/>
                <w:b/>
                <w:bCs/>
                <w:color w:val="000000" w:themeColor="text1"/>
                <w:sz w:val="21"/>
                <w:szCs w:val="21"/>
                <w14:textFill>
                  <w14:solidFill>
                    <w14:schemeClr w14:val="tx1"/>
                  </w14:solidFill>
                </w14:textFill>
              </w:rPr>
              <w:t xml:space="preserve"> 各片区地下水质量现状监测结果一览表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910"/>
              <w:gridCol w:w="910"/>
              <w:gridCol w:w="910"/>
              <w:gridCol w:w="910"/>
              <w:gridCol w:w="910"/>
              <w:gridCol w:w="910"/>
              <w:gridCol w:w="1072"/>
              <w:gridCol w:w="398"/>
            </w:tblGrid>
            <w:tr w14:paraId="753E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318CC06E">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点位名称</w:t>
                  </w:r>
                </w:p>
              </w:tc>
              <w:tc>
                <w:tcPr>
                  <w:tcW w:w="1082" w:type="pct"/>
                  <w:gridSpan w:val="2"/>
                  <w:vAlign w:val="center"/>
                </w:tcPr>
                <w:p w14:paraId="706205B5">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lang w:val="en-US" w:eastAsia="zh-CN"/>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黄磷厂内水井（麦竜箐组团）</w:t>
                  </w:r>
                  <w:r>
                    <w:rPr>
                      <w:rFonts w:hint="eastAsia" w:eastAsiaTheme="minorEastAsia"/>
                      <w:b/>
                      <w:bCs/>
                      <w:i w:val="0"/>
                      <w:iCs/>
                      <w:color w:val="000000" w:themeColor="text1"/>
                      <w:szCs w:val="21"/>
                      <w:lang w:val="en-US" w:eastAsia="zh-CN"/>
                      <w14:textFill>
                        <w14:solidFill>
                          <w14:schemeClr w14:val="tx1"/>
                        </w14:solidFill>
                      </w14:textFill>
                    </w:rPr>
                    <w:t>D1</w:t>
                  </w:r>
                </w:p>
              </w:tc>
              <w:tc>
                <w:tcPr>
                  <w:tcW w:w="1082" w:type="pct"/>
                  <w:gridSpan w:val="2"/>
                  <w:vAlign w:val="center"/>
                </w:tcPr>
                <w:p w14:paraId="6D4E4148">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lang w:val="en-US" w:eastAsia="zh-CN"/>
                      <w14:textFill>
                        <w14:solidFill>
                          <w14:schemeClr w14:val="tx1"/>
                        </w14:solidFill>
                      </w14:textFill>
                    </w:rPr>
                  </w:pPr>
                  <w:r>
                    <w:rPr>
                      <w:rFonts w:hint="default" w:eastAsiaTheme="minorEastAsia"/>
                      <w:b/>
                      <w:bCs/>
                      <w:i w:val="0"/>
                      <w:iCs/>
                      <w:color w:val="000000" w:themeColor="text1"/>
                      <w:kern w:val="2"/>
                      <w:szCs w:val="21"/>
                      <w14:textFill>
                        <w14:solidFill>
                          <w14:schemeClr w14:val="tx1"/>
                        </w14:solidFill>
                      </w14:textFill>
                    </w:rPr>
                    <w:t>大地丰源水井跟踪监测井（大白坡组团）</w:t>
                  </w:r>
                  <w:r>
                    <w:rPr>
                      <w:rFonts w:hint="eastAsia" w:eastAsiaTheme="minorEastAsia"/>
                      <w:b/>
                      <w:bCs/>
                      <w:i w:val="0"/>
                      <w:iCs/>
                      <w:color w:val="000000" w:themeColor="text1"/>
                      <w:kern w:val="2"/>
                      <w:szCs w:val="21"/>
                      <w:lang w:val="en-US" w:eastAsia="zh-CN"/>
                      <w14:textFill>
                        <w14:solidFill>
                          <w14:schemeClr w14:val="tx1"/>
                        </w14:solidFill>
                      </w14:textFill>
                    </w:rPr>
                    <w:t>D2</w:t>
                  </w:r>
                </w:p>
              </w:tc>
              <w:tc>
                <w:tcPr>
                  <w:tcW w:w="1082" w:type="pct"/>
                  <w:gridSpan w:val="2"/>
                  <w:vAlign w:val="center"/>
                </w:tcPr>
                <w:p w14:paraId="01467599">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kern w:val="2"/>
                      <w:szCs w:val="21"/>
                      <w:lang w:val="en-US" w:eastAsia="zh-CN"/>
                      <w14:textFill>
                        <w14:solidFill>
                          <w14:schemeClr w14:val="tx1"/>
                        </w14:solidFill>
                      </w14:textFill>
                    </w:rPr>
                  </w:pPr>
                  <w:r>
                    <w:rPr>
                      <w:rFonts w:hint="default" w:eastAsiaTheme="minorEastAsia"/>
                      <w:b/>
                      <w:bCs/>
                      <w:i w:val="0"/>
                      <w:iCs/>
                      <w:color w:val="000000" w:themeColor="text1"/>
                      <w:kern w:val="2"/>
                      <w:szCs w:val="21"/>
                      <w14:textFill>
                        <w14:solidFill>
                          <w14:schemeClr w14:val="tx1"/>
                        </w14:solidFill>
                      </w14:textFill>
                    </w:rPr>
                    <w:t>麦竜箐村水井（麦竜箐组团、白石岩组团）</w:t>
                  </w:r>
                  <w:r>
                    <w:rPr>
                      <w:rFonts w:hint="eastAsia" w:eastAsiaTheme="minorEastAsia"/>
                      <w:b/>
                      <w:bCs/>
                      <w:i w:val="0"/>
                      <w:iCs/>
                      <w:color w:val="000000" w:themeColor="text1"/>
                      <w:kern w:val="2"/>
                      <w:szCs w:val="21"/>
                      <w:lang w:val="en-US" w:eastAsia="zh-CN"/>
                      <w14:textFill>
                        <w14:solidFill>
                          <w14:schemeClr w14:val="tx1"/>
                        </w14:solidFill>
                      </w14:textFill>
                    </w:rPr>
                    <w:t>D3</w:t>
                  </w:r>
                </w:p>
              </w:tc>
              <w:tc>
                <w:tcPr>
                  <w:tcW w:w="497" w:type="pct"/>
                  <w:vMerge w:val="restart"/>
                  <w:vAlign w:val="center"/>
                </w:tcPr>
                <w:p w14:paraId="2C2326CB">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执行</w:t>
                  </w:r>
                </w:p>
                <w:p w14:paraId="18978E70">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标准</w:t>
                  </w:r>
                </w:p>
              </w:tc>
              <w:tc>
                <w:tcPr>
                  <w:tcW w:w="376" w:type="pct"/>
                  <w:vMerge w:val="restart"/>
                  <w:vAlign w:val="center"/>
                </w:tcPr>
                <w:p w14:paraId="147B80A1">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达标情况</w:t>
                  </w:r>
                </w:p>
              </w:tc>
            </w:tr>
            <w:tr w14:paraId="5F36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77" w:type="pct"/>
                  <w:vAlign w:val="center"/>
                </w:tcPr>
                <w:p w14:paraId="300AE8BD">
                  <w:pPr>
                    <w:pStyle w:val="35"/>
                    <w:keepNext w:val="0"/>
                    <w:keepLines w:val="0"/>
                    <w:widowControl/>
                    <w:suppressLineNumbers w:val="0"/>
                    <w:spacing w:before="0" w:beforeAutospacing="0" w:after="0" w:afterAutospacing="0"/>
                    <w:ind w:left="0" w:right="0"/>
                    <w:jc w:val="right"/>
                    <w:rPr>
                      <w:rFonts w:hint="default" w:eastAsiaTheme="minorEastAsia"/>
                      <w:b/>
                      <w:bCs/>
                      <w:i w:val="0"/>
                      <w:iCs/>
                      <w:color w:val="000000" w:themeColor="text1"/>
                      <w:szCs w:val="21"/>
                      <w14:textFill>
                        <w14:solidFill>
                          <w14:schemeClr w14:val="tx1"/>
                        </w14:solidFill>
                      </w14:textFill>
                    </w:rPr>
                  </w:pPr>
                  <w:r>
                    <w:rPr>
                      <w:rFonts w:hint="default" w:eastAsiaTheme="minorEastAsia"/>
                      <w:color w:val="000000" w:themeColor="text1"/>
                      <w:szCs w:val="20"/>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-5080</wp:posOffset>
                            </wp:positionH>
                            <wp:positionV relativeFrom="paragraph">
                              <wp:posOffset>-635</wp:posOffset>
                            </wp:positionV>
                            <wp:extent cx="1003935" cy="446405"/>
                            <wp:effectExtent l="1905" t="4445" r="3810" b="6350"/>
                            <wp:wrapNone/>
                            <wp:docPr id="82" name="直接连接符 82"/>
                            <wp:cNvGraphicFramePr/>
                            <a:graphic xmlns:a="http://schemas.openxmlformats.org/drawingml/2006/main">
                              <a:graphicData uri="http://schemas.microsoft.com/office/word/2010/wordprocessingShape">
                                <wps:wsp>
                                  <wps:cNvCnPr/>
                                  <wps:spPr>
                                    <a:xfrm>
                                      <a:off x="1093470" y="7486650"/>
                                      <a:ext cx="1003935" cy="4464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pt;margin-top:-0.05pt;height:35.15pt;width:79.05pt;z-index:251673600;mso-width-relative:page;mso-height-relative:page;" filled="f" stroked="t" coordsize="21600,21600" o:gfxdata="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rs/VH1AAA&#10;AAYBAAAPAAAAAAAAAAEAIAAAACIAAABkcnMvZG93bnJldi54bWxQSwECFAAUAAAACACHTuJAOeEN&#10;3OkBAACtAwAADgAAAAAAAAABACAAAAAjAQAAZHJzL2Uyb0RvYy54bWxQSwUGAAAAAAYABgBZAQAA&#10;fgUAAAAA&#10;">
                            <v:fill on="f" focussize="0,0"/>
                            <v:stroke color="#000000 [3213]" joinstyle="round"/>
                            <v:imagedata o:title=""/>
                            <o:lock v:ext="edit" aspectratio="f"/>
                          </v:line>
                        </w:pict>
                      </mc:Fallback>
                    </mc:AlternateContent>
                  </w:r>
                  <w:r>
                    <w:rPr>
                      <w:rFonts w:hint="default" w:eastAsiaTheme="minorEastAsia"/>
                      <w:b/>
                      <w:bCs/>
                      <w:i w:val="0"/>
                      <w:iCs/>
                      <w:color w:val="000000" w:themeColor="text1"/>
                      <w:szCs w:val="21"/>
                      <w14:textFill>
                        <w14:solidFill>
                          <w14:schemeClr w14:val="tx1"/>
                        </w14:solidFill>
                      </w14:textFill>
                    </w:rPr>
                    <w:t>日期</w:t>
                  </w:r>
                </w:p>
                <w:p w14:paraId="3873B4B7">
                  <w:pPr>
                    <w:pStyle w:val="35"/>
                    <w:keepNext w:val="0"/>
                    <w:keepLines w:val="0"/>
                    <w:widowControl/>
                    <w:suppressLineNumbers w:val="0"/>
                    <w:spacing w:before="0" w:beforeAutospacing="0" w:after="0" w:afterAutospacing="0"/>
                    <w:ind w:left="0" w:right="0"/>
                    <w:jc w:val="left"/>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监测项目</w:t>
                  </w:r>
                </w:p>
              </w:tc>
              <w:tc>
                <w:tcPr>
                  <w:tcW w:w="541" w:type="pct"/>
                  <w:vAlign w:val="center"/>
                </w:tcPr>
                <w:p w14:paraId="2C3E4220">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11.25</w:t>
                  </w:r>
                </w:p>
              </w:tc>
              <w:tc>
                <w:tcPr>
                  <w:tcW w:w="541" w:type="pct"/>
                  <w:vAlign w:val="center"/>
                </w:tcPr>
                <w:p w14:paraId="651CE81D">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11.26</w:t>
                  </w:r>
                </w:p>
              </w:tc>
              <w:tc>
                <w:tcPr>
                  <w:tcW w:w="541" w:type="pct"/>
                  <w:vAlign w:val="center"/>
                </w:tcPr>
                <w:p w14:paraId="7CBA52DD">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11.25</w:t>
                  </w:r>
                </w:p>
              </w:tc>
              <w:tc>
                <w:tcPr>
                  <w:tcW w:w="541" w:type="pct"/>
                  <w:vAlign w:val="center"/>
                </w:tcPr>
                <w:p w14:paraId="75274122">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11.26</w:t>
                  </w:r>
                </w:p>
              </w:tc>
              <w:tc>
                <w:tcPr>
                  <w:tcW w:w="541" w:type="pct"/>
                  <w:vAlign w:val="center"/>
                </w:tcPr>
                <w:p w14:paraId="0EB3F0B4">
                  <w:pPr>
                    <w:pStyle w:val="35"/>
                    <w:keepNext w:val="0"/>
                    <w:keepLines w:val="0"/>
                    <w:widowControl/>
                    <w:suppressLineNumbers w:val="0"/>
                    <w:spacing w:before="0" w:beforeAutospacing="0" w:after="0" w:afterAutospacing="0"/>
                    <w:ind w:left="0" w:leftChars="0" w:right="0" w:rightChars="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11.25</w:t>
                  </w:r>
                </w:p>
              </w:tc>
              <w:tc>
                <w:tcPr>
                  <w:tcW w:w="541" w:type="pct"/>
                  <w:vAlign w:val="center"/>
                </w:tcPr>
                <w:p w14:paraId="777FD69A">
                  <w:pPr>
                    <w:pStyle w:val="35"/>
                    <w:keepNext w:val="0"/>
                    <w:keepLines w:val="0"/>
                    <w:widowControl/>
                    <w:suppressLineNumbers w:val="0"/>
                    <w:spacing w:before="0" w:beforeAutospacing="0" w:after="0" w:afterAutospacing="0"/>
                    <w:ind w:left="0" w:leftChars="0" w:right="0" w:rightChars="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11.26</w:t>
                  </w:r>
                </w:p>
              </w:tc>
              <w:tc>
                <w:tcPr>
                  <w:tcW w:w="497" w:type="pct"/>
                  <w:vMerge w:val="continue"/>
                  <w:vAlign w:val="center"/>
                </w:tcPr>
                <w:p w14:paraId="0FA87295">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p>
              </w:tc>
              <w:tc>
                <w:tcPr>
                  <w:tcW w:w="376" w:type="pct"/>
                  <w:vMerge w:val="continue"/>
                  <w:vAlign w:val="center"/>
                </w:tcPr>
                <w:p w14:paraId="1AE227F7">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p>
              </w:tc>
            </w:tr>
            <w:tr w14:paraId="6630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6452ACB4">
                  <w:pPr>
                    <w:keepNext w:val="0"/>
                    <w:keepLines w:val="0"/>
                    <w:suppressLineNumbers w:val="0"/>
                    <w:snapToGrid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pH（无量纲）</w:t>
                  </w:r>
                </w:p>
              </w:tc>
              <w:tc>
                <w:tcPr>
                  <w:tcW w:w="541" w:type="pct"/>
                  <w:vAlign w:val="center"/>
                </w:tcPr>
                <w:p w14:paraId="40096C8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7.34</w:t>
                  </w:r>
                </w:p>
              </w:tc>
              <w:tc>
                <w:tcPr>
                  <w:tcW w:w="541" w:type="pct"/>
                  <w:vAlign w:val="center"/>
                </w:tcPr>
                <w:p w14:paraId="2CFEE4D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7.32</w:t>
                  </w:r>
                </w:p>
              </w:tc>
              <w:tc>
                <w:tcPr>
                  <w:tcW w:w="541" w:type="pct"/>
                  <w:vAlign w:val="center"/>
                </w:tcPr>
                <w:p w14:paraId="74D92A1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7.27</w:t>
                  </w:r>
                </w:p>
              </w:tc>
              <w:tc>
                <w:tcPr>
                  <w:tcW w:w="541" w:type="pct"/>
                  <w:vAlign w:val="center"/>
                </w:tcPr>
                <w:p w14:paraId="589A38A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7.28</w:t>
                  </w:r>
                </w:p>
              </w:tc>
              <w:tc>
                <w:tcPr>
                  <w:tcW w:w="541" w:type="pct"/>
                  <w:vAlign w:val="center"/>
                </w:tcPr>
                <w:p w14:paraId="63A8569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7.25</w:t>
                  </w:r>
                </w:p>
              </w:tc>
              <w:tc>
                <w:tcPr>
                  <w:tcW w:w="541" w:type="pct"/>
                  <w:vAlign w:val="center"/>
                </w:tcPr>
                <w:p w14:paraId="35BA26B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7.27</w:t>
                  </w:r>
                </w:p>
              </w:tc>
              <w:tc>
                <w:tcPr>
                  <w:tcW w:w="497" w:type="pct"/>
                  <w:vAlign w:val="center"/>
                </w:tcPr>
                <w:p w14:paraId="26A27187">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6.5~8.5</w:t>
                  </w:r>
                </w:p>
              </w:tc>
              <w:tc>
                <w:tcPr>
                  <w:tcW w:w="376" w:type="pct"/>
                  <w:vAlign w:val="center"/>
                </w:tcPr>
                <w:p w14:paraId="74FEE2F2">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达标</w:t>
                  </w:r>
                </w:p>
              </w:tc>
            </w:tr>
            <w:tr w14:paraId="0F7B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pct"/>
                  <w:vAlign w:val="center"/>
                </w:tcPr>
                <w:p w14:paraId="74B7664C">
                  <w:pPr>
                    <w:keepNext w:val="0"/>
                    <w:keepLines w:val="0"/>
                    <w:suppressLineNumbers w:val="0"/>
                    <w:snapToGrid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水温（</w:t>
                  </w:r>
                  <w:r>
                    <w:rPr>
                      <w:rFonts w:hint="eastAsia" w:ascii="宋体" w:hAnsi="宋体" w:eastAsia="宋体" w:cs="宋体"/>
                      <w:iCs/>
                      <w:color w:val="000000" w:themeColor="text1"/>
                      <w:szCs w:val="21"/>
                      <w14:textFill>
                        <w14:solidFill>
                          <w14:schemeClr w14:val="tx1"/>
                        </w14:solidFill>
                      </w14:textFill>
                    </w:rPr>
                    <w:t>℃</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04C3E07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20.4</w:t>
                  </w:r>
                </w:p>
              </w:tc>
              <w:tc>
                <w:tcPr>
                  <w:tcW w:w="541" w:type="pct"/>
                  <w:vAlign w:val="center"/>
                </w:tcPr>
                <w:p w14:paraId="0C20C0E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19.7</w:t>
                  </w:r>
                </w:p>
              </w:tc>
              <w:tc>
                <w:tcPr>
                  <w:tcW w:w="541" w:type="pct"/>
                  <w:vAlign w:val="center"/>
                </w:tcPr>
                <w:p w14:paraId="6B4106F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19.4</w:t>
                  </w:r>
                </w:p>
              </w:tc>
              <w:tc>
                <w:tcPr>
                  <w:tcW w:w="541" w:type="pct"/>
                  <w:vAlign w:val="center"/>
                </w:tcPr>
                <w:p w14:paraId="25BA682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19.9</w:t>
                  </w:r>
                </w:p>
              </w:tc>
              <w:tc>
                <w:tcPr>
                  <w:tcW w:w="541" w:type="pct"/>
                  <w:vAlign w:val="center"/>
                </w:tcPr>
                <w:p w14:paraId="6A8AA93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21.7</w:t>
                  </w:r>
                </w:p>
              </w:tc>
              <w:tc>
                <w:tcPr>
                  <w:tcW w:w="541" w:type="pct"/>
                  <w:vAlign w:val="center"/>
                </w:tcPr>
                <w:p w14:paraId="678BFD5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21.7</w:t>
                  </w:r>
                </w:p>
              </w:tc>
              <w:tc>
                <w:tcPr>
                  <w:tcW w:w="497" w:type="pct"/>
                  <w:vAlign w:val="center"/>
                </w:tcPr>
                <w:p w14:paraId="7CC30263">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1F6AAA9C">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2C40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475B8002">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Cl</w:t>
                  </w:r>
                  <w:r>
                    <w:rPr>
                      <w:rFonts w:hint="default" w:ascii="Times New Roman" w:hAnsi="Times New Roman" w:cs="Times New Roman"/>
                      <w:iCs/>
                      <w:color w:val="000000" w:themeColor="text1"/>
                      <w:szCs w:val="21"/>
                      <w:vertAlign w:val="superscript"/>
                      <w14:textFill>
                        <w14:solidFill>
                          <w14:schemeClr w14:val="tx1"/>
                        </w14:solidFill>
                      </w14:textFill>
                    </w:rPr>
                    <w:t>-</w:t>
                  </w:r>
                  <w:r>
                    <w:rPr>
                      <w:rFonts w:hint="default" w:ascii="Times New Roman" w:hAnsi="Times New Roman" w:cs="Times New Roman"/>
                      <w:iCs/>
                      <w:color w:val="000000" w:themeColor="text1"/>
                      <w:szCs w:val="21"/>
                      <w14:textFill>
                        <w14:solidFill>
                          <w14:schemeClr w14:val="tx1"/>
                        </w14:solidFill>
                      </w14:textFill>
                    </w:rPr>
                    <w:t>（</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6EF74A2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22.6</w:t>
                  </w:r>
                </w:p>
              </w:tc>
              <w:tc>
                <w:tcPr>
                  <w:tcW w:w="541" w:type="pct"/>
                  <w:vAlign w:val="center"/>
                </w:tcPr>
                <w:p w14:paraId="46D5E78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22.8</w:t>
                  </w:r>
                </w:p>
              </w:tc>
              <w:tc>
                <w:tcPr>
                  <w:tcW w:w="541" w:type="pct"/>
                  <w:vAlign w:val="center"/>
                </w:tcPr>
                <w:p w14:paraId="5EDD81D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62.2</w:t>
                  </w:r>
                </w:p>
              </w:tc>
              <w:tc>
                <w:tcPr>
                  <w:tcW w:w="541" w:type="pct"/>
                  <w:vAlign w:val="center"/>
                </w:tcPr>
                <w:p w14:paraId="09D760D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63.1</w:t>
                  </w:r>
                </w:p>
              </w:tc>
              <w:tc>
                <w:tcPr>
                  <w:tcW w:w="541" w:type="pct"/>
                  <w:vAlign w:val="center"/>
                </w:tcPr>
                <w:p w14:paraId="4D63B89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4.10</w:t>
                  </w:r>
                </w:p>
              </w:tc>
              <w:tc>
                <w:tcPr>
                  <w:tcW w:w="541" w:type="pct"/>
                  <w:vAlign w:val="center"/>
                </w:tcPr>
                <w:p w14:paraId="6125EFD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4.22</w:t>
                  </w:r>
                </w:p>
              </w:tc>
              <w:tc>
                <w:tcPr>
                  <w:tcW w:w="497" w:type="pct"/>
                  <w:vAlign w:val="center"/>
                </w:tcPr>
                <w:p w14:paraId="31D3CBBE">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1C4741C3">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582A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678FF115">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SO</w:t>
                  </w:r>
                  <w:r>
                    <w:rPr>
                      <w:rFonts w:hint="default" w:ascii="Times New Roman" w:hAnsi="Times New Roman" w:cs="Times New Roman"/>
                      <w:iCs/>
                      <w:color w:val="000000" w:themeColor="text1"/>
                      <w:szCs w:val="21"/>
                      <w:vertAlign w:val="subscript"/>
                      <w14:textFill>
                        <w14:solidFill>
                          <w14:schemeClr w14:val="tx1"/>
                        </w14:solidFill>
                      </w14:textFill>
                    </w:rPr>
                    <w:t>4</w:t>
                  </w:r>
                  <w:r>
                    <w:rPr>
                      <w:rFonts w:hint="default" w:ascii="Times New Roman" w:hAnsi="Times New Roman" w:cs="Times New Roman"/>
                      <w:iCs/>
                      <w:color w:val="000000" w:themeColor="text1"/>
                      <w:szCs w:val="21"/>
                      <w:vertAlign w:val="superscript"/>
                      <w14:textFill>
                        <w14:solidFill>
                          <w14:schemeClr w14:val="tx1"/>
                        </w14:solidFill>
                      </w14:textFill>
                    </w:rPr>
                    <w:t>2-</w:t>
                  </w:r>
                  <w:r>
                    <w:rPr>
                      <w:rFonts w:hint="default" w:ascii="Times New Roman" w:hAnsi="Times New Roman" w:cs="Times New Roman"/>
                      <w:iCs/>
                      <w:color w:val="000000" w:themeColor="text1"/>
                      <w:szCs w:val="21"/>
                      <w14:textFill>
                        <w14:solidFill>
                          <w14:schemeClr w14:val="tx1"/>
                        </w14:solidFill>
                      </w14:textFill>
                    </w:rPr>
                    <w:t>（</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1E5B747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32.6</w:t>
                  </w:r>
                </w:p>
              </w:tc>
              <w:tc>
                <w:tcPr>
                  <w:tcW w:w="541" w:type="pct"/>
                  <w:vAlign w:val="center"/>
                </w:tcPr>
                <w:p w14:paraId="15593C6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33.0</w:t>
                  </w:r>
                </w:p>
              </w:tc>
              <w:tc>
                <w:tcPr>
                  <w:tcW w:w="541" w:type="pct"/>
                  <w:vAlign w:val="center"/>
                </w:tcPr>
                <w:p w14:paraId="75ADC5E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21.8</w:t>
                  </w:r>
                </w:p>
              </w:tc>
              <w:tc>
                <w:tcPr>
                  <w:tcW w:w="541" w:type="pct"/>
                  <w:vAlign w:val="center"/>
                </w:tcPr>
                <w:p w14:paraId="3DB46E6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21.8</w:t>
                  </w:r>
                </w:p>
              </w:tc>
              <w:tc>
                <w:tcPr>
                  <w:tcW w:w="541" w:type="pct"/>
                  <w:vAlign w:val="center"/>
                </w:tcPr>
                <w:p w14:paraId="41CF741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2.09</w:t>
                  </w:r>
                </w:p>
              </w:tc>
              <w:tc>
                <w:tcPr>
                  <w:tcW w:w="541" w:type="pct"/>
                  <w:vAlign w:val="center"/>
                </w:tcPr>
                <w:p w14:paraId="0FFC24D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2.05</w:t>
                  </w:r>
                </w:p>
              </w:tc>
              <w:tc>
                <w:tcPr>
                  <w:tcW w:w="497" w:type="pct"/>
                  <w:vAlign w:val="center"/>
                </w:tcPr>
                <w:p w14:paraId="755D1D45">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06C6A3F4">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0CE7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36537988">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CO</w:t>
                  </w:r>
                  <w:r>
                    <w:rPr>
                      <w:rFonts w:hint="default" w:ascii="Times New Roman" w:hAnsi="Times New Roman" w:cs="Times New Roman"/>
                      <w:iCs/>
                      <w:color w:val="000000" w:themeColor="text1"/>
                      <w:szCs w:val="21"/>
                      <w:vertAlign w:val="subscript"/>
                      <w14:textFill>
                        <w14:solidFill>
                          <w14:schemeClr w14:val="tx1"/>
                        </w14:solidFill>
                      </w14:textFill>
                    </w:rPr>
                    <w:t>3</w:t>
                  </w:r>
                  <w:r>
                    <w:rPr>
                      <w:rFonts w:hint="default" w:ascii="Times New Roman" w:hAnsi="Times New Roman" w:cs="Times New Roman"/>
                      <w:iCs/>
                      <w:color w:val="000000" w:themeColor="text1"/>
                      <w:szCs w:val="21"/>
                      <w:vertAlign w:val="superscript"/>
                      <w14:textFill>
                        <w14:solidFill>
                          <w14:schemeClr w14:val="tx1"/>
                        </w14:solidFill>
                      </w14:textFill>
                    </w:rPr>
                    <w:t>2-</w:t>
                  </w:r>
                  <w:r>
                    <w:rPr>
                      <w:rFonts w:hint="default" w:ascii="Times New Roman" w:hAnsi="Times New Roman" w:cs="Times New Roman"/>
                      <w:iCs/>
                      <w:color w:val="000000" w:themeColor="text1"/>
                      <w:szCs w:val="21"/>
                      <w14:textFill>
                        <w14:solidFill>
                          <w14:schemeClr w14:val="tx1"/>
                        </w14:solidFill>
                      </w14:textFill>
                    </w:rPr>
                    <w:t>（</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339C0AE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5L</w:t>
                  </w:r>
                </w:p>
              </w:tc>
              <w:tc>
                <w:tcPr>
                  <w:tcW w:w="541" w:type="pct"/>
                  <w:vAlign w:val="center"/>
                </w:tcPr>
                <w:p w14:paraId="545F1D0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5L</w:t>
                  </w:r>
                </w:p>
              </w:tc>
              <w:tc>
                <w:tcPr>
                  <w:tcW w:w="541" w:type="pct"/>
                  <w:vAlign w:val="center"/>
                </w:tcPr>
                <w:p w14:paraId="0549498C">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5L</w:t>
                  </w:r>
                </w:p>
              </w:tc>
              <w:tc>
                <w:tcPr>
                  <w:tcW w:w="541" w:type="pct"/>
                  <w:vAlign w:val="center"/>
                </w:tcPr>
                <w:p w14:paraId="23AF0C1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5L</w:t>
                  </w:r>
                </w:p>
              </w:tc>
              <w:tc>
                <w:tcPr>
                  <w:tcW w:w="541" w:type="pct"/>
                  <w:vAlign w:val="center"/>
                </w:tcPr>
                <w:p w14:paraId="4F4CD20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5L</w:t>
                  </w:r>
                </w:p>
              </w:tc>
              <w:tc>
                <w:tcPr>
                  <w:tcW w:w="541" w:type="pct"/>
                  <w:vAlign w:val="center"/>
                </w:tcPr>
                <w:p w14:paraId="76EECA8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5L</w:t>
                  </w:r>
                </w:p>
              </w:tc>
              <w:tc>
                <w:tcPr>
                  <w:tcW w:w="497" w:type="pct"/>
                  <w:vAlign w:val="center"/>
                </w:tcPr>
                <w:p w14:paraId="4D2BE33D">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4BC4DAEC">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3FB5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44BA6065">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HCO</w:t>
                  </w:r>
                  <w:r>
                    <w:rPr>
                      <w:rFonts w:hint="default" w:ascii="Times New Roman" w:hAnsi="Times New Roman" w:cs="Times New Roman"/>
                      <w:iCs/>
                      <w:color w:val="000000" w:themeColor="text1"/>
                      <w:szCs w:val="21"/>
                      <w:vertAlign w:val="superscript"/>
                      <w14:textFill>
                        <w14:solidFill>
                          <w14:schemeClr w14:val="tx1"/>
                        </w14:solidFill>
                      </w14:textFill>
                    </w:rPr>
                    <w:t>3-</w:t>
                  </w:r>
                  <w:r>
                    <w:rPr>
                      <w:rFonts w:hint="default" w:ascii="Times New Roman" w:hAnsi="Times New Roman" w:cs="Times New Roman"/>
                      <w:iCs/>
                      <w:color w:val="000000" w:themeColor="text1"/>
                      <w:szCs w:val="21"/>
                      <w14:textFill>
                        <w14:solidFill>
                          <w14:schemeClr w14:val="tx1"/>
                        </w14:solidFill>
                      </w14:textFill>
                    </w:rPr>
                    <w:t>（</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2CC3328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kern w:val="0"/>
                      <w:sz w:val="20"/>
                      <w:szCs w:val="20"/>
                      <w:lang w:bidi="ar"/>
                      <w14:textFill>
                        <w14:solidFill>
                          <w14:schemeClr w14:val="tx1"/>
                        </w14:solidFill>
                      </w14:textFill>
                    </w:rPr>
                    <w:t>269</w:t>
                  </w:r>
                </w:p>
              </w:tc>
              <w:tc>
                <w:tcPr>
                  <w:tcW w:w="541" w:type="pct"/>
                  <w:vAlign w:val="center"/>
                </w:tcPr>
                <w:p w14:paraId="424F9B0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kern w:val="0"/>
                      <w:sz w:val="20"/>
                      <w:szCs w:val="20"/>
                      <w:lang w:bidi="ar"/>
                      <w14:textFill>
                        <w14:solidFill>
                          <w14:schemeClr w14:val="tx1"/>
                        </w14:solidFill>
                      </w14:textFill>
                    </w:rPr>
                    <w:t>261</w:t>
                  </w:r>
                </w:p>
              </w:tc>
              <w:tc>
                <w:tcPr>
                  <w:tcW w:w="541" w:type="pct"/>
                  <w:vAlign w:val="center"/>
                </w:tcPr>
                <w:p w14:paraId="3E61BAC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303</w:t>
                  </w:r>
                </w:p>
              </w:tc>
              <w:tc>
                <w:tcPr>
                  <w:tcW w:w="541" w:type="pct"/>
                  <w:vAlign w:val="center"/>
                </w:tcPr>
                <w:p w14:paraId="05316DA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285</w:t>
                  </w:r>
                </w:p>
              </w:tc>
              <w:tc>
                <w:tcPr>
                  <w:tcW w:w="541" w:type="pct"/>
                  <w:vAlign w:val="center"/>
                </w:tcPr>
                <w:p w14:paraId="2721498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72</w:t>
                  </w:r>
                </w:p>
              </w:tc>
              <w:tc>
                <w:tcPr>
                  <w:tcW w:w="541" w:type="pct"/>
                  <w:vAlign w:val="center"/>
                </w:tcPr>
                <w:p w14:paraId="1E20C2E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69</w:t>
                  </w:r>
                </w:p>
              </w:tc>
              <w:tc>
                <w:tcPr>
                  <w:tcW w:w="497" w:type="pct"/>
                  <w:vAlign w:val="center"/>
                </w:tcPr>
                <w:p w14:paraId="5CDBFC2F">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127A3554">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0EFB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77" w:type="pct"/>
                  <w:vAlign w:val="center"/>
                </w:tcPr>
                <w:p w14:paraId="398272A4">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kern w:val="0"/>
                      <w:szCs w:val="21"/>
                      <w:lang w:bidi="ar"/>
                      <w14:textFill>
                        <w14:solidFill>
                          <w14:schemeClr w14:val="tx1"/>
                        </w14:solidFill>
                      </w14:textFill>
                    </w:rPr>
                    <w:t>K</w:t>
                  </w:r>
                  <w:r>
                    <w:rPr>
                      <w:rFonts w:hint="default" w:ascii="Times New Roman" w:hAnsi="Times New Roman" w:eastAsiaTheme="minorEastAsia"/>
                      <w:iCs/>
                      <w:color w:val="000000" w:themeColor="text1"/>
                      <w:kern w:val="0"/>
                      <w:szCs w:val="21"/>
                      <w:vertAlign w:val="superscript"/>
                      <w:lang w:bidi="ar"/>
                      <w14:textFill>
                        <w14:solidFill>
                          <w14:schemeClr w14:val="tx1"/>
                        </w14:solidFill>
                      </w14:textFill>
                    </w:rPr>
                    <w:t>+</w:t>
                  </w:r>
                  <w:r>
                    <w:rPr>
                      <w:rFonts w:hint="default" w:ascii="Times New Roman" w:hAnsi="Times New Roman" w:eastAsiaTheme="minorEastAsia"/>
                      <w:iCs/>
                      <w:color w:val="000000" w:themeColor="text1"/>
                      <w:szCs w:val="21"/>
                      <w14:textFill>
                        <w14:solidFill>
                          <w14:schemeClr w14:val="tx1"/>
                        </w14:solidFill>
                      </w14:textFill>
                    </w:rPr>
                    <w:t>（</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6229530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1.23</w:t>
                  </w:r>
                </w:p>
              </w:tc>
              <w:tc>
                <w:tcPr>
                  <w:tcW w:w="541" w:type="pct"/>
                  <w:vAlign w:val="center"/>
                </w:tcPr>
                <w:p w14:paraId="2018357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1.16</w:t>
                  </w:r>
                </w:p>
              </w:tc>
              <w:tc>
                <w:tcPr>
                  <w:tcW w:w="541" w:type="pct"/>
                  <w:vAlign w:val="center"/>
                </w:tcPr>
                <w:p w14:paraId="2C4EC87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10.9</w:t>
                  </w:r>
                </w:p>
              </w:tc>
              <w:tc>
                <w:tcPr>
                  <w:tcW w:w="541" w:type="pct"/>
                  <w:vAlign w:val="center"/>
                </w:tcPr>
                <w:p w14:paraId="4B406BA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10.9</w:t>
                  </w:r>
                </w:p>
              </w:tc>
              <w:tc>
                <w:tcPr>
                  <w:tcW w:w="541" w:type="pct"/>
                  <w:vAlign w:val="center"/>
                </w:tcPr>
                <w:p w14:paraId="54363EC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2.23</w:t>
                  </w:r>
                </w:p>
              </w:tc>
              <w:tc>
                <w:tcPr>
                  <w:tcW w:w="541" w:type="pct"/>
                  <w:vAlign w:val="center"/>
                </w:tcPr>
                <w:p w14:paraId="4BAAB30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2.25</w:t>
                  </w:r>
                </w:p>
              </w:tc>
              <w:tc>
                <w:tcPr>
                  <w:tcW w:w="497" w:type="pct"/>
                  <w:vAlign w:val="center"/>
                </w:tcPr>
                <w:p w14:paraId="1C7786EF">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1D5025E1">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514D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0BEB51D">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kern w:val="0"/>
                      <w:szCs w:val="21"/>
                      <w:lang w:bidi="ar"/>
                      <w14:textFill>
                        <w14:solidFill>
                          <w14:schemeClr w14:val="tx1"/>
                        </w14:solidFill>
                      </w14:textFill>
                    </w:rPr>
                    <w:t>Na</w:t>
                  </w:r>
                  <w:r>
                    <w:rPr>
                      <w:rFonts w:hint="default" w:ascii="Times New Roman" w:hAnsi="Times New Roman" w:eastAsiaTheme="minorEastAsia"/>
                      <w:iCs/>
                      <w:color w:val="000000" w:themeColor="text1"/>
                      <w:kern w:val="0"/>
                      <w:szCs w:val="21"/>
                      <w:vertAlign w:val="superscript"/>
                      <w:lang w:bidi="ar"/>
                      <w14:textFill>
                        <w14:solidFill>
                          <w14:schemeClr w14:val="tx1"/>
                        </w14:solidFill>
                      </w14:textFill>
                    </w:rPr>
                    <w:t>+</w:t>
                  </w:r>
                  <w:r>
                    <w:rPr>
                      <w:rFonts w:hint="default" w:ascii="Times New Roman" w:hAnsi="Times New Roman" w:eastAsiaTheme="minorEastAsia"/>
                      <w:iCs/>
                      <w:color w:val="000000" w:themeColor="text1"/>
                      <w:szCs w:val="21"/>
                      <w14:textFill>
                        <w14:solidFill>
                          <w14:schemeClr w14:val="tx1"/>
                        </w14:solidFill>
                      </w14:textFill>
                    </w:rPr>
                    <w:t>（</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16044F2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9.70</w:t>
                  </w:r>
                </w:p>
              </w:tc>
              <w:tc>
                <w:tcPr>
                  <w:tcW w:w="541" w:type="pct"/>
                  <w:vAlign w:val="center"/>
                </w:tcPr>
                <w:p w14:paraId="6EBE5D8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9.67</w:t>
                  </w:r>
                </w:p>
              </w:tc>
              <w:tc>
                <w:tcPr>
                  <w:tcW w:w="541" w:type="pct"/>
                  <w:vAlign w:val="center"/>
                </w:tcPr>
                <w:p w14:paraId="67B8DF2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28.8</w:t>
                  </w:r>
                </w:p>
              </w:tc>
              <w:tc>
                <w:tcPr>
                  <w:tcW w:w="541" w:type="pct"/>
                  <w:vAlign w:val="center"/>
                </w:tcPr>
                <w:p w14:paraId="5F5E189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26.8</w:t>
                  </w:r>
                </w:p>
              </w:tc>
              <w:tc>
                <w:tcPr>
                  <w:tcW w:w="541" w:type="pct"/>
                  <w:vAlign w:val="center"/>
                </w:tcPr>
                <w:p w14:paraId="2BD0CBF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1.71</w:t>
                  </w:r>
                </w:p>
              </w:tc>
              <w:tc>
                <w:tcPr>
                  <w:tcW w:w="541" w:type="pct"/>
                  <w:vAlign w:val="center"/>
                </w:tcPr>
                <w:p w14:paraId="0215CA8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1.73</w:t>
                  </w:r>
                </w:p>
              </w:tc>
              <w:tc>
                <w:tcPr>
                  <w:tcW w:w="497" w:type="pct"/>
                  <w:vAlign w:val="center"/>
                </w:tcPr>
                <w:p w14:paraId="24B22EDC">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3ADD9DCF">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38AD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9CCF22B">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kern w:val="0"/>
                      <w:szCs w:val="21"/>
                      <w:lang w:bidi="ar"/>
                      <w14:textFill>
                        <w14:solidFill>
                          <w14:schemeClr w14:val="tx1"/>
                        </w14:solidFill>
                      </w14:textFill>
                    </w:rPr>
                    <w:t>Ca</w:t>
                  </w:r>
                  <w:r>
                    <w:rPr>
                      <w:rFonts w:hint="default" w:ascii="Times New Roman" w:hAnsi="Times New Roman" w:eastAsiaTheme="minorEastAsia"/>
                      <w:iCs/>
                      <w:color w:val="000000" w:themeColor="text1"/>
                      <w:kern w:val="0"/>
                      <w:szCs w:val="21"/>
                      <w:vertAlign w:val="superscript"/>
                      <w:lang w:bidi="ar"/>
                      <w14:textFill>
                        <w14:solidFill>
                          <w14:schemeClr w14:val="tx1"/>
                        </w14:solidFill>
                      </w14:textFill>
                    </w:rPr>
                    <w:t>2+</w:t>
                  </w:r>
                  <w:r>
                    <w:rPr>
                      <w:rFonts w:hint="default" w:ascii="Times New Roman" w:hAnsi="Times New Roman" w:eastAsiaTheme="minorEastAsia"/>
                      <w:iCs/>
                      <w:color w:val="000000" w:themeColor="text1"/>
                      <w:szCs w:val="21"/>
                      <w14:textFill>
                        <w14:solidFill>
                          <w14:schemeClr w14:val="tx1"/>
                        </w14:solidFill>
                      </w14:textFill>
                    </w:rPr>
                    <w:t>（</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1BEEFD7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67.8</w:t>
                  </w:r>
                </w:p>
              </w:tc>
              <w:tc>
                <w:tcPr>
                  <w:tcW w:w="541" w:type="pct"/>
                  <w:vAlign w:val="center"/>
                </w:tcPr>
                <w:p w14:paraId="2AB0966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65.6</w:t>
                  </w:r>
                </w:p>
              </w:tc>
              <w:tc>
                <w:tcPr>
                  <w:tcW w:w="541" w:type="pct"/>
                  <w:vAlign w:val="center"/>
                </w:tcPr>
                <w:p w14:paraId="7DD2E6D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89.8</w:t>
                  </w:r>
                </w:p>
              </w:tc>
              <w:tc>
                <w:tcPr>
                  <w:tcW w:w="541" w:type="pct"/>
                  <w:vAlign w:val="center"/>
                </w:tcPr>
                <w:p w14:paraId="422247A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89.8</w:t>
                  </w:r>
                </w:p>
              </w:tc>
              <w:tc>
                <w:tcPr>
                  <w:tcW w:w="541" w:type="pct"/>
                  <w:vAlign w:val="center"/>
                </w:tcPr>
                <w:p w14:paraId="6028F0D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16.0</w:t>
                  </w:r>
                </w:p>
              </w:tc>
              <w:tc>
                <w:tcPr>
                  <w:tcW w:w="541" w:type="pct"/>
                  <w:vAlign w:val="center"/>
                </w:tcPr>
                <w:p w14:paraId="18C06C1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16.1</w:t>
                  </w:r>
                </w:p>
              </w:tc>
              <w:tc>
                <w:tcPr>
                  <w:tcW w:w="497" w:type="pct"/>
                  <w:vAlign w:val="center"/>
                </w:tcPr>
                <w:p w14:paraId="335A5159">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6B8FB604">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14C9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ABB3BC8">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kern w:val="0"/>
                      <w:szCs w:val="21"/>
                      <w:lang w:bidi="ar"/>
                      <w14:textFill>
                        <w14:solidFill>
                          <w14:schemeClr w14:val="tx1"/>
                        </w14:solidFill>
                      </w14:textFill>
                    </w:rPr>
                    <w:t>Mg</w:t>
                  </w:r>
                  <w:r>
                    <w:rPr>
                      <w:rFonts w:hint="default" w:ascii="Times New Roman" w:hAnsi="Times New Roman" w:eastAsiaTheme="minorEastAsia"/>
                      <w:iCs/>
                      <w:color w:val="000000" w:themeColor="text1"/>
                      <w:kern w:val="0"/>
                      <w:szCs w:val="21"/>
                      <w:vertAlign w:val="superscript"/>
                      <w:lang w:bidi="ar"/>
                      <w14:textFill>
                        <w14:solidFill>
                          <w14:schemeClr w14:val="tx1"/>
                        </w14:solidFill>
                      </w14:textFill>
                    </w:rPr>
                    <w:t>2+</w:t>
                  </w:r>
                  <w:r>
                    <w:rPr>
                      <w:rFonts w:hint="default" w:ascii="Times New Roman" w:hAnsi="Times New Roman" w:eastAsiaTheme="minorEastAsia"/>
                      <w:iCs/>
                      <w:color w:val="000000" w:themeColor="text1"/>
                      <w:szCs w:val="21"/>
                      <w14:textFill>
                        <w14:solidFill>
                          <w14:schemeClr w14:val="tx1"/>
                        </w14:solidFill>
                      </w14:textFill>
                    </w:rPr>
                    <w:t>（</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421D024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23.1</w:t>
                  </w:r>
                </w:p>
              </w:tc>
              <w:tc>
                <w:tcPr>
                  <w:tcW w:w="541" w:type="pct"/>
                  <w:vAlign w:val="center"/>
                </w:tcPr>
                <w:p w14:paraId="70C9CA1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23.1</w:t>
                  </w:r>
                </w:p>
              </w:tc>
              <w:tc>
                <w:tcPr>
                  <w:tcW w:w="541" w:type="pct"/>
                  <w:vAlign w:val="center"/>
                </w:tcPr>
                <w:p w14:paraId="4E8973F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14.3</w:t>
                  </w:r>
                </w:p>
              </w:tc>
              <w:tc>
                <w:tcPr>
                  <w:tcW w:w="541" w:type="pct"/>
                  <w:vAlign w:val="center"/>
                </w:tcPr>
                <w:p w14:paraId="6022E6E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14.3</w:t>
                  </w:r>
                </w:p>
              </w:tc>
              <w:tc>
                <w:tcPr>
                  <w:tcW w:w="541" w:type="pct"/>
                  <w:vAlign w:val="center"/>
                </w:tcPr>
                <w:p w14:paraId="2F6065A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4.52</w:t>
                  </w:r>
                </w:p>
              </w:tc>
              <w:tc>
                <w:tcPr>
                  <w:tcW w:w="541" w:type="pct"/>
                  <w:vAlign w:val="center"/>
                </w:tcPr>
                <w:p w14:paraId="220C4A2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4.53</w:t>
                  </w:r>
                </w:p>
              </w:tc>
              <w:tc>
                <w:tcPr>
                  <w:tcW w:w="497" w:type="pct"/>
                  <w:vAlign w:val="center"/>
                </w:tcPr>
                <w:p w14:paraId="47BA21B2">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7D1E21F3">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071A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4AE1D1EE">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kern w:val="0"/>
                      <w:szCs w:val="21"/>
                      <w:lang w:bidi="ar"/>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氨氮（</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19363F4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0.101</w:t>
                  </w:r>
                </w:p>
              </w:tc>
              <w:tc>
                <w:tcPr>
                  <w:tcW w:w="541" w:type="pct"/>
                  <w:vAlign w:val="center"/>
                </w:tcPr>
                <w:p w14:paraId="1831B60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0.098</w:t>
                  </w:r>
                </w:p>
              </w:tc>
              <w:tc>
                <w:tcPr>
                  <w:tcW w:w="541" w:type="pct"/>
                  <w:vAlign w:val="center"/>
                </w:tcPr>
                <w:p w14:paraId="68B7C8C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0.078</w:t>
                  </w:r>
                </w:p>
              </w:tc>
              <w:tc>
                <w:tcPr>
                  <w:tcW w:w="541" w:type="pct"/>
                  <w:vAlign w:val="center"/>
                </w:tcPr>
                <w:p w14:paraId="76B00DE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0.083</w:t>
                  </w:r>
                </w:p>
              </w:tc>
              <w:tc>
                <w:tcPr>
                  <w:tcW w:w="541" w:type="pct"/>
                  <w:vAlign w:val="center"/>
                </w:tcPr>
                <w:p w14:paraId="701DEC9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0.035</w:t>
                  </w:r>
                </w:p>
              </w:tc>
              <w:tc>
                <w:tcPr>
                  <w:tcW w:w="541" w:type="pct"/>
                  <w:vAlign w:val="center"/>
                </w:tcPr>
                <w:p w14:paraId="7B4E089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0.043</w:t>
                  </w:r>
                </w:p>
              </w:tc>
              <w:tc>
                <w:tcPr>
                  <w:tcW w:w="497" w:type="pct"/>
                  <w:vAlign w:val="center"/>
                </w:tcPr>
                <w:p w14:paraId="52E9E75A">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0.5</w:t>
                  </w:r>
                </w:p>
              </w:tc>
              <w:tc>
                <w:tcPr>
                  <w:tcW w:w="376" w:type="pct"/>
                  <w:vAlign w:val="center"/>
                </w:tcPr>
                <w:p w14:paraId="2CD7A32B">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2F3A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6BB4C05A">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硝酸盐（</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6D588678">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1.78</w:t>
                  </w:r>
                </w:p>
              </w:tc>
              <w:tc>
                <w:tcPr>
                  <w:tcW w:w="541" w:type="pct"/>
                  <w:vAlign w:val="center"/>
                </w:tcPr>
                <w:p w14:paraId="474C104E">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1.71</w:t>
                  </w:r>
                </w:p>
              </w:tc>
              <w:tc>
                <w:tcPr>
                  <w:tcW w:w="541" w:type="pct"/>
                  <w:vAlign w:val="center"/>
                </w:tcPr>
                <w:p w14:paraId="0A0D1C51">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1.20</w:t>
                  </w:r>
                </w:p>
              </w:tc>
              <w:tc>
                <w:tcPr>
                  <w:tcW w:w="541" w:type="pct"/>
                  <w:vAlign w:val="center"/>
                </w:tcPr>
                <w:p w14:paraId="6CEFE69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1.16</w:t>
                  </w:r>
                </w:p>
              </w:tc>
              <w:tc>
                <w:tcPr>
                  <w:tcW w:w="541" w:type="pct"/>
                  <w:vAlign w:val="center"/>
                </w:tcPr>
                <w:p w14:paraId="02F1E008">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0.488</w:t>
                  </w:r>
                </w:p>
              </w:tc>
              <w:tc>
                <w:tcPr>
                  <w:tcW w:w="541" w:type="pct"/>
                  <w:vAlign w:val="center"/>
                </w:tcPr>
                <w:p w14:paraId="7A373271">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0.496</w:t>
                  </w:r>
                </w:p>
              </w:tc>
              <w:tc>
                <w:tcPr>
                  <w:tcW w:w="497" w:type="pct"/>
                  <w:vAlign w:val="center"/>
                </w:tcPr>
                <w:p w14:paraId="72F5125D">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20</w:t>
                  </w:r>
                </w:p>
              </w:tc>
              <w:tc>
                <w:tcPr>
                  <w:tcW w:w="376" w:type="pct"/>
                  <w:vAlign w:val="center"/>
                </w:tcPr>
                <w:p w14:paraId="53CF23FD">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CEE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46CB9AE5">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亚硝酸盐（</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71A9149E">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0.037</w:t>
                  </w:r>
                </w:p>
              </w:tc>
              <w:tc>
                <w:tcPr>
                  <w:tcW w:w="541" w:type="pct"/>
                  <w:vAlign w:val="center"/>
                </w:tcPr>
                <w:p w14:paraId="5F793FD9">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0.038</w:t>
                  </w:r>
                </w:p>
              </w:tc>
              <w:tc>
                <w:tcPr>
                  <w:tcW w:w="541" w:type="pct"/>
                  <w:vAlign w:val="center"/>
                </w:tcPr>
                <w:p w14:paraId="66D27CC5">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0.035</w:t>
                  </w:r>
                </w:p>
              </w:tc>
              <w:tc>
                <w:tcPr>
                  <w:tcW w:w="541" w:type="pct"/>
                  <w:vAlign w:val="center"/>
                </w:tcPr>
                <w:p w14:paraId="18D7CEAA">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0.037</w:t>
                  </w:r>
                </w:p>
              </w:tc>
              <w:tc>
                <w:tcPr>
                  <w:tcW w:w="541" w:type="pct"/>
                  <w:vAlign w:val="center"/>
                </w:tcPr>
                <w:p w14:paraId="44B4531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0.034</w:t>
                  </w:r>
                </w:p>
              </w:tc>
              <w:tc>
                <w:tcPr>
                  <w:tcW w:w="541" w:type="pct"/>
                  <w:vAlign w:val="center"/>
                </w:tcPr>
                <w:p w14:paraId="539F61EE">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0.033</w:t>
                  </w:r>
                </w:p>
              </w:tc>
              <w:tc>
                <w:tcPr>
                  <w:tcW w:w="497" w:type="pct"/>
                  <w:vAlign w:val="center"/>
                </w:tcPr>
                <w:p w14:paraId="16A3F5EB">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1.0</w:t>
                  </w:r>
                </w:p>
              </w:tc>
              <w:tc>
                <w:tcPr>
                  <w:tcW w:w="376" w:type="pct"/>
                  <w:vAlign w:val="center"/>
                </w:tcPr>
                <w:p w14:paraId="06CAA5FB">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26B3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46D90BAC">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挥发性酚类（</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77E6701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0.0003L</w:t>
                  </w:r>
                </w:p>
              </w:tc>
              <w:tc>
                <w:tcPr>
                  <w:tcW w:w="541" w:type="pct"/>
                  <w:vAlign w:val="center"/>
                </w:tcPr>
                <w:p w14:paraId="43AD4135">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0.0003L</w:t>
                  </w:r>
                </w:p>
              </w:tc>
              <w:tc>
                <w:tcPr>
                  <w:tcW w:w="541" w:type="pct"/>
                  <w:vAlign w:val="center"/>
                </w:tcPr>
                <w:p w14:paraId="1C88DCF8">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0.0003L</w:t>
                  </w:r>
                </w:p>
              </w:tc>
              <w:tc>
                <w:tcPr>
                  <w:tcW w:w="541" w:type="pct"/>
                  <w:vAlign w:val="center"/>
                </w:tcPr>
                <w:p w14:paraId="089EC77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0.0003L</w:t>
                  </w:r>
                </w:p>
              </w:tc>
              <w:tc>
                <w:tcPr>
                  <w:tcW w:w="541" w:type="pct"/>
                  <w:vAlign w:val="center"/>
                </w:tcPr>
                <w:p w14:paraId="5DCE34B2">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0.0003L</w:t>
                  </w:r>
                </w:p>
              </w:tc>
              <w:tc>
                <w:tcPr>
                  <w:tcW w:w="541" w:type="pct"/>
                  <w:vAlign w:val="center"/>
                </w:tcPr>
                <w:p w14:paraId="198614A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0.0003L</w:t>
                  </w:r>
                </w:p>
              </w:tc>
              <w:tc>
                <w:tcPr>
                  <w:tcW w:w="497" w:type="pct"/>
                  <w:vAlign w:val="center"/>
                </w:tcPr>
                <w:p w14:paraId="4B850327">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0.002</w:t>
                  </w:r>
                </w:p>
              </w:tc>
              <w:tc>
                <w:tcPr>
                  <w:tcW w:w="376" w:type="pct"/>
                  <w:vAlign w:val="center"/>
                </w:tcPr>
                <w:p w14:paraId="10F6EEF3">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4D35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E1D3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氰化物（</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29FCAE51">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5A5896E1">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380A0715">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3D32FD2C">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5ED031C9">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3D7D063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497" w:type="pct"/>
                  <w:vAlign w:val="center"/>
                </w:tcPr>
                <w:p w14:paraId="3C89C611">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0.05</w:t>
                  </w:r>
                </w:p>
              </w:tc>
              <w:tc>
                <w:tcPr>
                  <w:tcW w:w="376" w:type="pct"/>
                  <w:vAlign w:val="center"/>
                </w:tcPr>
                <w:p w14:paraId="375BAA3B">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704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5FAE3F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砷（</w:t>
                  </w:r>
                  <w:r>
                    <w:rPr>
                      <w:rFonts w:hint="default" w:ascii="Times New Roman" w:hAnsi="Times New Roman" w:cs="Times New Roman"/>
                      <w:iCs/>
                      <w:color w:val="000000" w:themeColor="text1"/>
                      <w:kern w:val="0"/>
                      <w:szCs w:val="21"/>
                      <w:lang w:bidi="ar"/>
                      <w14:textFill>
                        <w14:solidFill>
                          <w14:schemeClr w14:val="tx1"/>
                        </w14:solidFill>
                      </w14:textFill>
                    </w:rPr>
                    <w:t>μg/L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5685A9F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0.3L</w:t>
                  </w:r>
                </w:p>
              </w:tc>
              <w:tc>
                <w:tcPr>
                  <w:tcW w:w="541" w:type="pct"/>
                  <w:vAlign w:val="center"/>
                </w:tcPr>
                <w:p w14:paraId="4523404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0.3L</w:t>
                  </w:r>
                </w:p>
              </w:tc>
              <w:tc>
                <w:tcPr>
                  <w:tcW w:w="541" w:type="pct"/>
                  <w:vAlign w:val="center"/>
                </w:tcPr>
                <w:p w14:paraId="60B68E7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0.3L</w:t>
                  </w:r>
                </w:p>
              </w:tc>
              <w:tc>
                <w:tcPr>
                  <w:tcW w:w="541" w:type="pct"/>
                  <w:vAlign w:val="center"/>
                </w:tcPr>
                <w:p w14:paraId="5B0D72D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0.3L</w:t>
                  </w:r>
                </w:p>
              </w:tc>
              <w:tc>
                <w:tcPr>
                  <w:tcW w:w="541" w:type="pct"/>
                  <w:vAlign w:val="center"/>
                </w:tcPr>
                <w:p w14:paraId="10F25CE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0.3L</w:t>
                  </w:r>
                </w:p>
              </w:tc>
              <w:tc>
                <w:tcPr>
                  <w:tcW w:w="541" w:type="pct"/>
                  <w:vAlign w:val="center"/>
                </w:tcPr>
                <w:p w14:paraId="226B13F9">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0.3L</w:t>
                  </w:r>
                </w:p>
              </w:tc>
              <w:tc>
                <w:tcPr>
                  <w:tcW w:w="497" w:type="pct"/>
                  <w:vAlign w:val="center"/>
                </w:tcPr>
                <w:p w14:paraId="3F0111FB">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0.01</w:t>
                  </w:r>
                </w:p>
              </w:tc>
              <w:tc>
                <w:tcPr>
                  <w:tcW w:w="376" w:type="pct"/>
                  <w:vAlign w:val="center"/>
                </w:tcPr>
                <w:p w14:paraId="2CCF9925">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2252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21BED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汞（</w:t>
                  </w:r>
                  <w:r>
                    <w:rPr>
                      <w:rFonts w:hint="default" w:ascii="Times New Roman" w:hAnsi="Times New Roman" w:cs="Times New Roman"/>
                      <w:iCs/>
                      <w:color w:val="000000" w:themeColor="text1"/>
                      <w:kern w:val="0"/>
                      <w:szCs w:val="21"/>
                      <w:lang w:bidi="ar"/>
                      <w14:textFill>
                        <w14:solidFill>
                          <w14:schemeClr w14:val="tx1"/>
                        </w14:solidFill>
                      </w14:textFill>
                    </w:rPr>
                    <w:t>μg/L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69F009F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0.04L</w:t>
                  </w:r>
                </w:p>
              </w:tc>
              <w:tc>
                <w:tcPr>
                  <w:tcW w:w="541" w:type="pct"/>
                  <w:vAlign w:val="center"/>
                </w:tcPr>
                <w:p w14:paraId="26CA1811">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0.04L</w:t>
                  </w:r>
                </w:p>
              </w:tc>
              <w:tc>
                <w:tcPr>
                  <w:tcW w:w="541" w:type="pct"/>
                  <w:vAlign w:val="center"/>
                </w:tcPr>
                <w:p w14:paraId="3E06FF33">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0.04L</w:t>
                  </w:r>
                </w:p>
              </w:tc>
              <w:tc>
                <w:tcPr>
                  <w:tcW w:w="541" w:type="pct"/>
                  <w:vAlign w:val="center"/>
                </w:tcPr>
                <w:p w14:paraId="535462B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0.04L</w:t>
                  </w:r>
                </w:p>
              </w:tc>
              <w:tc>
                <w:tcPr>
                  <w:tcW w:w="541" w:type="pct"/>
                  <w:vAlign w:val="center"/>
                </w:tcPr>
                <w:p w14:paraId="78FC50F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0.04L</w:t>
                  </w:r>
                </w:p>
              </w:tc>
              <w:tc>
                <w:tcPr>
                  <w:tcW w:w="541" w:type="pct"/>
                  <w:vAlign w:val="center"/>
                </w:tcPr>
                <w:p w14:paraId="38729EC1">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0.04L</w:t>
                  </w:r>
                </w:p>
              </w:tc>
              <w:tc>
                <w:tcPr>
                  <w:tcW w:w="497" w:type="pct"/>
                  <w:vAlign w:val="center"/>
                </w:tcPr>
                <w:p w14:paraId="2E6FC6B7">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0.001</w:t>
                  </w:r>
                </w:p>
              </w:tc>
              <w:tc>
                <w:tcPr>
                  <w:tcW w:w="376" w:type="pct"/>
                  <w:vAlign w:val="center"/>
                </w:tcPr>
                <w:p w14:paraId="169AE35A">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4850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212884F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六价铬（</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75FFF748">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795BD59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52546F0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7E8B8BB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794638F8">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418CD5A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497" w:type="pct"/>
                  <w:vAlign w:val="center"/>
                </w:tcPr>
                <w:p w14:paraId="37B55B09">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0.05</w:t>
                  </w:r>
                </w:p>
              </w:tc>
              <w:tc>
                <w:tcPr>
                  <w:tcW w:w="376" w:type="pct"/>
                  <w:vAlign w:val="center"/>
                </w:tcPr>
                <w:p w14:paraId="19E4C7C2">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54ED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7CB66EF">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总硬度（</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14AE46F3">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276</w:t>
                  </w:r>
                </w:p>
              </w:tc>
              <w:tc>
                <w:tcPr>
                  <w:tcW w:w="541" w:type="pct"/>
                  <w:vAlign w:val="center"/>
                </w:tcPr>
                <w:p w14:paraId="1D49DA03">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271</w:t>
                  </w:r>
                </w:p>
              </w:tc>
              <w:tc>
                <w:tcPr>
                  <w:tcW w:w="541" w:type="pct"/>
                  <w:vAlign w:val="center"/>
                </w:tcPr>
                <w:p w14:paraId="33DBC27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294</w:t>
                  </w:r>
                </w:p>
              </w:tc>
              <w:tc>
                <w:tcPr>
                  <w:tcW w:w="541" w:type="pct"/>
                  <w:vAlign w:val="center"/>
                </w:tcPr>
                <w:p w14:paraId="44C65753">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298</w:t>
                  </w:r>
                </w:p>
              </w:tc>
              <w:tc>
                <w:tcPr>
                  <w:tcW w:w="541" w:type="pct"/>
                  <w:vAlign w:val="center"/>
                </w:tcPr>
                <w:p w14:paraId="57989FC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61</w:t>
                  </w:r>
                </w:p>
              </w:tc>
              <w:tc>
                <w:tcPr>
                  <w:tcW w:w="541" w:type="pct"/>
                  <w:vAlign w:val="center"/>
                </w:tcPr>
                <w:p w14:paraId="4032E6B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62</w:t>
                  </w:r>
                </w:p>
              </w:tc>
              <w:tc>
                <w:tcPr>
                  <w:tcW w:w="497" w:type="pct"/>
                  <w:vAlign w:val="center"/>
                </w:tcPr>
                <w:p w14:paraId="4767179B">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450</w:t>
                  </w:r>
                </w:p>
              </w:tc>
              <w:tc>
                <w:tcPr>
                  <w:tcW w:w="376" w:type="pct"/>
                  <w:vAlign w:val="center"/>
                </w:tcPr>
                <w:p w14:paraId="3AD5C81C">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40B5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0BF6F5D5">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铅（</w:t>
                  </w:r>
                  <w:r>
                    <w:rPr>
                      <w:rFonts w:hint="default" w:ascii="Times New Roman" w:hAnsi="Times New Roman" w:eastAsiaTheme="minorEastAsia"/>
                      <w:iCs/>
                      <w:color w:val="000000" w:themeColor="text1"/>
                      <w:kern w:val="0"/>
                      <w:szCs w:val="21"/>
                      <w:lang w:bidi="ar"/>
                      <w14:textFill>
                        <w14:solidFill>
                          <w14:schemeClr w14:val="tx1"/>
                        </w14:solidFill>
                      </w14:textFill>
                    </w:rPr>
                    <w:t>μg/L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479BE41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1.0L</w:t>
                  </w:r>
                </w:p>
              </w:tc>
              <w:tc>
                <w:tcPr>
                  <w:tcW w:w="541" w:type="pct"/>
                  <w:vAlign w:val="center"/>
                </w:tcPr>
                <w:p w14:paraId="3F560DF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1.0L</w:t>
                  </w:r>
                </w:p>
              </w:tc>
              <w:tc>
                <w:tcPr>
                  <w:tcW w:w="541" w:type="pct"/>
                  <w:vAlign w:val="center"/>
                </w:tcPr>
                <w:p w14:paraId="0488028E">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1.0L</w:t>
                  </w:r>
                </w:p>
              </w:tc>
              <w:tc>
                <w:tcPr>
                  <w:tcW w:w="541" w:type="pct"/>
                  <w:vAlign w:val="center"/>
                </w:tcPr>
                <w:p w14:paraId="0837C49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1.0L</w:t>
                  </w:r>
                </w:p>
              </w:tc>
              <w:tc>
                <w:tcPr>
                  <w:tcW w:w="541" w:type="pct"/>
                  <w:vAlign w:val="center"/>
                </w:tcPr>
                <w:p w14:paraId="336736CC">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1.0L</w:t>
                  </w:r>
                </w:p>
              </w:tc>
              <w:tc>
                <w:tcPr>
                  <w:tcW w:w="541" w:type="pct"/>
                  <w:vAlign w:val="center"/>
                </w:tcPr>
                <w:p w14:paraId="1F97C66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1.0L</w:t>
                  </w:r>
                </w:p>
              </w:tc>
              <w:tc>
                <w:tcPr>
                  <w:tcW w:w="497" w:type="pct"/>
                  <w:vAlign w:val="center"/>
                </w:tcPr>
                <w:p w14:paraId="2B8EC5A1">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0.01</w:t>
                  </w:r>
                </w:p>
              </w:tc>
              <w:tc>
                <w:tcPr>
                  <w:tcW w:w="376" w:type="pct"/>
                  <w:vAlign w:val="center"/>
                </w:tcPr>
                <w:p w14:paraId="4C144690">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1D90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63F31E78">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氟化物（</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10D033D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0.11</w:t>
                  </w:r>
                </w:p>
              </w:tc>
              <w:tc>
                <w:tcPr>
                  <w:tcW w:w="541" w:type="pct"/>
                  <w:vAlign w:val="center"/>
                </w:tcPr>
                <w:p w14:paraId="42FC4AC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0.09</w:t>
                  </w:r>
                </w:p>
              </w:tc>
              <w:tc>
                <w:tcPr>
                  <w:tcW w:w="541" w:type="pct"/>
                  <w:vAlign w:val="center"/>
                </w:tcPr>
                <w:p w14:paraId="5AE7FBD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0.08</w:t>
                  </w:r>
                </w:p>
              </w:tc>
              <w:tc>
                <w:tcPr>
                  <w:tcW w:w="541" w:type="pct"/>
                  <w:vAlign w:val="center"/>
                </w:tcPr>
                <w:p w14:paraId="1A56F1F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0.10</w:t>
                  </w:r>
                </w:p>
              </w:tc>
              <w:tc>
                <w:tcPr>
                  <w:tcW w:w="541" w:type="pct"/>
                  <w:vAlign w:val="center"/>
                </w:tcPr>
                <w:p w14:paraId="168BB1B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0.09</w:t>
                  </w:r>
                </w:p>
              </w:tc>
              <w:tc>
                <w:tcPr>
                  <w:tcW w:w="541" w:type="pct"/>
                  <w:vAlign w:val="center"/>
                </w:tcPr>
                <w:p w14:paraId="5E5A20F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0.09</w:t>
                  </w:r>
                </w:p>
              </w:tc>
              <w:tc>
                <w:tcPr>
                  <w:tcW w:w="497" w:type="pct"/>
                  <w:vAlign w:val="center"/>
                </w:tcPr>
                <w:p w14:paraId="3549AE3F">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1.0</w:t>
                  </w:r>
                </w:p>
              </w:tc>
              <w:tc>
                <w:tcPr>
                  <w:tcW w:w="376" w:type="pct"/>
                  <w:vAlign w:val="center"/>
                </w:tcPr>
                <w:p w14:paraId="7EE749AA">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0849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817205A">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镉（</w:t>
                  </w:r>
                  <w:r>
                    <w:rPr>
                      <w:rFonts w:hint="default" w:ascii="Times New Roman" w:hAnsi="Times New Roman" w:eastAsiaTheme="minorEastAsia"/>
                      <w:iCs/>
                      <w:color w:val="000000" w:themeColor="text1"/>
                      <w:kern w:val="0"/>
                      <w:szCs w:val="21"/>
                      <w:lang w:bidi="ar"/>
                      <w14:textFill>
                        <w14:solidFill>
                          <w14:schemeClr w14:val="tx1"/>
                        </w14:solidFill>
                      </w14:textFill>
                    </w:rPr>
                    <w:t>μg/L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4EBA3BF9">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0.1L</w:t>
                  </w:r>
                </w:p>
              </w:tc>
              <w:tc>
                <w:tcPr>
                  <w:tcW w:w="541" w:type="pct"/>
                  <w:vAlign w:val="center"/>
                </w:tcPr>
                <w:p w14:paraId="174D246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0.1L</w:t>
                  </w:r>
                </w:p>
              </w:tc>
              <w:tc>
                <w:tcPr>
                  <w:tcW w:w="541" w:type="pct"/>
                  <w:vAlign w:val="center"/>
                </w:tcPr>
                <w:p w14:paraId="1F36E84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0.1L</w:t>
                  </w:r>
                </w:p>
              </w:tc>
              <w:tc>
                <w:tcPr>
                  <w:tcW w:w="541" w:type="pct"/>
                  <w:vAlign w:val="center"/>
                </w:tcPr>
                <w:p w14:paraId="00AC4635">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0.1L</w:t>
                  </w:r>
                </w:p>
              </w:tc>
              <w:tc>
                <w:tcPr>
                  <w:tcW w:w="541" w:type="pct"/>
                  <w:vAlign w:val="center"/>
                </w:tcPr>
                <w:p w14:paraId="645C495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0.1L</w:t>
                  </w:r>
                </w:p>
              </w:tc>
              <w:tc>
                <w:tcPr>
                  <w:tcW w:w="541" w:type="pct"/>
                  <w:vAlign w:val="center"/>
                </w:tcPr>
                <w:p w14:paraId="435887FC">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0.1L</w:t>
                  </w:r>
                </w:p>
              </w:tc>
              <w:tc>
                <w:tcPr>
                  <w:tcW w:w="497" w:type="pct"/>
                  <w:vAlign w:val="center"/>
                </w:tcPr>
                <w:p w14:paraId="2BE13682">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0.005</w:t>
                  </w:r>
                </w:p>
              </w:tc>
              <w:tc>
                <w:tcPr>
                  <w:tcW w:w="376" w:type="pct"/>
                  <w:vAlign w:val="center"/>
                </w:tcPr>
                <w:p w14:paraId="2D5ECE15">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71D2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3CF79747">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铁（</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32C9CF9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0.03L</w:t>
                  </w:r>
                </w:p>
              </w:tc>
              <w:tc>
                <w:tcPr>
                  <w:tcW w:w="541" w:type="pct"/>
                  <w:vAlign w:val="center"/>
                </w:tcPr>
                <w:p w14:paraId="7D6C6976">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0.03L</w:t>
                  </w:r>
                </w:p>
              </w:tc>
              <w:tc>
                <w:tcPr>
                  <w:tcW w:w="541" w:type="pct"/>
                  <w:vAlign w:val="center"/>
                </w:tcPr>
                <w:p w14:paraId="6BC50ED6">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0.03L</w:t>
                  </w:r>
                </w:p>
              </w:tc>
              <w:tc>
                <w:tcPr>
                  <w:tcW w:w="541" w:type="pct"/>
                  <w:vAlign w:val="center"/>
                </w:tcPr>
                <w:p w14:paraId="4247833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0.03L</w:t>
                  </w:r>
                </w:p>
              </w:tc>
              <w:tc>
                <w:tcPr>
                  <w:tcW w:w="541" w:type="pct"/>
                  <w:vAlign w:val="center"/>
                </w:tcPr>
                <w:p w14:paraId="4869D4B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0.03L</w:t>
                  </w:r>
                </w:p>
              </w:tc>
              <w:tc>
                <w:tcPr>
                  <w:tcW w:w="541" w:type="pct"/>
                  <w:vAlign w:val="center"/>
                </w:tcPr>
                <w:p w14:paraId="49DB95D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0.03L</w:t>
                  </w:r>
                </w:p>
              </w:tc>
              <w:tc>
                <w:tcPr>
                  <w:tcW w:w="497" w:type="pct"/>
                  <w:vAlign w:val="center"/>
                </w:tcPr>
                <w:p w14:paraId="689CD582">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0.3</w:t>
                  </w:r>
                </w:p>
              </w:tc>
              <w:tc>
                <w:tcPr>
                  <w:tcW w:w="376" w:type="pct"/>
                  <w:vAlign w:val="center"/>
                </w:tcPr>
                <w:p w14:paraId="60E29DF2">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0A21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0B59854F">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锰（</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5E0AE40D">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0.01L</w:t>
                  </w:r>
                </w:p>
              </w:tc>
              <w:tc>
                <w:tcPr>
                  <w:tcW w:w="541" w:type="pct"/>
                  <w:vAlign w:val="center"/>
                </w:tcPr>
                <w:p w14:paraId="3B7E399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0.01L</w:t>
                  </w:r>
                </w:p>
              </w:tc>
              <w:tc>
                <w:tcPr>
                  <w:tcW w:w="541" w:type="pct"/>
                  <w:vAlign w:val="center"/>
                </w:tcPr>
                <w:p w14:paraId="7598B22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0.01L</w:t>
                  </w:r>
                </w:p>
              </w:tc>
              <w:tc>
                <w:tcPr>
                  <w:tcW w:w="541" w:type="pct"/>
                  <w:vAlign w:val="center"/>
                </w:tcPr>
                <w:p w14:paraId="6FB4A09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0.01L</w:t>
                  </w:r>
                </w:p>
              </w:tc>
              <w:tc>
                <w:tcPr>
                  <w:tcW w:w="541" w:type="pct"/>
                  <w:vAlign w:val="center"/>
                </w:tcPr>
                <w:p w14:paraId="3E7B869E">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0.01L</w:t>
                  </w:r>
                </w:p>
              </w:tc>
              <w:tc>
                <w:tcPr>
                  <w:tcW w:w="541" w:type="pct"/>
                  <w:vAlign w:val="center"/>
                </w:tcPr>
                <w:p w14:paraId="0D3E323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0.01L</w:t>
                  </w:r>
                </w:p>
              </w:tc>
              <w:tc>
                <w:tcPr>
                  <w:tcW w:w="497" w:type="pct"/>
                  <w:vAlign w:val="center"/>
                </w:tcPr>
                <w:p w14:paraId="2151241D">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0.10</w:t>
                  </w:r>
                </w:p>
              </w:tc>
              <w:tc>
                <w:tcPr>
                  <w:tcW w:w="376" w:type="pct"/>
                  <w:vAlign w:val="center"/>
                </w:tcPr>
                <w:p w14:paraId="1A192738">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712F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630A1AE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kern w:val="0"/>
                      <w:szCs w:val="21"/>
                      <w14:textFill>
                        <w14:solidFill>
                          <w14:schemeClr w14:val="tx1"/>
                        </w14:solidFill>
                      </w14:textFill>
                    </w:rPr>
                    <w:t>铜</w:t>
                  </w:r>
                  <w:r>
                    <w:rPr>
                      <w:rFonts w:hint="default" w:ascii="Times New Roman" w:hAnsi="Times New Roman" w:cs="Times New Roman"/>
                      <w:iCs/>
                      <w:color w:val="000000" w:themeColor="text1"/>
                      <w:szCs w:val="21"/>
                      <w14:textFill>
                        <w14:solidFill>
                          <w14:schemeClr w14:val="tx1"/>
                        </w14:solidFill>
                      </w14:textFill>
                    </w:rPr>
                    <w:t>（</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0E4F469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0.05L</w:t>
                  </w:r>
                </w:p>
              </w:tc>
              <w:tc>
                <w:tcPr>
                  <w:tcW w:w="541" w:type="pct"/>
                  <w:vAlign w:val="center"/>
                </w:tcPr>
                <w:p w14:paraId="04F09FA6">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0.05L</w:t>
                  </w:r>
                </w:p>
              </w:tc>
              <w:tc>
                <w:tcPr>
                  <w:tcW w:w="541" w:type="pct"/>
                  <w:vAlign w:val="center"/>
                </w:tcPr>
                <w:p w14:paraId="64DCC849">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0.005L</w:t>
                  </w:r>
                </w:p>
              </w:tc>
              <w:tc>
                <w:tcPr>
                  <w:tcW w:w="541" w:type="pct"/>
                  <w:vAlign w:val="center"/>
                </w:tcPr>
                <w:p w14:paraId="4B20F3B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0.005L</w:t>
                  </w:r>
                </w:p>
              </w:tc>
              <w:tc>
                <w:tcPr>
                  <w:tcW w:w="541" w:type="pct"/>
                  <w:vAlign w:val="center"/>
                </w:tcPr>
                <w:p w14:paraId="1499C3EA">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0.005L</w:t>
                  </w:r>
                </w:p>
              </w:tc>
              <w:tc>
                <w:tcPr>
                  <w:tcW w:w="541" w:type="pct"/>
                  <w:vAlign w:val="center"/>
                </w:tcPr>
                <w:p w14:paraId="20E8EBC5">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0.005L</w:t>
                  </w:r>
                </w:p>
              </w:tc>
              <w:tc>
                <w:tcPr>
                  <w:tcW w:w="497" w:type="pct"/>
                  <w:vAlign w:val="center"/>
                </w:tcPr>
                <w:p w14:paraId="739026D9">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1.0</w:t>
                  </w:r>
                </w:p>
              </w:tc>
              <w:tc>
                <w:tcPr>
                  <w:tcW w:w="376" w:type="pct"/>
                  <w:vAlign w:val="center"/>
                </w:tcPr>
                <w:p w14:paraId="40D2FCA7">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1AF0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1271B5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kern w:val="0"/>
                      <w:szCs w:val="21"/>
                      <w14:textFill>
                        <w14:solidFill>
                          <w14:schemeClr w14:val="tx1"/>
                        </w14:solidFill>
                      </w14:textFill>
                    </w:rPr>
                    <w:t>锌</w:t>
                  </w:r>
                  <w:r>
                    <w:rPr>
                      <w:rFonts w:hint="default" w:ascii="Times New Roman" w:hAnsi="Times New Roman" w:cs="Times New Roman"/>
                      <w:iCs/>
                      <w:color w:val="000000" w:themeColor="text1"/>
                      <w:szCs w:val="21"/>
                      <w14:textFill>
                        <w14:solidFill>
                          <w14:schemeClr w14:val="tx1"/>
                        </w14:solidFill>
                      </w14:textFill>
                    </w:rPr>
                    <w:t>（</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3AE59CF3">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0.35</w:t>
                  </w:r>
                </w:p>
              </w:tc>
              <w:tc>
                <w:tcPr>
                  <w:tcW w:w="541" w:type="pct"/>
                  <w:vAlign w:val="center"/>
                </w:tcPr>
                <w:p w14:paraId="215574AE">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0.34</w:t>
                  </w:r>
                </w:p>
              </w:tc>
              <w:tc>
                <w:tcPr>
                  <w:tcW w:w="541" w:type="pct"/>
                  <w:vAlign w:val="center"/>
                </w:tcPr>
                <w:p w14:paraId="6661DDF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0.05L</w:t>
                  </w:r>
                </w:p>
              </w:tc>
              <w:tc>
                <w:tcPr>
                  <w:tcW w:w="541" w:type="pct"/>
                  <w:vAlign w:val="center"/>
                </w:tcPr>
                <w:p w14:paraId="0A81114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0.05L</w:t>
                  </w:r>
                </w:p>
              </w:tc>
              <w:tc>
                <w:tcPr>
                  <w:tcW w:w="541" w:type="pct"/>
                  <w:vAlign w:val="center"/>
                </w:tcPr>
                <w:p w14:paraId="4864B26D">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0.05L</w:t>
                  </w:r>
                </w:p>
              </w:tc>
              <w:tc>
                <w:tcPr>
                  <w:tcW w:w="541" w:type="pct"/>
                  <w:vAlign w:val="center"/>
                </w:tcPr>
                <w:p w14:paraId="6B32B7F2">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0.05L</w:t>
                  </w:r>
                </w:p>
              </w:tc>
              <w:tc>
                <w:tcPr>
                  <w:tcW w:w="497" w:type="pct"/>
                  <w:vAlign w:val="center"/>
                </w:tcPr>
                <w:p w14:paraId="51184999">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1.0</w:t>
                  </w:r>
                </w:p>
              </w:tc>
              <w:tc>
                <w:tcPr>
                  <w:tcW w:w="376" w:type="pct"/>
                  <w:vAlign w:val="center"/>
                </w:tcPr>
                <w:p w14:paraId="4F8929B1">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6F7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0A277DF">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溶解性总固体（</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7861A43D">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293</w:t>
                  </w:r>
                </w:p>
              </w:tc>
              <w:tc>
                <w:tcPr>
                  <w:tcW w:w="541" w:type="pct"/>
                  <w:vAlign w:val="center"/>
                </w:tcPr>
                <w:p w14:paraId="0ED70EBA">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301</w:t>
                  </w:r>
                </w:p>
              </w:tc>
              <w:tc>
                <w:tcPr>
                  <w:tcW w:w="541" w:type="pct"/>
                  <w:vAlign w:val="center"/>
                </w:tcPr>
                <w:p w14:paraId="5C04AA9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305</w:t>
                  </w:r>
                </w:p>
              </w:tc>
              <w:tc>
                <w:tcPr>
                  <w:tcW w:w="541" w:type="pct"/>
                  <w:vAlign w:val="center"/>
                </w:tcPr>
                <w:p w14:paraId="1F4801E8">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314</w:t>
                  </w:r>
                </w:p>
              </w:tc>
              <w:tc>
                <w:tcPr>
                  <w:tcW w:w="541" w:type="pct"/>
                  <w:vAlign w:val="center"/>
                </w:tcPr>
                <w:p w14:paraId="07B3C5E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121</w:t>
                  </w:r>
                </w:p>
              </w:tc>
              <w:tc>
                <w:tcPr>
                  <w:tcW w:w="541" w:type="pct"/>
                  <w:vAlign w:val="center"/>
                </w:tcPr>
                <w:p w14:paraId="7ACECDD3">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231</w:t>
                  </w:r>
                </w:p>
              </w:tc>
              <w:tc>
                <w:tcPr>
                  <w:tcW w:w="497" w:type="pct"/>
                  <w:vAlign w:val="center"/>
                </w:tcPr>
                <w:p w14:paraId="30F45E34">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1000</w:t>
                  </w:r>
                </w:p>
              </w:tc>
              <w:tc>
                <w:tcPr>
                  <w:tcW w:w="376" w:type="pct"/>
                  <w:vAlign w:val="center"/>
                </w:tcPr>
                <w:p w14:paraId="3B5E3C89">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4421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39B00279">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耗氧量（</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14493B3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1.5</w:t>
                  </w:r>
                </w:p>
              </w:tc>
              <w:tc>
                <w:tcPr>
                  <w:tcW w:w="541" w:type="pct"/>
                  <w:vAlign w:val="center"/>
                </w:tcPr>
                <w:p w14:paraId="0B57E64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1.4</w:t>
                  </w:r>
                </w:p>
              </w:tc>
              <w:tc>
                <w:tcPr>
                  <w:tcW w:w="541" w:type="pct"/>
                  <w:vAlign w:val="center"/>
                </w:tcPr>
                <w:p w14:paraId="34473F0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1.2</w:t>
                  </w:r>
                </w:p>
              </w:tc>
              <w:tc>
                <w:tcPr>
                  <w:tcW w:w="541" w:type="pct"/>
                  <w:vAlign w:val="center"/>
                </w:tcPr>
                <w:p w14:paraId="7D669D8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1.0</w:t>
                  </w:r>
                </w:p>
              </w:tc>
              <w:tc>
                <w:tcPr>
                  <w:tcW w:w="541" w:type="pct"/>
                  <w:vAlign w:val="center"/>
                </w:tcPr>
                <w:p w14:paraId="72C85E7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1.6</w:t>
                  </w:r>
                </w:p>
              </w:tc>
              <w:tc>
                <w:tcPr>
                  <w:tcW w:w="541" w:type="pct"/>
                  <w:vAlign w:val="center"/>
                </w:tcPr>
                <w:p w14:paraId="4EB09B7A">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1.8</w:t>
                  </w:r>
                </w:p>
              </w:tc>
              <w:tc>
                <w:tcPr>
                  <w:tcW w:w="497" w:type="pct"/>
                  <w:vAlign w:val="center"/>
                </w:tcPr>
                <w:p w14:paraId="71E93DE6">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3.0</w:t>
                  </w:r>
                </w:p>
              </w:tc>
              <w:tc>
                <w:tcPr>
                  <w:tcW w:w="376" w:type="pct"/>
                  <w:vAlign w:val="center"/>
                </w:tcPr>
                <w:p w14:paraId="7B05CD67">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A6A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569B2C6">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硫酸盐（</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6C4679D1">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40</w:t>
                  </w:r>
                </w:p>
              </w:tc>
              <w:tc>
                <w:tcPr>
                  <w:tcW w:w="541" w:type="pct"/>
                  <w:vAlign w:val="center"/>
                </w:tcPr>
                <w:p w14:paraId="3E4A770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38</w:t>
                  </w:r>
                </w:p>
              </w:tc>
              <w:tc>
                <w:tcPr>
                  <w:tcW w:w="541" w:type="pct"/>
                  <w:vAlign w:val="center"/>
                </w:tcPr>
                <w:p w14:paraId="12DA9D0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28</w:t>
                  </w:r>
                </w:p>
              </w:tc>
              <w:tc>
                <w:tcPr>
                  <w:tcW w:w="541" w:type="pct"/>
                  <w:vAlign w:val="center"/>
                </w:tcPr>
                <w:p w14:paraId="6363886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29</w:t>
                  </w:r>
                </w:p>
              </w:tc>
              <w:tc>
                <w:tcPr>
                  <w:tcW w:w="541" w:type="pct"/>
                  <w:vAlign w:val="center"/>
                </w:tcPr>
                <w:p w14:paraId="748E12E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8L</w:t>
                  </w:r>
                </w:p>
              </w:tc>
              <w:tc>
                <w:tcPr>
                  <w:tcW w:w="541" w:type="pct"/>
                  <w:vAlign w:val="center"/>
                </w:tcPr>
                <w:p w14:paraId="1CD4DAC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8L</w:t>
                  </w:r>
                </w:p>
              </w:tc>
              <w:tc>
                <w:tcPr>
                  <w:tcW w:w="497" w:type="pct"/>
                  <w:vAlign w:val="center"/>
                </w:tcPr>
                <w:p w14:paraId="14EC1CCE">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250</w:t>
                  </w:r>
                </w:p>
              </w:tc>
              <w:tc>
                <w:tcPr>
                  <w:tcW w:w="376" w:type="pct"/>
                  <w:vAlign w:val="center"/>
                </w:tcPr>
                <w:p w14:paraId="2F193E1B">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1A67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5F1910B">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氯化物（</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4B30BFC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34.4</w:t>
                  </w:r>
                </w:p>
              </w:tc>
              <w:tc>
                <w:tcPr>
                  <w:tcW w:w="541" w:type="pct"/>
                  <w:vAlign w:val="center"/>
                </w:tcPr>
                <w:p w14:paraId="7F8538A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37.2</w:t>
                  </w:r>
                </w:p>
              </w:tc>
              <w:tc>
                <w:tcPr>
                  <w:tcW w:w="541" w:type="pct"/>
                  <w:vAlign w:val="center"/>
                </w:tcPr>
                <w:p w14:paraId="61087B9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82.2</w:t>
                  </w:r>
                </w:p>
              </w:tc>
              <w:tc>
                <w:tcPr>
                  <w:tcW w:w="541" w:type="pct"/>
                  <w:vAlign w:val="center"/>
                </w:tcPr>
                <w:p w14:paraId="47A91A4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87.8</w:t>
                  </w:r>
                </w:p>
              </w:tc>
              <w:tc>
                <w:tcPr>
                  <w:tcW w:w="541" w:type="pct"/>
                  <w:vAlign w:val="center"/>
                </w:tcPr>
                <w:p w14:paraId="2979C079">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10.2</w:t>
                  </w:r>
                </w:p>
              </w:tc>
              <w:tc>
                <w:tcPr>
                  <w:tcW w:w="541" w:type="pct"/>
                  <w:vAlign w:val="center"/>
                </w:tcPr>
                <w:p w14:paraId="5EE5DC9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13.1</w:t>
                  </w:r>
                </w:p>
              </w:tc>
              <w:tc>
                <w:tcPr>
                  <w:tcW w:w="497" w:type="pct"/>
                  <w:vAlign w:val="center"/>
                </w:tcPr>
                <w:p w14:paraId="5B858894">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250</w:t>
                  </w:r>
                </w:p>
              </w:tc>
              <w:tc>
                <w:tcPr>
                  <w:tcW w:w="376" w:type="pct"/>
                  <w:vAlign w:val="center"/>
                </w:tcPr>
                <w:p w14:paraId="357DB771">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57A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32C92BB2">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总大肠菌群（</w:t>
                  </w:r>
                  <w:r>
                    <w:rPr>
                      <w:rFonts w:hint="default" w:ascii="Times New Roman" w:hAnsi="Times New Roman" w:eastAsiaTheme="minorEastAsia"/>
                      <w:iCs/>
                      <w:color w:val="000000" w:themeColor="text1"/>
                      <w:kern w:val="0"/>
                      <w:szCs w:val="21"/>
                      <w:lang w:bidi="ar"/>
                      <w14:textFill>
                        <w14:solidFill>
                          <w14:schemeClr w14:val="tx1"/>
                        </w14:solidFill>
                      </w14:textFill>
                    </w:rPr>
                    <w:t>MPN/100ml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3BAFA41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2L</w:t>
                  </w:r>
                </w:p>
              </w:tc>
              <w:tc>
                <w:tcPr>
                  <w:tcW w:w="541" w:type="pct"/>
                  <w:vAlign w:val="center"/>
                </w:tcPr>
                <w:p w14:paraId="2C2537D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2L</w:t>
                  </w:r>
                </w:p>
              </w:tc>
              <w:tc>
                <w:tcPr>
                  <w:tcW w:w="541" w:type="pct"/>
                  <w:vAlign w:val="center"/>
                </w:tcPr>
                <w:p w14:paraId="5732FC5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2L</w:t>
                  </w:r>
                </w:p>
              </w:tc>
              <w:tc>
                <w:tcPr>
                  <w:tcW w:w="541" w:type="pct"/>
                  <w:vAlign w:val="center"/>
                </w:tcPr>
                <w:p w14:paraId="4C8A2DA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2L</w:t>
                  </w:r>
                </w:p>
              </w:tc>
              <w:tc>
                <w:tcPr>
                  <w:tcW w:w="541" w:type="pct"/>
                  <w:vAlign w:val="center"/>
                </w:tcPr>
                <w:p w14:paraId="507F4FC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2L</w:t>
                  </w:r>
                </w:p>
              </w:tc>
              <w:tc>
                <w:tcPr>
                  <w:tcW w:w="541" w:type="pct"/>
                  <w:vAlign w:val="center"/>
                </w:tcPr>
                <w:p w14:paraId="2E8FB96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2L</w:t>
                  </w:r>
                </w:p>
              </w:tc>
              <w:tc>
                <w:tcPr>
                  <w:tcW w:w="497" w:type="pct"/>
                  <w:vAlign w:val="center"/>
                </w:tcPr>
                <w:p w14:paraId="28E481DB">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3.0</w:t>
                  </w:r>
                </w:p>
              </w:tc>
              <w:tc>
                <w:tcPr>
                  <w:tcW w:w="376" w:type="pct"/>
                  <w:vAlign w:val="center"/>
                </w:tcPr>
                <w:p w14:paraId="53D8B53D">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5F37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68DBD16">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细菌总数（个）</w:t>
                  </w:r>
                </w:p>
              </w:tc>
              <w:tc>
                <w:tcPr>
                  <w:tcW w:w="541" w:type="pct"/>
                  <w:vAlign w:val="center"/>
                </w:tcPr>
                <w:p w14:paraId="1B6D4C51">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24</w:t>
                  </w:r>
                </w:p>
              </w:tc>
              <w:tc>
                <w:tcPr>
                  <w:tcW w:w="541" w:type="pct"/>
                  <w:vAlign w:val="center"/>
                </w:tcPr>
                <w:p w14:paraId="364711C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26</w:t>
                  </w:r>
                </w:p>
              </w:tc>
              <w:tc>
                <w:tcPr>
                  <w:tcW w:w="541" w:type="pct"/>
                  <w:vAlign w:val="center"/>
                </w:tcPr>
                <w:p w14:paraId="5A01FB8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21</w:t>
                  </w:r>
                </w:p>
              </w:tc>
              <w:tc>
                <w:tcPr>
                  <w:tcW w:w="541" w:type="pct"/>
                  <w:vAlign w:val="center"/>
                </w:tcPr>
                <w:p w14:paraId="72C1028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23</w:t>
                  </w:r>
                </w:p>
              </w:tc>
              <w:tc>
                <w:tcPr>
                  <w:tcW w:w="541" w:type="pct"/>
                  <w:vAlign w:val="center"/>
                </w:tcPr>
                <w:p w14:paraId="5F57E6B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25</w:t>
                  </w:r>
                </w:p>
              </w:tc>
              <w:tc>
                <w:tcPr>
                  <w:tcW w:w="541" w:type="pct"/>
                  <w:vAlign w:val="center"/>
                </w:tcPr>
                <w:p w14:paraId="2B302A1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29</w:t>
                  </w:r>
                </w:p>
              </w:tc>
              <w:tc>
                <w:tcPr>
                  <w:tcW w:w="497" w:type="pct"/>
                  <w:vAlign w:val="center"/>
                </w:tcPr>
                <w:p w14:paraId="16C098D8">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100</w:t>
                  </w:r>
                </w:p>
              </w:tc>
              <w:tc>
                <w:tcPr>
                  <w:tcW w:w="376" w:type="pct"/>
                  <w:vAlign w:val="center"/>
                </w:tcPr>
                <w:p w14:paraId="379C9653">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1665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086611FF">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色度（倍）</w:t>
                  </w:r>
                </w:p>
              </w:tc>
              <w:tc>
                <w:tcPr>
                  <w:tcW w:w="541" w:type="pct"/>
                  <w:vAlign w:val="center"/>
                </w:tcPr>
                <w:p w14:paraId="07C833A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8</w:t>
                  </w:r>
                </w:p>
              </w:tc>
              <w:tc>
                <w:tcPr>
                  <w:tcW w:w="541" w:type="pct"/>
                  <w:vAlign w:val="center"/>
                </w:tcPr>
                <w:p w14:paraId="2056A1C9">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w:t>
                  </w:r>
                </w:p>
              </w:tc>
              <w:tc>
                <w:tcPr>
                  <w:tcW w:w="541" w:type="pct"/>
                  <w:vAlign w:val="center"/>
                </w:tcPr>
                <w:p w14:paraId="2856863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9</w:t>
                  </w:r>
                </w:p>
              </w:tc>
              <w:tc>
                <w:tcPr>
                  <w:tcW w:w="541" w:type="pct"/>
                  <w:vAlign w:val="center"/>
                </w:tcPr>
                <w:p w14:paraId="7EFAB27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8</w:t>
                  </w:r>
                </w:p>
              </w:tc>
              <w:tc>
                <w:tcPr>
                  <w:tcW w:w="541" w:type="pct"/>
                  <w:vAlign w:val="center"/>
                </w:tcPr>
                <w:p w14:paraId="0D8763B9">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10</w:t>
                  </w:r>
                </w:p>
              </w:tc>
              <w:tc>
                <w:tcPr>
                  <w:tcW w:w="541" w:type="pct"/>
                  <w:vAlign w:val="center"/>
                </w:tcPr>
                <w:p w14:paraId="0B71CD1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9</w:t>
                  </w:r>
                </w:p>
              </w:tc>
              <w:tc>
                <w:tcPr>
                  <w:tcW w:w="497" w:type="pct"/>
                  <w:vAlign w:val="center"/>
                </w:tcPr>
                <w:p w14:paraId="687B7013">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15</w:t>
                  </w:r>
                </w:p>
              </w:tc>
              <w:tc>
                <w:tcPr>
                  <w:tcW w:w="376" w:type="pct"/>
                  <w:vAlign w:val="center"/>
                </w:tcPr>
                <w:p w14:paraId="1B81C248">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9A2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4AC57D98">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浑浊度（</w:t>
                  </w:r>
                  <w:r>
                    <w:rPr>
                      <w:rFonts w:hint="default" w:ascii="Times New Roman" w:hAnsi="Times New Roman" w:cs="Times New Roman"/>
                      <w:iCs/>
                      <w:color w:val="000000" w:themeColor="text1"/>
                      <w:kern w:val="0"/>
                      <w:szCs w:val="21"/>
                      <w:lang w:bidi="ar"/>
                      <w14:textFill>
                        <w14:solidFill>
                          <w14:schemeClr w14:val="tx1"/>
                        </w14:solidFill>
                      </w14:textFill>
                    </w:rPr>
                    <w:t>NTU</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79A560D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3L</w:t>
                  </w:r>
                </w:p>
              </w:tc>
              <w:tc>
                <w:tcPr>
                  <w:tcW w:w="541" w:type="pct"/>
                  <w:vAlign w:val="center"/>
                </w:tcPr>
                <w:p w14:paraId="02E9BE11">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3L</w:t>
                  </w:r>
                </w:p>
              </w:tc>
              <w:tc>
                <w:tcPr>
                  <w:tcW w:w="541" w:type="pct"/>
                  <w:vAlign w:val="center"/>
                </w:tcPr>
                <w:p w14:paraId="598261F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3L</w:t>
                  </w:r>
                </w:p>
              </w:tc>
              <w:tc>
                <w:tcPr>
                  <w:tcW w:w="541" w:type="pct"/>
                  <w:vAlign w:val="center"/>
                </w:tcPr>
                <w:p w14:paraId="0C41EF77">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3L</w:t>
                  </w:r>
                </w:p>
              </w:tc>
              <w:tc>
                <w:tcPr>
                  <w:tcW w:w="541" w:type="pct"/>
                  <w:vAlign w:val="center"/>
                </w:tcPr>
                <w:p w14:paraId="3CC6194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3L</w:t>
                  </w:r>
                </w:p>
              </w:tc>
              <w:tc>
                <w:tcPr>
                  <w:tcW w:w="541" w:type="pct"/>
                  <w:vAlign w:val="center"/>
                </w:tcPr>
                <w:p w14:paraId="1CD288A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3L</w:t>
                  </w:r>
                </w:p>
              </w:tc>
              <w:tc>
                <w:tcPr>
                  <w:tcW w:w="497" w:type="pct"/>
                  <w:vAlign w:val="center"/>
                </w:tcPr>
                <w:p w14:paraId="43BA299E">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3</w:t>
                  </w:r>
                </w:p>
              </w:tc>
              <w:tc>
                <w:tcPr>
                  <w:tcW w:w="376" w:type="pct"/>
                  <w:vAlign w:val="center"/>
                </w:tcPr>
                <w:p w14:paraId="10E57FE9">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0AD4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17E5F702">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铍（</w:t>
                  </w:r>
                  <w:r>
                    <w:rPr>
                      <w:rFonts w:hint="default" w:ascii="Times New Roman" w:hAnsi="Times New Roman" w:cs="Times New Roman"/>
                      <w:iCs/>
                      <w:color w:val="000000" w:themeColor="text1"/>
                      <w:kern w:val="0"/>
                      <w:szCs w:val="21"/>
                      <w:lang w:bidi="ar"/>
                      <w14:textFill>
                        <w14:solidFill>
                          <w14:schemeClr w14:val="tx1"/>
                        </w14:solidFill>
                      </w14:textFill>
                    </w:rPr>
                    <w:t>μg/L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59DAF41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0.04</w:t>
                  </w:r>
                </w:p>
              </w:tc>
              <w:tc>
                <w:tcPr>
                  <w:tcW w:w="541" w:type="pct"/>
                  <w:vAlign w:val="center"/>
                </w:tcPr>
                <w:p w14:paraId="53E5D22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0.04</w:t>
                  </w:r>
                </w:p>
              </w:tc>
              <w:tc>
                <w:tcPr>
                  <w:tcW w:w="541" w:type="pct"/>
                  <w:vAlign w:val="center"/>
                </w:tcPr>
                <w:p w14:paraId="098CD73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0.04</w:t>
                  </w:r>
                </w:p>
              </w:tc>
              <w:tc>
                <w:tcPr>
                  <w:tcW w:w="541" w:type="pct"/>
                  <w:vAlign w:val="center"/>
                </w:tcPr>
                <w:p w14:paraId="65454B55">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0.04</w:t>
                  </w:r>
                </w:p>
              </w:tc>
              <w:tc>
                <w:tcPr>
                  <w:tcW w:w="541" w:type="pct"/>
                  <w:vAlign w:val="center"/>
                </w:tcPr>
                <w:p w14:paraId="5552CFD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0.04</w:t>
                  </w:r>
                </w:p>
              </w:tc>
              <w:tc>
                <w:tcPr>
                  <w:tcW w:w="541" w:type="pct"/>
                  <w:vAlign w:val="center"/>
                </w:tcPr>
                <w:p w14:paraId="21250B57">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0.03</w:t>
                  </w:r>
                </w:p>
              </w:tc>
              <w:tc>
                <w:tcPr>
                  <w:tcW w:w="497" w:type="pct"/>
                  <w:vAlign w:val="center"/>
                </w:tcPr>
                <w:p w14:paraId="7BFA1B74">
                  <w:pPr>
                    <w:pStyle w:val="109"/>
                    <w:keepNext w:val="0"/>
                    <w:keepLines w:val="0"/>
                    <w:suppressLineNumbers w:val="0"/>
                    <w:adjustRightInd w:val="0"/>
                    <w:spacing w:beforeAutospacing="0" w:after="0" w:afterAutospacing="0" w:line="240" w:lineRule="auto"/>
                    <w:ind w:left="0" w:right="0"/>
                    <w:jc w:val="center"/>
                    <w:rPr>
                      <w:rFonts w:hint="default" w:ascii="Times New Roman" w:cs="Times New Roman" w:eastAsiaTheme="minorEastAsia"/>
                      <w:iCs/>
                      <w:color w:val="000000" w:themeColor="text1"/>
                      <w:sz w:val="21"/>
                      <w:szCs w:val="21"/>
                      <w14:textFill>
                        <w14:solidFill>
                          <w14:schemeClr w14:val="tx1"/>
                        </w14:solidFill>
                      </w14:textFill>
                    </w:rPr>
                  </w:pPr>
                  <w:r>
                    <w:rPr>
                      <w:rFonts w:hint="default" w:ascii="Times New Roman" w:cs="Times New Roman" w:eastAsiaTheme="minorEastAsia"/>
                      <w:iCs/>
                      <w:color w:val="000000" w:themeColor="text1"/>
                      <w:sz w:val="21"/>
                      <w:szCs w:val="21"/>
                      <w14:textFill>
                        <w14:solidFill>
                          <w14:schemeClr w14:val="tx1"/>
                        </w14:solidFill>
                      </w14:textFill>
                    </w:rPr>
                    <w:t>0.002</w:t>
                  </w:r>
                </w:p>
              </w:tc>
              <w:tc>
                <w:tcPr>
                  <w:tcW w:w="376" w:type="pct"/>
                  <w:vAlign w:val="center"/>
                </w:tcPr>
                <w:p w14:paraId="3228F81A">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64A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2EF06615">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锑（</w:t>
                  </w:r>
                  <w:r>
                    <w:rPr>
                      <w:rFonts w:hint="default" w:ascii="Times New Roman" w:hAnsi="Times New Roman" w:cs="Times New Roman"/>
                      <w:iCs/>
                      <w:color w:val="000000" w:themeColor="text1"/>
                      <w:kern w:val="0"/>
                      <w:szCs w:val="21"/>
                      <w:lang w:bidi="ar"/>
                      <w14:textFill>
                        <w14:solidFill>
                          <w14:schemeClr w14:val="tx1"/>
                        </w14:solidFill>
                      </w14:textFill>
                    </w:rPr>
                    <w:t>μg/L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5095F97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0.2L</w:t>
                  </w:r>
                </w:p>
              </w:tc>
              <w:tc>
                <w:tcPr>
                  <w:tcW w:w="541" w:type="pct"/>
                  <w:vAlign w:val="center"/>
                </w:tcPr>
                <w:p w14:paraId="06C3F54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0.2L</w:t>
                  </w:r>
                </w:p>
              </w:tc>
              <w:tc>
                <w:tcPr>
                  <w:tcW w:w="541" w:type="pct"/>
                  <w:vAlign w:val="center"/>
                </w:tcPr>
                <w:p w14:paraId="2BA40201">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0.2L</w:t>
                  </w:r>
                </w:p>
              </w:tc>
              <w:tc>
                <w:tcPr>
                  <w:tcW w:w="541" w:type="pct"/>
                  <w:vAlign w:val="center"/>
                </w:tcPr>
                <w:p w14:paraId="7736B69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0.2L</w:t>
                  </w:r>
                </w:p>
              </w:tc>
              <w:tc>
                <w:tcPr>
                  <w:tcW w:w="541" w:type="pct"/>
                  <w:vAlign w:val="center"/>
                </w:tcPr>
                <w:p w14:paraId="29163DD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0.2L</w:t>
                  </w:r>
                </w:p>
              </w:tc>
              <w:tc>
                <w:tcPr>
                  <w:tcW w:w="541" w:type="pct"/>
                  <w:vAlign w:val="center"/>
                </w:tcPr>
                <w:p w14:paraId="414C39FA">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0.2L</w:t>
                  </w:r>
                </w:p>
              </w:tc>
              <w:tc>
                <w:tcPr>
                  <w:tcW w:w="497" w:type="pct"/>
                  <w:vAlign w:val="center"/>
                </w:tcPr>
                <w:p w14:paraId="69B66C4A">
                  <w:pPr>
                    <w:pStyle w:val="109"/>
                    <w:keepNext w:val="0"/>
                    <w:keepLines w:val="0"/>
                    <w:suppressLineNumbers w:val="0"/>
                    <w:adjustRightInd w:val="0"/>
                    <w:spacing w:beforeAutospacing="0" w:after="0" w:afterAutospacing="0" w:line="240" w:lineRule="auto"/>
                    <w:ind w:left="0" w:right="0"/>
                    <w:jc w:val="center"/>
                    <w:rPr>
                      <w:rFonts w:hint="default" w:ascii="Times New Roman" w:cs="Times New Roman" w:eastAsiaTheme="minorEastAsia"/>
                      <w:iCs/>
                      <w:color w:val="000000" w:themeColor="text1"/>
                      <w:sz w:val="21"/>
                      <w:szCs w:val="21"/>
                      <w14:textFill>
                        <w14:solidFill>
                          <w14:schemeClr w14:val="tx1"/>
                        </w14:solidFill>
                      </w14:textFill>
                    </w:rPr>
                  </w:pPr>
                  <w:r>
                    <w:rPr>
                      <w:rFonts w:hint="default" w:ascii="Times New Roman" w:cs="Times New Roman" w:eastAsiaTheme="minorEastAsia"/>
                      <w:iCs/>
                      <w:color w:val="000000" w:themeColor="text1"/>
                      <w:sz w:val="21"/>
                      <w:szCs w:val="21"/>
                      <w14:textFill>
                        <w14:solidFill>
                          <w14:schemeClr w14:val="tx1"/>
                        </w14:solidFill>
                      </w14:textFill>
                    </w:rPr>
                    <w:t>0.005</w:t>
                  </w:r>
                </w:p>
              </w:tc>
              <w:tc>
                <w:tcPr>
                  <w:tcW w:w="376" w:type="pct"/>
                  <w:vAlign w:val="center"/>
                </w:tcPr>
                <w:p w14:paraId="5885289E">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4FE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394EB24">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*钴（</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56DC31B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0.002L</w:t>
                  </w:r>
                </w:p>
              </w:tc>
              <w:tc>
                <w:tcPr>
                  <w:tcW w:w="541" w:type="pct"/>
                  <w:vAlign w:val="center"/>
                </w:tcPr>
                <w:p w14:paraId="4FA530D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0.002L</w:t>
                  </w:r>
                </w:p>
              </w:tc>
              <w:tc>
                <w:tcPr>
                  <w:tcW w:w="541" w:type="pct"/>
                  <w:vAlign w:val="center"/>
                </w:tcPr>
                <w:p w14:paraId="2550E73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0.002L</w:t>
                  </w:r>
                </w:p>
              </w:tc>
              <w:tc>
                <w:tcPr>
                  <w:tcW w:w="541" w:type="pct"/>
                  <w:vAlign w:val="center"/>
                </w:tcPr>
                <w:p w14:paraId="1693247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0.002L</w:t>
                  </w:r>
                </w:p>
              </w:tc>
              <w:tc>
                <w:tcPr>
                  <w:tcW w:w="541" w:type="pct"/>
                  <w:vAlign w:val="center"/>
                </w:tcPr>
                <w:p w14:paraId="5CC1788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0.002L</w:t>
                  </w:r>
                </w:p>
              </w:tc>
              <w:tc>
                <w:tcPr>
                  <w:tcW w:w="541" w:type="pct"/>
                  <w:vAlign w:val="center"/>
                </w:tcPr>
                <w:p w14:paraId="65DD7FF5">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0.002L</w:t>
                  </w:r>
                </w:p>
              </w:tc>
              <w:tc>
                <w:tcPr>
                  <w:tcW w:w="497" w:type="pct"/>
                  <w:vAlign w:val="center"/>
                </w:tcPr>
                <w:p w14:paraId="4E9A345A">
                  <w:pPr>
                    <w:pStyle w:val="109"/>
                    <w:keepNext w:val="0"/>
                    <w:keepLines w:val="0"/>
                    <w:suppressLineNumbers w:val="0"/>
                    <w:adjustRightInd w:val="0"/>
                    <w:spacing w:beforeAutospacing="0" w:after="0" w:afterAutospacing="0" w:line="240" w:lineRule="auto"/>
                    <w:ind w:left="0" w:right="0"/>
                    <w:jc w:val="center"/>
                    <w:rPr>
                      <w:rFonts w:hint="default" w:ascii="Times New Roman" w:cs="Times New Roman" w:eastAsiaTheme="minorEastAsia"/>
                      <w:iCs/>
                      <w:color w:val="000000" w:themeColor="text1"/>
                      <w:sz w:val="21"/>
                      <w:szCs w:val="21"/>
                      <w14:textFill>
                        <w14:solidFill>
                          <w14:schemeClr w14:val="tx1"/>
                        </w14:solidFill>
                      </w14:textFill>
                    </w:rPr>
                  </w:pPr>
                  <w:r>
                    <w:rPr>
                      <w:rFonts w:hint="default" w:ascii="Times New Roman" w:cs="Times New Roman" w:eastAsiaTheme="minorEastAsia"/>
                      <w:iCs/>
                      <w:color w:val="000000" w:themeColor="text1"/>
                      <w:sz w:val="21"/>
                      <w:szCs w:val="21"/>
                      <w14:textFill>
                        <w14:solidFill>
                          <w14:schemeClr w14:val="tx1"/>
                        </w14:solidFill>
                      </w14:textFill>
                    </w:rPr>
                    <w:t>0.05</w:t>
                  </w:r>
                </w:p>
              </w:tc>
              <w:tc>
                <w:tcPr>
                  <w:tcW w:w="376" w:type="pct"/>
                  <w:vAlign w:val="center"/>
                </w:tcPr>
                <w:p w14:paraId="22B24FE7">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2BB7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A006734">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镍（</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54D069F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3EFE2F3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6607225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50C5E9E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0AA5A487">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5163F83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497" w:type="pct"/>
                  <w:vAlign w:val="center"/>
                </w:tcPr>
                <w:p w14:paraId="0A784074">
                  <w:pPr>
                    <w:pStyle w:val="109"/>
                    <w:keepNext w:val="0"/>
                    <w:keepLines w:val="0"/>
                    <w:suppressLineNumbers w:val="0"/>
                    <w:adjustRightInd w:val="0"/>
                    <w:spacing w:beforeAutospacing="0" w:after="0" w:afterAutospacing="0" w:line="240" w:lineRule="auto"/>
                    <w:ind w:left="0" w:right="0"/>
                    <w:jc w:val="center"/>
                    <w:rPr>
                      <w:rFonts w:hint="default" w:ascii="Times New Roman" w:cs="Times New Roman" w:eastAsiaTheme="minorEastAsia"/>
                      <w:iCs/>
                      <w:color w:val="000000" w:themeColor="text1"/>
                      <w:sz w:val="21"/>
                      <w:szCs w:val="21"/>
                      <w14:textFill>
                        <w14:solidFill>
                          <w14:schemeClr w14:val="tx1"/>
                        </w14:solidFill>
                      </w14:textFill>
                    </w:rPr>
                  </w:pPr>
                  <w:r>
                    <w:rPr>
                      <w:rFonts w:hint="default" w:ascii="Times New Roman" w:cs="Times New Roman" w:eastAsiaTheme="minorEastAsia"/>
                      <w:iCs/>
                      <w:color w:val="000000" w:themeColor="text1"/>
                      <w:sz w:val="21"/>
                      <w:szCs w:val="21"/>
                      <w14:textFill>
                        <w14:solidFill>
                          <w14:schemeClr w14:val="tx1"/>
                        </w14:solidFill>
                      </w14:textFill>
                    </w:rPr>
                    <w:t>0.02</w:t>
                  </w:r>
                </w:p>
              </w:tc>
              <w:tc>
                <w:tcPr>
                  <w:tcW w:w="376" w:type="pct"/>
                  <w:vAlign w:val="center"/>
                </w:tcPr>
                <w:p w14:paraId="5453F734">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8EA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190C9434">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*铊（</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08BE06F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0.00003L</w:t>
                  </w:r>
                </w:p>
              </w:tc>
              <w:tc>
                <w:tcPr>
                  <w:tcW w:w="541" w:type="pct"/>
                  <w:vAlign w:val="center"/>
                </w:tcPr>
                <w:p w14:paraId="06CB785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0.00003L</w:t>
                  </w:r>
                </w:p>
              </w:tc>
              <w:tc>
                <w:tcPr>
                  <w:tcW w:w="541" w:type="pct"/>
                  <w:vAlign w:val="center"/>
                </w:tcPr>
                <w:p w14:paraId="2AA0473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0.00003L</w:t>
                  </w:r>
                </w:p>
              </w:tc>
              <w:tc>
                <w:tcPr>
                  <w:tcW w:w="541" w:type="pct"/>
                  <w:vAlign w:val="center"/>
                </w:tcPr>
                <w:p w14:paraId="3A02412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0.00003L</w:t>
                  </w:r>
                </w:p>
              </w:tc>
              <w:tc>
                <w:tcPr>
                  <w:tcW w:w="541" w:type="pct"/>
                  <w:vAlign w:val="center"/>
                </w:tcPr>
                <w:p w14:paraId="54D3B057">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0.00003L</w:t>
                  </w:r>
                </w:p>
              </w:tc>
              <w:tc>
                <w:tcPr>
                  <w:tcW w:w="541" w:type="pct"/>
                  <w:vAlign w:val="center"/>
                </w:tcPr>
                <w:p w14:paraId="284AFD6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0.00003L</w:t>
                  </w:r>
                </w:p>
              </w:tc>
              <w:tc>
                <w:tcPr>
                  <w:tcW w:w="497" w:type="pct"/>
                  <w:vAlign w:val="center"/>
                </w:tcPr>
                <w:p w14:paraId="41EDFB61">
                  <w:pPr>
                    <w:pStyle w:val="109"/>
                    <w:keepNext w:val="0"/>
                    <w:keepLines w:val="0"/>
                    <w:suppressLineNumbers w:val="0"/>
                    <w:adjustRightInd w:val="0"/>
                    <w:spacing w:beforeAutospacing="0" w:after="0" w:afterAutospacing="0" w:line="240" w:lineRule="auto"/>
                    <w:ind w:left="0" w:right="0"/>
                    <w:jc w:val="center"/>
                    <w:rPr>
                      <w:rFonts w:hint="default" w:ascii="Times New Roman" w:cs="Times New Roman" w:eastAsiaTheme="minorEastAsia"/>
                      <w:iCs/>
                      <w:color w:val="000000" w:themeColor="text1"/>
                      <w:sz w:val="21"/>
                      <w:szCs w:val="21"/>
                      <w14:textFill>
                        <w14:solidFill>
                          <w14:schemeClr w14:val="tx1"/>
                        </w14:solidFill>
                      </w14:textFill>
                    </w:rPr>
                  </w:pPr>
                  <w:r>
                    <w:rPr>
                      <w:rFonts w:hint="default" w:ascii="Times New Roman" w:cs="Times New Roman" w:eastAsiaTheme="minorEastAsia"/>
                      <w:iCs/>
                      <w:color w:val="000000" w:themeColor="text1"/>
                      <w:sz w:val="21"/>
                      <w:szCs w:val="21"/>
                      <w14:textFill>
                        <w14:solidFill>
                          <w14:schemeClr w14:val="tx1"/>
                        </w14:solidFill>
                      </w14:textFill>
                    </w:rPr>
                    <w:t>0.0001</w:t>
                  </w:r>
                </w:p>
              </w:tc>
              <w:tc>
                <w:tcPr>
                  <w:tcW w:w="376" w:type="pct"/>
                  <w:vAlign w:val="center"/>
                </w:tcPr>
                <w:p w14:paraId="413704FD">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52B4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1161EAB3">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总磷（</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7C7DAD07">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0.12</w:t>
                  </w:r>
                </w:p>
              </w:tc>
              <w:tc>
                <w:tcPr>
                  <w:tcW w:w="541" w:type="pct"/>
                  <w:vAlign w:val="center"/>
                </w:tcPr>
                <w:p w14:paraId="350B686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0.14</w:t>
                  </w:r>
                </w:p>
              </w:tc>
              <w:tc>
                <w:tcPr>
                  <w:tcW w:w="541" w:type="pct"/>
                  <w:vAlign w:val="center"/>
                </w:tcPr>
                <w:p w14:paraId="25DE782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0.15</w:t>
                  </w:r>
                </w:p>
              </w:tc>
              <w:tc>
                <w:tcPr>
                  <w:tcW w:w="541" w:type="pct"/>
                  <w:vAlign w:val="center"/>
                </w:tcPr>
                <w:p w14:paraId="57C7D20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0.17</w:t>
                  </w:r>
                </w:p>
              </w:tc>
              <w:tc>
                <w:tcPr>
                  <w:tcW w:w="541" w:type="pct"/>
                  <w:vAlign w:val="center"/>
                </w:tcPr>
                <w:p w14:paraId="1E0A27C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0.11</w:t>
                  </w:r>
                </w:p>
              </w:tc>
              <w:tc>
                <w:tcPr>
                  <w:tcW w:w="541" w:type="pct"/>
                  <w:vAlign w:val="center"/>
                </w:tcPr>
                <w:p w14:paraId="77FAFA7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0.12</w:t>
                  </w:r>
                </w:p>
              </w:tc>
              <w:tc>
                <w:tcPr>
                  <w:tcW w:w="497" w:type="pct"/>
                  <w:vAlign w:val="center"/>
                </w:tcPr>
                <w:p w14:paraId="4B682D8E">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2E450D06">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1F6A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0BB2DD2E">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阴离子表面活性剂（</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485DAFE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2B7E5EB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0AB4A279">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6065F44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7453100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5444A7F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497" w:type="pct"/>
                  <w:vAlign w:val="center"/>
                </w:tcPr>
                <w:p w14:paraId="4326546A">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0.3</w:t>
                  </w:r>
                </w:p>
              </w:tc>
              <w:tc>
                <w:tcPr>
                  <w:tcW w:w="376" w:type="pct"/>
                  <w:vAlign w:val="center"/>
                </w:tcPr>
                <w:p w14:paraId="418FB58F">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bl>
          <w:p w14:paraId="05EC268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根据地下水现状监测结果显示，</w:t>
            </w:r>
            <w:r>
              <w:rPr>
                <w:rFonts w:hint="eastAsia" w:ascii="Times New Roman" w:hAnsi="Times New Roman" w:cs="Times New Roman"/>
                <w:color w:val="000000" w:themeColor="text1"/>
                <w:sz w:val="24"/>
                <w:lang w:val="en-US" w:eastAsia="zh-CN"/>
                <w14:textFill>
                  <w14:solidFill>
                    <w14:schemeClr w14:val="tx1"/>
                  </w14:solidFill>
                </w14:textFill>
              </w:rPr>
              <w:t>项目所在区域</w:t>
            </w:r>
            <w:r>
              <w:rPr>
                <w:rFonts w:hint="default" w:ascii="Times New Roman" w:hAnsi="Times New Roman" w:cs="Times New Roman"/>
                <w:color w:val="000000" w:themeColor="text1"/>
                <w:sz w:val="24"/>
                <w14:textFill>
                  <w14:solidFill>
                    <w14:schemeClr w14:val="tx1"/>
                  </w14:solidFill>
                </w14:textFill>
              </w:rPr>
              <w:t>地下水各监测点满足《地下水质量标准》（GB/T14848-2017）中的</w:t>
            </w:r>
            <w:r>
              <w:rPr>
                <w:rFonts w:hint="eastAsia" w:ascii="宋体" w:hAnsi="宋体" w:eastAsia="宋体" w:cs="宋体"/>
                <w:color w:val="000000" w:themeColor="text1"/>
                <w:sz w:val="24"/>
                <w14:textFill>
                  <w14:solidFill>
                    <w14:schemeClr w14:val="tx1"/>
                  </w14:solidFill>
                </w14:textFill>
              </w:rPr>
              <w:t>Ⅲ</w:t>
            </w:r>
            <w:r>
              <w:rPr>
                <w:rFonts w:hint="default" w:ascii="Times New Roman" w:hAnsi="Times New Roman" w:cs="Times New Roman"/>
                <w:color w:val="000000" w:themeColor="text1"/>
                <w:sz w:val="24"/>
                <w14:textFill>
                  <w14:solidFill>
                    <w14:schemeClr w14:val="tx1"/>
                  </w14:solidFill>
                </w14:textFill>
              </w:rPr>
              <w:t>类标准值。</w:t>
            </w:r>
          </w:p>
          <w:p w14:paraId="38C86F7D">
            <w:pPr>
              <w:keepNext w:val="0"/>
              <w:keepLines w:val="0"/>
              <w:suppressLineNumbers w:val="0"/>
              <w:spacing w:before="0" w:beforeAutospacing="0" w:after="0" w:afterAutospacing="0" w:line="360" w:lineRule="auto"/>
              <w:ind w:left="0" w:right="0" w:firstLine="482" w:firstLineChars="200"/>
              <w:jc w:val="both"/>
              <w:rPr>
                <w:rFonts w:hint="default" w:cs="Times New Roman"/>
                <w:b/>
                <w:bCs/>
                <w:color w:val="auto"/>
                <w:kern w:val="0"/>
                <w:sz w:val="24"/>
                <w:szCs w:val="24"/>
                <w:lang w:val="en-US" w:eastAsia="zh-CN"/>
              </w:rPr>
            </w:pPr>
            <w:r>
              <w:rPr>
                <w:rFonts w:hint="eastAsia" w:cs="Times New Roman"/>
                <w:b/>
                <w:bCs/>
                <w:color w:val="auto"/>
                <w:kern w:val="0"/>
                <w:sz w:val="24"/>
                <w:szCs w:val="24"/>
                <w:lang w:val="en-US" w:eastAsia="zh-CN"/>
              </w:rPr>
              <w:t>5、土壤环境质量现状</w:t>
            </w:r>
          </w:p>
          <w:p w14:paraId="5B7A9203">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auto"/>
                <w:sz w:val="24"/>
                <w:szCs w:val="24"/>
                <w:highlight w:val="none"/>
                <w:lang w:val="en-US" w:eastAsia="zh-CN"/>
              </w:rPr>
              <w:t>本项目厂区内场地均进行了硬化处理，不具备检测条件，因此土壤环境质量现状，引用《云南富民产业园区总体规划修编（2022-2035年）环境影响报告书》</w:t>
            </w:r>
            <w:r>
              <w:rPr>
                <w:rFonts w:hint="default" w:ascii="Times New Roman" w:hAnsi="Times New Roman" w:cs="Times New Roman"/>
                <w:color w:val="000000" w:themeColor="text1"/>
                <w:sz w:val="24"/>
                <w14:textFill>
                  <w14:solidFill>
                    <w14:schemeClr w14:val="tx1"/>
                  </w14:solidFill>
                </w14:textFill>
              </w:rPr>
              <w:t>云南泰义检测技术有限公司2022年11月</w:t>
            </w:r>
            <w:r>
              <w:rPr>
                <w:rFonts w:hint="eastAsia" w:ascii="Times New Roman" w:hAnsi="Times New Roman" w:cs="Times New Roman"/>
                <w:color w:val="000000" w:themeColor="text1"/>
                <w:sz w:val="24"/>
                <w:lang w:val="en-US" w:eastAsia="zh-CN"/>
                <w14:textFill>
                  <w14:solidFill>
                    <w14:schemeClr w14:val="tx1"/>
                  </w14:solidFill>
                </w14:textFill>
              </w:rPr>
              <w:t>23</w:t>
            </w:r>
            <w:r>
              <w:rPr>
                <w:rFonts w:hint="default" w:ascii="Times New Roman" w:hAnsi="Times New Roman" w:cs="Times New Roman"/>
                <w:color w:val="000000" w:themeColor="text1"/>
                <w:sz w:val="24"/>
                <w14:textFill>
                  <w14:solidFill>
                    <w14:schemeClr w14:val="tx1"/>
                  </w14:solidFill>
                </w14:textFill>
              </w:rPr>
              <w:t>日</w:t>
            </w:r>
            <w:r>
              <w:rPr>
                <w:rFonts w:hint="eastAsia" w:ascii="Times New Roman" w:hAnsi="Times New Roman" w:cs="Times New Roman"/>
                <w:color w:val="000000" w:themeColor="text1"/>
                <w:sz w:val="24"/>
                <w:lang w:val="en-US" w:eastAsia="zh-CN"/>
                <w14:textFill>
                  <w14:solidFill>
                    <w14:schemeClr w14:val="tx1"/>
                  </w14:solidFill>
                </w14:textFill>
              </w:rPr>
              <w:t>对项目所在区域的现状检测数据。检测点T1位于哨箐组团内（E102.4607001°，N25.2685419°），距离本项目180m。检测结果见下表。</w:t>
            </w:r>
          </w:p>
          <w:p w14:paraId="1A32F7E6">
            <w:pPr>
              <w:pStyle w:val="2"/>
              <w:keepNext w:val="0"/>
              <w:keepLines w:val="0"/>
              <w:suppressLineNumbers w:val="0"/>
              <w:spacing w:before="0" w:beforeAutospacing="0" w:after="0" w:afterAutospacing="0"/>
              <w:ind w:left="0" w:right="0"/>
              <w:jc w:val="center"/>
              <w:rPr>
                <w:rFonts w:hint="default"/>
                <w:b/>
                <w:bCs/>
                <w:sz w:val="21"/>
                <w:szCs w:val="21"/>
                <w:lang w:val="en-US" w:eastAsia="zh-CN"/>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表3-4   项目区土壤检测结果一览表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1021"/>
              <w:gridCol w:w="1021"/>
              <w:gridCol w:w="1444"/>
              <w:gridCol w:w="1444"/>
              <w:gridCol w:w="1226"/>
              <w:gridCol w:w="809"/>
            </w:tblGrid>
            <w:tr w14:paraId="3D9F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restart"/>
                  <w:vAlign w:val="center"/>
                </w:tcPr>
                <w:p w14:paraId="1C0CBE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监测因子</w:t>
                  </w:r>
                </w:p>
              </w:tc>
              <w:tc>
                <w:tcPr>
                  <w:tcW w:w="607" w:type="pct"/>
                  <w:vMerge w:val="restart"/>
                  <w:vAlign w:val="center"/>
                </w:tcPr>
                <w:p w14:paraId="59266D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二类筛选值</w:t>
                  </w:r>
                </w:p>
              </w:tc>
              <w:tc>
                <w:tcPr>
                  <w:tcW w:w="607" w:type="pct"/>
                  <w:vMerge w:val="restart"/>
                  <w:vAlign w:val="center"/>
                </w:tcPr>
                <w:p w14:paraId="401D73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二类管控值</w:t>
                  </w:r>
                </w:p>
              </w:tc>
              <w:tc>
                <w:tcPr>
                  <w:tcW w:w="2447" w:type="pct"/>
                  <w:gridSpan w:val="3"/>
                  <w:vAlign w:val="center"/>
                </w:tcPr>
                <w:p w14:paraId="71C924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T1（</w:t>
                  </w:r>
                  <w:r>
                    <w:rPr>
                      <w:rFonts w:hint="default" w:ascii="Times New Roman" w:hAnsi="Times New Roman" w:cs="Times New Roman"/>
                      <w:b/>
                      <w:bCs/>
                      <w:color w:val="000000" w:themeColor="text1"/>
                      <w:szCs w:val="21"/>
                      <w14:textFill>
                        <w14:solidFill>
                          <w14:schemeClr w14:val="tx1"/>
                        </w14:solidFill>
                      </w14:textFill>
                    </w:rPr>
                    <w:t>哨箐组团规划区内</w:t>
                  </w:r>
                  <w:r>
                    <w:rPr>
                      <w:rFonts w:hint="eastAsia" w:ascii="Times New Roman" w:hAnsi="Times New Roman" w:cs="Times New Roman"/>
                      <w:b/>
                      <w:bCs/>
                      <w:color w:val="000000" w:themeColor="text1"/>
                      <w:szCs w:val="21"/>
                      <w:lang w:val="en-US" w:eastAsia="zh-CN"/>
                      <w14:textFill>
                        <w14:solidFill>
                          <w14:schemeClr w14:val="tx1"/>
                        </w14:solidFill>
                      </w14:textFill>
                    </w:rPr>
                    <w:t>）</w:t>
                  </w:r>
                </w:p>
              </w:tc>
              <w:tc>
                <w:tcPr>
                  <w:tcW w:w="481" w:type="pct"/>
                  <w:vMerge w:val="restart"/>
                  <w:vAlign w:val="center"/>
                </w:tcPr>
                <w:p w14:paraId="3B5E45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达标分析</w:t>
                  </w:r>
                </w:p>
              </w:tc>
            </w:tr>
            <w:tr w14:paraId="65CB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5AA081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p>
              </w:tc>
              <w:tc>
                <w:tcPr>
                  <w:tcW w:w="607" w:type="pct"/>
                  <w:vMerge w:val="continue"/>
                  <w:vAlign w:val="center"/>
                </w:tcPr>
                <w:p w14:paraId="07EDC5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p>
              </w:tc>
              <w:tc>
                <w:tcPr>
                  <w:tcW w:w="607" w:type="pct"/>
                  <w:vMerge w:val="continue"/>
                  <w:vAlign w:val="center"/>
                </w:tcPr>
                <w:p w14:paraId="373D8F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p>
              </w:tc>
              <w:tc>
                <w:tcPr>
                  <w:tcW w:w="2447" w:type="pct"/>
                  <w:gridSpan w:val="3"/>
                  <w:vAlign w:val="center"/>
                </w:tcPr>
                <w:p w14:paraId="1272B7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E102.4607001，N25.2685419</w:t>
                  </w:r>
                </w:p>
              </w:tc>
              <w:tc>
                <w:tcPr>
                  <w:tcW w:w="481" w:type="pct"/>
                  <w:vMerge w:val="continue"/>
                  <w:vAlign w:val="center"/>
                </w:tcPr>
                <w:p w14:paraId="04AD1B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p>
              </w:tc>
            </w:tr>
            <w:tr w14:paraId="2DDF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72F89D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cs="Times New Roman"/>
                      <w:b/>
                      <w:bCs/>
                      <w:color w:val="000000" w:themeColor="text1"/>
                      <w:szCs w:val="21"/>
                      <w14:textFill>
                        <w14:solidFill>
                          <w14:schemeClr w14:val="tx1"/>
                        </w14:solidFill>
                      </w14:textFill>
                    </w:rPr>
                  </w:pPr>
                </w:p>
              </w:tc>
              <w:tc>
                <w:tcPr>
                  <w:tcW w:w="607" w:type="pct"/>
                  <w:vMerge w:val="continue"/>
                  <w:vAlign w:val="center"/>
                </w:tcPr>
                <w:p w14:paraId="2964E7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cs="Times New Roman"/>
                      <w:b/>
                      <w:bCs/>
                      <w:color w:val="000000" w:themeColor="text1"/>
                      <w:szCs w:val="21"/>
                      <w14:textFill>
                        <w14:solidFill>
                          <w14:schemeClr w14:val="tx1"/>
                        </w14:solidFill>
                      </w14:textFill>
                    </w:rPr>
                  </w:pPr>
                </w:p>
              </w:tc>
              <w:tc>
                <w:tcPr>
                  <w:tcW w:w="607" w:type="pct"/>
                  <w:vMerge w:val="continue"/>
                  <w:vAlign w:val="center"/>
                </w:tcPr>
                <w:p w14:paraId="0FA79C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cs="Times New Roman"/>
                      <w:b/>
                      <w:bCs/>
                      <w:color w:val="000000" w:themeColor="text1"/>
                      <w:szCs w:val="21"/>
                      <w14:textFill>
                        <w14:solidFill>
                          <w14:schemeClr w14:val="tx1"/>
                        </w14:solidFill>
                      </w14:textFill>
                    </w:rPr>
                  </w:pPr>
                </w:p>
              </w:tc>
              <w:tc>
                <w:tcPr>
                  <w:tcW w:w="859" w:type="pct"/>
                  <w:vAlign w:val="center"/>
                </w:tcPr>
                <w:p w14:paraId="40A401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50cm</w:t>
                  </w:r>
                </w:p>
              </w:tc>
              <w:tc>
                <w:tcPr>
                  <w:tcW w:w="859" w:type="pct"/>
                  <w:vAlign w:val="center"/>
                </w:tcPr>
                <w:p w14:paraId="474DB2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150cm</w:t>
                  </w:r>
                </w:p>
              </w:tc>
              <w:tc>
                <w:tcPr>
                  <w:tcW w:w="729" w:type="pct"/>
                  <w:vAlign w:val="center"/>
                </w:tcPr>
                <w:p w14:paraId="350B87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300cm</w:t>
                  </w:r>
                </w:p>
              </w:tc>
              <w:tc>
                <w:tcPr>
                  <w:tcW w:w="481" w:type="pct"/>
                  <w:vMerge w:val="continue"/>
                  <w:vAlign w:val="center"/>
                </w:tcPr>
                <w:p w14:paraId="0CC85B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720F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F3DE6A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pH（无量纲）</w:t>
                  </w:r>
                </w:p>
              </w:tc>
              <w:tc>
                <w:tcPr>
                  <w:tcW w:w="607" w:type="pct"/>
                  <w:vAlign w:val="center"/>
                </w:tcPr>
                <w:p w14:paraId="13728F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07" w:type="pct"/>
                  <w:vAlign w:val="center"/>
                </w:tcPr>
                <w:p w14:paraId="39B5A8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859" w:type="pct"/>
                  <w:vAlign w:val="center"/>
                </w:tcPr>
                <w:p w14:paraId="2999859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5.96</w:t>
                  </w:r>
                </w:p>
              </w:tc>
              <w:tc>
                <w:tcPr>
                  <w:tcW w:w="859" w:type="pct"/>
                  <w:vAlign w:val="center"/>
                </w:tcPr>
                <w:p w14:paraId="6BF043B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6.76</w:t>
                  </w:r>
                </w:p>
              </w:tc>
              <w:tc>
                <w:tcPr>
                  <w:tcW w:w="729" w:type="pct"/>
                  <w:vAlign w:val="center"/>
                </w:tcPr>
                <w:p w14:paraId="2C4DA844">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5.73</w:t>
                  </w:r>
                </w:p>
              </w:tc>
              <w:tc>
                <w:tcPr>
                  <w:tcW w:w="481" w:type="pct"/>
                  <w:vAlign w:val="center"/>
                </w:tcPr>
                <w:p w14:paraId="19CC53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5234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A26C27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六价铬</w:t>
                  </w:r>
                </w:p>
              </w:tc>
              <w:tc>
                <w:tcPr>
                  <w:tcW w:w="607" w:type="pct"/>
                  <w:vAlign w:val="center"/>
                </w:tcPr>
                <w:p w14:paraId="44CDD2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5.7</w:t>
                  </w:r>
                </w:p>
              </w:tc>
              <w:tc>
                <w:tcPr>
                  <w:tcW w:w="607" w:type="pct"/>
                  <w:vAlign w:val="center"/>
                </w:tcPr>
                <w:p w14:paraId="4F8D44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78</w:t>
                  </w:r>
                </w:p>
              </w:tc>
              <w:tc>
                <w:tcPr>
                  <w:tcW w:w="859" w:type="pct"/>
                  <w:vAlign w:val="center"/>
                </w:tcPr>
                <w:p w14:paraId="3775831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0.5L</w:t>
                  </w:r>
                </w:p>
              </w:tc>
              <w:tc>
                <w:tcPr>
                  <w:tcW w:w="859" w:type="pct"/>
                  <w:vAlign w:val="center"/>
                </w:tcPr>
                <w:p w14:paraId="58DED61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0.5L</w:t>
                  </w:r>
                </w:p>
              </w:tc>
              <w:tc>
                <w:tcPr>
                  <w:tcW w:w="729" w:type="pct"/>
                  <w:vAlign w:val="center"/>
                </w:tcPr>
                <w:p w14:paraId="03C3B8B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0.5L</w:t>
                  </w:r>
                </w:p>
              </w:tc>
              <w:tc>
                <w:tcPr>
                  <w:tcW w:w="481" w:type="pct"/>
                  <w:vAlign w:val="center"/>
                </w:tcPr>
                <w:p w14:paraId="4EEBA3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A71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BF4BC8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镉</w:t>
                  </w:r>
                </w:p>
              </w:tc>
              <w:tc>
                <w:tcPr>
                  <w:tcW w:w="607" w:type="pct"/>
                  <w:vAlign w:val="center"/>
                </w:tcPr>
                <w:p w14:paraId="1187F4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65</w:t>
                  </w:r>
                </w:p>
              </w:tc>
              <w:tc>
                <w:tcPr>
                  <w:tcW w:w="607" w:type="pct"/>
                  <w:vAlign w:val="center"/>
                </w:tcPr>
                <w:p w14:paraId="563C97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172</w:t>
                  </w:r>
                </w:p>
              </w:tc>
              <w:tc>
                <w:tcPr>
                  <w:tcW w:w="859" w:type="pct"/>
                  <w:vAlign w:val="center"/>
                </w:tcPr>
                <w:p w14:paraId="777599D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0.142</w:t>
                  </w:r>
                </w:p>
              </w:tc>
              <w:tc>
                <w:tcPr>
                  <w:tcW w:w="859" w:type="pct"/>
                  <w:vAlign w:val="center"/>
                </w:tcPr>
                <w:p w14:paraId="39BEBF4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0.122</w:t>
                  </w:r>
                </w:p>
              </w:tc>
              <w:tc>
                <w:tcPr>
                  <w:tcW w:w="729" w:type="pct"/>
                  <w:vAlign w:val="center"/>
                </w:tcPr>
                <w:p w14:paraId="47599D5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2.03</w:t>
                  </w:r>
                </w:p>
              </w:tc>
              <w:tc>
                <w:tcPr>
                  <w:tcW w:w="481" w:type="pct"/>
                  <w:vAlign w:val="center"/>
                </w:tcPr>
                <w:p w14:paraId="23A204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402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87EDF03">
                  <w:pPr>
                    <w:pStyle w:val="4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eastAsiaTheme="minorEastAsia"/>
                      <w:color w:val="000000" w:themeColor="text1"/>
                      <w:szCs w:val="21"/>
                      <w:lang w:eastAsia="zh-CN"/>
                      <w14:textFill>
                        <w14:solidFill>
                          <w14:schemeClr w14:val="tx1"/>
                        </w14:solidFill>
                      </w14:textFill>
                    </w:rPr>
                  </w:pPr>
                  <w:r>
                    <w:rPr>
                      <w:rFonts w:hint="default" w:eastAsiaTheme="minorEastAsia"/>
                      <w:color w:val="000000" w:themeColor="text1"/>
                      <w:szCs w:val="21"/>
                      <w14:textFill>
                        <w14:solidFill>
                          <w14:schemeClr w14:val="tx1"/>
                        </w14:solidFill>
                      </w14:textFill>
                    </w:rPr>
                    <w:t>铅</w:t>
                  </w:r>
                </w:p>
              </w:tc>
              <w:tc>
                <w:tcPr>
                  <w:tcW w:w="607" w:type="pct"/>
                  <w:vAlign w:val="center"/>
                </w:tcPr>
                <w:p w14:paraId="234219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800</w:t>
                  </w:r>
                </w:p>
              </w:tc>
              <w:tc>
                <w:tcPr>
                  <w:tcW w:w="607" w:type="pct"/>
                  <w:vAlign w:val="center"/>
                </w:tcPr>
                <w:p w14:paraId="108AF8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2500</w:t>
                  </w:r>
                </w:p>
              </w:tc>
              <w:tc>
                <w:tcPr>
                  <w:tcW w:w="859" w:type="pct"/>
                  <w:vAlign w:val="center"/>
                </w:tcPr>
                <w:p w14:paraId="146E2029">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32.1</w:t>
                  </w:r>
                </w:p>
              </w:tc>
              <w:tc>
                <w:tcPr>
                  <w:tcW w:w="859" w:type="pct"/>
                  <w:vAlign w:val="center"/>
                </w:tcPr>
                <w:p w14:paraId="45FCAF7E">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45.1</w:t>
                  </w:r>
                </w:p>
              </w:tc>
              <w:tc>
                <w:tcPr>
                  <w:tcW w:w="729" w:type="pct"/>
                  <w:vAlign w:val="center"/>
                </w:tcPr>
                <w:p w14:paraId="7997C86D">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53.0</w:t>
                  </w:r>
                </w:p>
              </w:tc>
              <w:tc>
                <w:tcPr>
                  <w:tcW w:w="481" w:type="pct"/>
                  <w:vAlign w:val="center"/>
                </w:tcPr>
                <w:p w14:paraId="0EBA91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D92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288A7C04">
                  <w:pPr>
                    <w:pStyle w:val="4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eastAsiaTheme="minorEastAsia"/>
                      <w:color w:val="000000" w:themeColor="text1"/>
                      <w:szCs w:val="21"/>
                      <w:lang w:eastAsia="zh-CN"/>
                      <w14:textFill>
                        <w14:solidFill>
                          <w14:schemeClr w14:val="tx1"/>
                        </w14:solidFill>
                      </w14:textFill>
                    </w:rPr>
                  </w:pPr>
                  <w:r>
                    <w:rPr>
                      <w:rFonts w:hint="default" w:eastAsiaTheme="minorEastAsia"/>
                      <w:color w:val="000000" w:themeColor="text1"/>
                      <w:szCs w:val="21"/>
                      <w14:textFill>
                        <w14:solidFill>
                          <w14:schemeClr w14:val="tx1"/>
                        </w14:solidFill>
                      </w14:textFill>
                    </w:rPr>
                    <w:t>铜</w:t>
                  </w:r>
                </w:p>
              </w:tc>
              <w:tc>
                <w:tcPr>
                  <w:tcW w:w="607" w:type="pct"/>
                  <w:vAlign w:val="center"/>
                </w:tcPr>
                <w:p w14:paraId="7979BF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18000</w:t>
                  </w:r>
                </w:p>
              </w:tc>
              <w:tc>
                <w:tcPr>
                  <w:tcW w:w="607" w:type="pct"/>
                  <w:vAlign w:val="center"/>
                </w:tcPr>
                <w:p w14:paraId="31AEFF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36000</w:t>
                  </w:r>
                </w:p>
              </w:tc>
              <w:tc>
                <w:tcPr>
                  <w:tcW w:w="859" w:type="pct"/>
                  <w:vAlign w:val="center"/>
                </w:tcPr>
                <w:p w14:paraId="28B04174">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33.9</w:t>
                  </w:r>
                </w:p>
              </w:tc>
              <w:tc>
                <w:tcPr>
                  <w:tcW w:w="859" w:type="pct"/>
                  <w:vAlign w:val="center"/>
                </w:tcPr>
                <w:p w14:paraId="01967E9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64.0</w:t>
                  </w:r>
                </w:p>
              </w:tc>
              <w:tc>
                <w:tcPr>
                  <w:tcW w:w="729" w:type="pct"/>
                  <w:vAlign w:val="center"/>
                </w:tcPr>
                <w:p w14:paraId="336F4A5B">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172</w:t>
                  </w:r>
                </w:p>
              </w:tc>
              <w:tc>
                <w:tcPr>
                  <w:tcW w:w="481" w:type="pct"/>
                  <w:vAlign w:val="center"/>
                </w:tcPr>
                <w:p w14:paraId="4CFCC0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F93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2AC41FED">
                  <w:pPr>
                    <w:pStyle w:val="4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eastAsiaTheme="minorEastAsia"/>
                      <w:color w:val="000000" w:themeColor="text1"/>
                      <w:szCs w:val="21"/>
                      <w:lang w:eastAsia="zh-CN"/>
                      <w14:textFill>
                        <w14:solidFill>
                          <w14:schemeClr w14:val="tx1"/>
                        </w14:solidFill>
                      </w14:textFill>
                    </w:rPr>
                  </w:pPr>
                  <w:r>
                    <w:rPr>
                      <w:rFonts w:hint="default" w:eastAsiaTheme="minorEastAsia"/>
                      <w:color w:val="000000" w:themeColor="text1"/>
                      <w:szCs w:val="21"/>
                      <w14:textFill>
                        <w14:solidFill>
                          <w14:schemeClr w14:val="tx1"/>
                        </w14:solidFill>
                      </w14:textFill>
                    </w:rPr>
                    <w:t>镍</w:t>
                  </w:r>
                </w:p>
              </w:tc>
              <w:tc>
                <w:tcPr>
                  <w:tcW w:w="607" w:type="pct"/>
                  <w:vAlign w:val="center"/>
                </w:tcPr>
                <w:p w14:paraId="36FD96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900</w:t>
                  </w:r>
                </w:p>
              </w:tc>
              <w:tc>
                <w:tcPr>
                  <w:tcW w:w="607" w:type="pct"/>
                  <w:vAlign w:val="center"/>
                </w:tcPr>
                <w:p w14:paraId="273F42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2000</w:t>
                  </w:r>
                </w:p>
              </w:tc>
              <w:tc>
                <w:tcPr>
                  <w:tcW w:w="859" w:type="pct"/>
                  <w:vAlign w:val="center"/>
                </w:tcPr>
                <w:p w14:paraId="13A268E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38.0</w:t>
                  </w:r>
                </w:p>
              </w:tc>
              <w:tc>
                <w:tcPr>
                  <w:tcW w:w="859" w:type="pct"/>
                  <w:vAlign w:val="center"/>
                </w:tcPr>
                <w:p w14:paraId="5473257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88.1</w:t>
                  </w:r>
                </w:p>
              </w:tc>
              <w:tc>
                <w:tcPr>
                  <w:tcW w:w="729" w:type="pct"/>
                  <w:vAlign w:val="center"/>
                </w:tcPr>
                <w:p w14:paraId="6DA6223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124</w:t>
                  </w:r>
                </w:p>
              </w:tc>
              <w:tc>
                <w:tcPr>
                  <w:tcW w:w="481" w:type="pct"/>
                  <w:vAlign w:val="center"/>
                </w:tcPr>
                <w:p w14:paraId="3BA458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2C65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695C9784">
                  <w:pPr>
                    <w:pStyle w:val="4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eastAsiaTheme="minorEastAsia"/>
                      <w:color w:val="000000" w:themeColor="text1"/>
                      <w:szCs w:val="21"/>
                      <w:lang w:eastAsia="zh-CN"/>
                      <w14:textFill>
                        <w14:solidFill>
                          <w14:schemeClr w14:val="tx1"/>
                        </w14:solidFill>
                      </w14:textFill>
                    </w:rPr>
                  </w:pPr>
                  <w:r>
                    <w:rPr>
                      <w:rFonts w:hint="default" w:eastAsiaTheme="minorEastAsia"/>
                      <w:color w:val="000000" w:themeColor="text1"/>
                      <w:szCs w:val="21"/>
                      <w14:textFill>
                        <w14:solidFill>
                          <w14:schemeClr w14:val="tx1"/>
                        </w14:solidFill>
                      </w14:textFill>
                    </w:rPr>
                    <w:t>汞</w:t>
                  </w:r>
                </w:p>
              </w:tc>
              <w:tc>
                <w:tcPr>
                  <w:tcW w:w="607" w:type="pct"/>
                  <w:vAlign w:val="center"/>
                </w:tcPr>
                <w:p w14:paraId="394ED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38</w:t>
                  </w:r>
                </w:p>
              </w:tc>
              <w:tc>
                <w:tcPr>
                  <w:tcW w:w="607" w:type="pct"/>
                  <w:vAlign w:val="center"/>
                </w:tcPr>
                <w:p w14:paraId="7AEBB6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82</w:t>
                  </w:r>
                </w:p>
              </w:tc>
              <w:tc>
                <w:tcPr>
                  <w:tcW w:w="859" w:type="pct"/>
                  <w:vAlign w:val="center"/>
                </w:tcPr>
                <w:p w14:paraId="56F7A7E1">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0.0296</w:t>
                  </w:r>
                </w:p>
              </w:tc>
              <w:tc>
                <w:tcPr>
                  <w:tcW w:w="859" w:type="pct"/>
                  <w:vAlign w:val="center"/>
                </w:tcPr>
                <w:p w14:paraId="333E0B8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0.0235</w:t>
                  </w:r>
                </w:p>
              </w:tc>
              <w:tc>
                <w:tcPr>
                  <w:tcW w:w="729" w:type="pct"/>
                  <w:vAlign w:val="center"/>
                </w:tcPr>
                <w:p w14:paraId="3B0A58E3">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0.0428</w:t>
                  </w:r>
                </w:p>
              </w:tc>
              <w:tc>
                <w:tcPr>
                  <w:tcW w:w="481" w:type="pct"/>
                  <w:vAlign w:val="center"/>
                </w:tcPr>
                <w:p w14:paraId="622E69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786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C844F3B">
                  <w:pPr>
                    <w:pStyle w:val="4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eastAsiaTheme="minorEastAsia"/>
                      <w:color w:val="000000" w:themeColor="text1"/>
                      <w:szCs w:val="21"/>
                      <w:lang w:eastAsia="zh-CN"/>
                      <w14:textFill>
                        <w14:solidFill>
                          <w14:schemeClr w14:val="tx1"/>
                        </w14:solidFill>
                      </w14:textFill>
                    </w:rPr>
                  </w:pPr>
                  <w:r>
                    <w:rPr>
                      <w:rFonts w:hint="default" w:eastAsiaTheme="minorEastAsia"/>
                      <w:color w:val="000000" w:themeColor="text1"/>
                      <w:szCs w:val="21"/>
                      <w14:textFill>
                        <w14:solidFill>
                          <w14:schemeClr w14:val="tx1"/>
                        </w14:solidFill>
                      </w14:textFill>
                    </w:rPr>
                    <w:t>砷</w:t>
                  </w:r>
                </w:p>
              </w:tc>
              <w:tc>
                <w:tcPr>
                  <w:tcW w:w="607" w:type="pct"/>
                  <w:vAlign w:val="center"/>
                </w:tcPr>
                <w:p w14:paraId="15F5FC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w:t>
                  </w:r>
                </w:p>
              </w:tc>
              <w:tc>
                <w:tcPr>
                  <w:tcW w:w="607" w:type="pct"/>
                  <w:vAlign w:val="center"/>
                </w:tcPr>
                <w:p w14:paraId="74F409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140</w:t>
                  </w:r>
                </w:p>
              </w:tc>
              <w:tc>
                <w:tcPr>
                  <w:tcW w:w="859" w:type="pct"/>
                  <w:vAlign w:val="center"/>
                </w:tcPr>
                <w:p w14:paraId="2CD9F7D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12.2</w:t>
                  </w:r>
                </w:p>
              </w:tc>
              <w:tc>
                <w:tcPr>
                  <w:tcW w:w="859" w:type="pct"/>
                  <w:vAlign w:val="center"/>
                </w:tcPr>
                <w:p w14:paraId="72397A2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11.5</w:t>
                  </w:r>
                </w:p>
              </w:tc>
              <w:tc>
                <w:tcPr>
                  <w:tcW w:w="729" w:type="pct"/>
                  <w:vAlign w:val="center"/>
                </w:tcPr>
                <w:p w14:paraId="3ED1F509">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11.7</w:t>
                  </w:r>
                </w:p>
              </w:tc>
              <w:tc>
                <w:tcPr>
                  <w:tcW w:w="481" w:type="pct"/>
                  <w:vAlign w:val="center"/>
                </w:tcPr>
                <w:p w14:paraId="023E70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356D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2F347A1D">
                  <w:pPr>
                    <w:pStyle w:val="4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rPr>
                      <w:rFonts w:hint="default" w:eastAsiaTheme="minorEastAsia"/>
                      <w:color w:val="000000" w:themeColor="text1"/>
                      <w:szCs w:val="21"/>
                      <w:lang w:eastAsia="zh-CN"/>
                      <w14:textFill>
                        <w14:solidFill>
                          <w14:schemeClr w14:val="tx1"/>
                        </w14:solidFill>
                      </w14:textFill>
                    </w:rPr>
                  </w:pPr>
                  <w:r>
                    <w:rPr>
                      <w:rFonts w:hint="default" w:eastAsiaTheme="minorEastAsia"/>
                      <w:bCs/>
                      <w:color w:val="000000" w:themeColor="text1"/>
                      <w:szCs w:val="21"/>
                      <w14:textFill>
                        <w14:solidFill>
                          <w14:schemeClr w14:val="tx1"/>
                        </w14:solidFill>
                      </w14:textFill>
                    </w:rPr>
                    <w:t>氟化物</w:t>
                  </w:r>
                </w:p>
              </w:tc>
              <w:tc>
                <w:tcPr>
                  <w:tcW w:w="607" w:type="pct"/>
                  <w:vAlign w:val="center"/>
                </w:tcPr>
                <w:p w14:paraId="0E908B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07" w:type="pct"/>
                  <w:vAlign w:val="center"/>
                </w:tcPr>
                <w:p w14:paraId="5BEEFF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859" w:type="pct"/>
                  <w:vAlign w:val="center"/>
                </w:tcPr>
                <w:p w14:paraId="3D76F42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224</w:t>
                  </w:r>
                </w:p>
              </w:tc>
              <w:tc>
                <w:tcPr>
                  <w:tcW w:w="859" w:type="pct"/>
                  <w:vAlign w:val="center"/>
                </w:tcPr>
                <w:p w14:paraId="517D11A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221</w:t>
                  </w:r>
                </w:p>
              </w:tc>
              <w:tc>
                <w:tcPr>
                  <w:tcW w:w="729" w:type="pct"/>
                  <w:vAlign w:val="center"/>
                </w:tcPr>
                <w:p w14:paraId="6FF3F2D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288</w:t>
                  </w:r>
                </w:p>
              </w:tc>
              <w:tc>
                <w:tcPr>
                  <w:tcW w:w="481" w:type="pct"/>
                  <w:vAlign w:val="center"/>
                </w:tcPr>
                <w:p w14:paraId="5353D9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3721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B3FC15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四氯化碳</w:t>
                  </w:r>
                </w:p>
              </w:tc>
              <w:tc>
                <w:tcPr>
                  <w:tcW w:w="607" w:type="pct"/>
                  <w:vAlign w:val="center"/>
                </w:tcPr>
                <w:p w14:paraId="6A7978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w:t>
                  </w:r>
                </w:p>
              </w:tc>
              <w:tc>
                <w:tcPr>
                  <w:tcW w:w="607" w:type="pct"/>
                  <w:vAlign w:val="center"/>
                </w:tcPr>
                <w:p w14:paraId="27D1F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36</w:t>
                  </w:r>
                </w:p>
              </w:tc>
              <w:tc>
                <w:tcPr>
                  <w:tcW w:w="859" w:type="pct"/>
                  <w:vAlign w:val="center"/>
                </w:tcPr>
                <w:p w14:paraId="2E3058C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1DD8F74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367076B">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A5FFB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30C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043A6E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氯仿</w:t>
                  </w:r>
                </w:p>
              </w:tc>
              <w:tc>
                <w:tcPr>
                  <w:tcW w:w="607" w:type="pct"/>
                  <w:vAlign w:val="center"/>
                </w:tcPr>
                <w:p w14:paraId="49179A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0.9</w:t>
                  </w:r>
                </w:p>
              </w:tc>
              <w:tc>
                <w:tcPr>
                  <w:tcW w:w="607" w:type="pct"/>
                  <w:vAlign w:val="center"/>
                </w:tcPr>
                <w:p w14:paraId="50F51C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859" w:type="pct"/>
                  <w:vAlign w:val="center"/>
                </w:tcPr>
                <w:p w14:paraId="1625AA2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0C2DD19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65C7B77D">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510CB8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A84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6ABD1B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氯甲烷</w:t>
                  </w:r>
                </w:p>
              </w:tc>
              <w:tc>
                <w:tcPr>
                  <w:tcW w:w="607" w:type="pct"/>
                  <w:vAlign w:val="center"/>
                </w:tcPr>
                <w:p w14:paraId="2DBC18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37</w:t>
                  </w:r>
                </w:p>
              </w:tc>
              <w:tc>
                <w:tcPr>
                  <w:tcW w:w="607" w:type="pct"/>
                  <w:vAlign w:val="center"/>
                </w:tcPr>
                <w:p w14:paraId="64325B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120</w:t>
                  </w:r>
                </w:p>
              </w:tc>
              <w:tc>
                <w:tcPr>
                  <w:tcW w:w="859" w:type="pct"/>
                  <w:vAlign w:val="center"/>
                </w:tcPr>
                <w:p w14:paraId="32DE46B4">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67D3B55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75C957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3E95D8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43DA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854A32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1,1-二氯乙烷</w:t>
                  </w:r>
                </w:p>
              </w:tc>
              <w:tc>
                <w:tcPr>
                  <w:tcW w:w="607" w:type="pct"/>
                  <w:vAlign w:val="center"/>
                </w:tcPr>
                <w:p w14:paraId="0D5AE9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c>
                <w:tcPr>
                  <w:tcW w:w="607" w:type="pct"/>
                  <w:vAlign w:val="center"/>
                </w:tcPr>
                <w:p w14:paraId="56E724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859" w:type="pct"/>
                  <w:vAlign w:val="center"/>
                </w:tcPr>
                <w:p w14:paraId="2886BAF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6A0814B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63B13DBE">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501350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876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823937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1,2-二氯乙烷</w:t>
                  </w:r>
                </w:p>
              </w:tc>
              <w:tc>
                <w:tcPr>
                  <w:tcW w:w="607" w:type="pct"/>
                  <w:vAlign w:val="center"/>
                </w:tcPr>
                <w:p w14:paraId="40D551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607" w:type="pct"/>
                  <w:vAlign w:val="center"/>
                </w:tcPr>
                <w:p w14:paraId="50F835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w:t>
                  </w:r>
                </w:p>
              </w:tc>
              <w:tc>
                <w:tcPr>
                  <w:tcW w:w="859" w:type="pct"/>
                  <w:vAlign w:val="center"/>
                </w:tcPr>
                <w:p w14:paraId="5228B52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2F063B1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47F7F34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462CEF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DDE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B5DFC7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1,1-二氯乙烯</w:t>
                  </w:r>
                </w:p>
              </w:tc>
              <w:tc>
                <w:tcPr>
                  <w:tcW w:w="607" w:type="pct"/>
                  <w:vAlign w:val="center"/>
                </w:tcPr>
                <w:p w14:paraId="17BF59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66</w:t>
                  </w:r>
                </w:p>
              </w:tc>
              <w:tc>
                <w:tcPr>
                  <w:tcW w:w="607" w:type="pct"/>
                  <w:vAlign w:val="center"/>
                </w:tcPr>
                <w:p w14:paraId="7A42C6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w:t>
                  </w:r>
                </w:p>
              </w:tc>
              <w:tc>
                <w:tcPr>
                  <w:tcW w:w="859" w:type="pct"/>
                  <w:vAlign w:val="center"/>
                </w:tcPr>
                <w:p w14:paraId="37BF411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3EA37FC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443D6CB5">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782652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780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819276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顺-1,2-二氯乙烯</w:t>
                  </w:r>
                </w:p>
              </w:tc>
              <w:tc>
                <w:tcPr>
                  <w:tcW w:w="607" w:type="pct"/>
                  <w:vAlign w:val="center"/>
                </w:tcPr>
                <w:p w14:paraId="3BC0F9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596</w:t>
                  </w:r>
                </w:p>
              </w:tc>
              <w:tc>
                <w:tcPr>
                  <w:tcW w:w="607" w:type="pct"/>
                  <w:vAlign w:val="center"/>
                </w:tcPr>
                <w:p w14:paraId="5119E2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2000</w:t>
                  </w:r>
                </w:p>
              </w:tc>
              <w:tc>
                <w:tcPr>
                  <w:tcW w:w="859" w:type="pct"/>
                  <w:vAlign w:val="center"/>
                </w:tcPr>
                <w:p w14:paraId="65D101C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409B60C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9E103C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105D47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E76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49E59A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反-1,2-二氯乙烯</w:t>
                  </w:r>
                </w:p>
              </w:tc>
              <w:tc>
                <w:tcPr>
                  <w:tcW w:w="607" w:type="pct"/>
                  <w:vAlign w:val="center"/>
                </w:tcPr>
                <w:p w14:paraId="2F4370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54</w:t>
                  </w:r>
                </w:p>
              </w:tc>
              <w:tc>
                <w:tcPr>
                  <w:tcW w:w="607" w:type="pct"/>
                  <w:vAlign w:val="center"/>
                </w:tcPr>
                <w:p w14:paraId="5D828E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163</w:t>
                  </w:r>
                </w:p>
              </w:tc>
              <w:tc>
                <w:tcPr>
                  <w:tcW w:w="859" w:type="pct"/>
                  <w:vAlign w:val="center"/>
                </w:tcPr>
                <w:p w14:paraId="3E2F97CE">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3F9A16B9">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1AFEB78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66BCA3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6EA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2B1F118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二氯甲烷</w:t>
                  </w:r>
                </w:p>
              </w:tc>
              <w:tc>
                <w:tcPr>
                  <w:tcW w:w="607" w:type="pct"/>
                  <w:vAlign w:val="center"/>
                </w:tcPr>
                <w:p w14:paraId="0BB745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616</w:t>
                  </w:r>
                </w:p>
              </w:tc>
              <w:tc>
                <w:tcPr>
                  <w:tcW w:w="607" w:type="pct"/>
                  <w:vAlign w:val="center"/>
                </w:tcPr>
                <w:p w14:paraId="147396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2000</w:t>
                  </w:r>
                </w:p>
              </w:tc>
              <w:tc>
                <w:tcPr>
                  <w:tcW w:w="859" w:type="pct"/>
                  <w:vAlign w:val="center"/>
                </w:tcPr>
                <w:p w14:paraId="44B16F9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77E9BFB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9E2A50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E60AC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6BB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16EC021">
                  <w:pPr>
                    <w:pStyle w:val="108"/>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1,2-二氯丙烷</w:t>
                  </w:r>
                </w:p>
              </w:tc>
              <w:tc>
                <w:tcPr>
                  <w:tcW w:w="607" w:type="pct"/>
                  <w:vAlign w:val="center"/>
                </w:tcPr>
                <w:p w14:paraId="3BC113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607" w:type="pct"/>
                  <w:vAlign w:val="center"/>
                </w:tcPr>
                <w:p w14:paraId="109165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47</w:t>
                  </w:r>
                </w:p>
              </w:tc>
              <w:tc>
                <w:tcPr>
                  <w:tcW w:w="859" w:type="pct"/>
                  <w:vAlign w:val="center"/>
                </w:tcPr>
                <w:p w14:paraId="601124A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458CDF7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06831301">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611A8A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F75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22236A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1,1,1,2-四氯乙烯</w:t>
                  </w:r>
                </w:p>
              </w:tc>
              <w:tc>
                <w:tcPr>
                  <w:tcW w:w="607" w:type="pct"/>
                  <w:vAlign w:val="center"/>
                </w:tcPr>
                <w:p w14:paraId="2D92A7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607" w:type="pct"/>
                  <w:vAlign w:val="center"/>
                </w:tcPr>
                <w:p w14:paraId="760F2A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859" w:type="pct"/>
                  <w:vAlign w:val="center"/>
                </w:tcPr>
                <w:p w14:paraId="76B19623">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5043D18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225BA36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371EE8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063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BEBA31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1,1,2,2-四氯乙烷</w:t>
                  </w:r>
                </w:p>
              </w:tc>
              <w:tc>
                <w:tcPr>
                  <w:tcW w:w="607" w:type="pct"/>
                  <w:vAlign w:val="center"/>
                </w:tcPr>
                <w:p w14:paraId="472911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6.8</w:t>
                  </w:r>
                </w:p>
              </w:tc>
              <w:tc>
                <w:tcPr>
                  <w:tcW w:w="607" w:type="pct"/>
                  <w:vAlign w:val="center"/>
                </w:tcPr>
                <w:p w14:paraId="4C0787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859" w:type="pct"/>
                  <w:vAlign w:val="center"/>
                </w:tcPr>
                <w:p w14:paraId="30468E3E">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6349AEC9">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234786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6491E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C13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615FCB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四氯乙烯</w:t>
                  </w:r>
                </w:p>
              </w:tc>
              <w:tc>
                <w:tcPr>
                  <w:tcW w:w="607" w:type="pct"/>
                  <w:vAlign w:val="center"/>
                </w:tcPr>
                <w:p w14:paraId="177BC1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53</w:t>
                  </w:r>
                </w:p>
              </w:tc>
              <w:tc>
                <w:tcPr>
                  <w:tcW w:w="607" w:type="pct"/>
                  <w:vAlign w:val="center"/>
                </w:tcPr>
                <w:p w14:paraId="752CC7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183</w:t>
                  </w:r>
                </w:p>
              </w:tc>
              <w:tc>
                <w:tcPr>
                  <w:tcW w:w="859" w:type="pct"/>
                  <w:vAlign w:val="center"/>
                </w:tcPr>
                <w:p w14:paraId="6DA5C8B1">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5DA6451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68A5252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4CBE37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4C6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DCC4C2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1,1,1-三氯乙烷</w:t>
                  </w:r>
                </w:p>
              </w:tc>
              <w:tc>
                <w:tcPr>
                  <w:tcW w:w="607" w:type="pct"/>
                  <w:vAlign w:val="center"/>
                </w:tcPr>
                <w:p w14:paraId="5E65B55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840</w:t>
                  </w:r>
                </w:p>
              </w:tc>
              <w:tc>
                <w:tcPr>
                  <w:tcW w:w="607" w:type="pct"/>
                  <w:vAlign w:val="center"/>
                </w:tcPr>
                <w:p w14:paraId="36C63D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840</w:t>
                  </w:r>
                </w:p>
              </w:tc>
              <w:tc>
                <w:tcPr>
                  <w:tcW w:w="859" w:type="pct"/>
                  <w:vAlign w:val="center"/>
                </w:tcPr>
                <w:p w14:paraId="4D683B8D">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68CB807E">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325AE69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97F16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2D81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F82881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1,1,2-三氯乙烷</w:t>
                  </w:r>
                </w:p>
              </w:tc>
              <w:tc>
                <w:tcPr>
                  <w:tcW w:w="607" w:type="pct"/>
                  <w:vAlign w:val="center"/>
                </w:tcPr>
                <w:p w14:paraId="21539FB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w:t>
                  </w:r>
                </w:p>
              </w:tc>
              <w:tc>
                <w:tcPr>
                  <w:tcW w:w="607" w:type="pct"/>
                  <w:vAlign w:val="center"/>
                </w:tcPr>
                <w:p w14:paraId="3DE1719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859" w:type="pct"/>
                  <w:vAlign w:val="center"/>
                </w:tcPr>
                <w:p w14:paraId="040AF9E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10C65865">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0866015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39673C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B08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EF917D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三氯乙烯</w:t>
                  </w:r>
                </w:p>
              </w:tc>
              <w:tc>
                <w:tcPr>
                  <w:tcW w:w="607" w:type="pct"/>
                  <w:vAlign w:val="center"/>
                </w:tcPr>
                <w:p w14:paraId="2518ACF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w:t>
                  </w:r>
                </w:p>
              </w:tc>
              <w:tc>
                <w:tcPr>
                  <w:tcW w:w="607" w:type="pct"/>
                  <w:vAlign w:val="center"/>
                </w:tcPr>
                <w:p w14:paraId="2A5A00E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859" w:type="pct"/>
                  <w:vAlign w:val="center"/>
                </w:tcPr>
                <w:p w14:paraId="59A58D2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4B02B6B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48622AD">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73A7E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18C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DCAC68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1,2,3-三氯丙烷</w:t>
                  </w:r>
                </w:p>
              </w:tc>
              <w:tc>
                <w:tcPr>
                  <w:tcW w:w="607" w:type="pct"/>
                  <w:vAlign w:val="center"/>
                </w:tcPr>
                <w:p w14:paraId="48B7078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607" w:type="pct"/>
                  <w:vAlign w:val="center"/>
                </w:tcPr>
                <w:p w14:paraId="4192155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859" w:type="pct"/>
                  <w:vAlign w:val="center"/>
                </w:tcPr>
                <w:p w14:paraId="05A4AA4E">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74A361E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719973AD">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34F4E0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34FC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AAD6C4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氯乙烯</w:t>
                  </w:r>
                </w:p>
              </w:tc>
              <w:tc>
                <w:tcPr>
                  <w:tcW w:w="607" w:type="pct"/>
                  <w:vAlign w:val="center"/>
                </w:tcPr>
                <w:p w14:paraId="644E8A0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0.43</w:t>
                  </w:r>
                </w:p>
              </w:tc>
              <w:tc>
                <w:tcPr>
                  <w:tcW w:w="607" w:type="pct"/>
                  <w:vAlign w:val="center"/>
                </w:tcPr>
                <w:p w14:paraId="094CE45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4.3</w:t>
                  </w:r>
                </w:p>
              </w:tc>
              <w:tc>
                <w:tcPr>
                  <w:tcW w:w="859" w:type="pct"/>
                  <w:vAlign w:val="center"/>
                </w:tcPr>
                <w:p w14:paraId="75423C4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1BA11E9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907847B">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0BAC11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08E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B15773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w:t>
                  </w:r>
                </w:p>
              </w:tc>
              <w:tc>
                <w:tcPr>
                  <w:tcW w:w="607" w:type="pct"/>
                  <w:vAlign w:val="center"/>
                </w:tcPr>
                <w:p w14:paraId="67E4B54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607" w:type="pct"/>
                  <w:vAlign w:val="center"/>
                </w:tcPr>
                <w:p w14:paraId="51D9546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c>
                <w:tcPr>
                  <w:tcW w:w="859" w:type="pct"/>
                  <w:vAlign w:val="center"/>
                </w:tcPr>
                <w:p w14:paraId="4C7A3B3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7B883C3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41A8765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34DA66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22FA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E3A86D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vertAlign w:val="super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氯苯</w:t>
                  </w:r>
                </w:p>
              </w:tc>
              <w:tc>
                <w:tcPr>
                  <w:tcW w:w="607" w:type="pct"/>
                  <w:vAlign w:val="center"/>
                </w:tcPr>
                <w:p w14:paraId="5D283FB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270</w:t>
                  </w:r>
                </w:p>
              </w:tc>
              <w:tc>
                <w:tcPr>
                  <w:tcW w:w="607" w:type="pct"/>
                  <w:vAlign w:val="center"/>
                </w:tcPr>
                <w:p w14:paraId="08BEEE5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1000</w:t>
                  </w:r>
                </w:p>
              </w:tc>
              <w:tc>
                <w:tcPr>
                  <w:tcW w:w="859" w:type="pct"/>
                  <w:vAlign w:val="center"/>
                </w:tcPr>
                <w:p w14:paraId="12304AF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04FE17D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11AF91E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6C3C9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CC1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6F3EDC1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1,2-二氯苯</w:t>
                  </w:r>
                </w:p>
              </w:tc>
              <w:tc>
                <w:tcPr>
                  <w:tcW w:w="607" w:type="pct"/>
                  <w:vAlign w:val="center"/>
                </w:tcPr>
                <w:p w14:paraId="0388CFB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560</w:t>
                  </w:r>
                </w:p>
              </w:tc>
              <w:tc>
                <w:tcPr>
                  <w:tcW w:w="607" w:type="pct"/>
                  <w:vAlign w:val="center"/>
                </w:tcPr>
                <w:p w14:paraId="5E4E7D9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560</w:t>
                  </w:r>
                </w:p>
              </w:tc>
              <w:tc>
                <w:tcPr>
                  <w:tcW w:w="859" w:type="pct"/>
                  <w:vAlign w:val="center"/>
                </w:tcPr>
                <w:p w14:paraId="298B8DC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vertAlign w:val="super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04EAD95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1BE573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6F8F4E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8CF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8792F6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1,4-二氯苯</w:t>
                  </w:r>
                </w:p>
              </w:tc>
              <w:tc>
                <w:tcPr>
                  <w:tcW w:w="607" w:type="pct"/>
                  <w:vAlign w:val="center"/>
                </w:tcPr>
                <w:p w14:paraId="53031F8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607" w:type="pct"/>
                  <w:vAlign w:val="center"/>
                </w:tcPr>
                <w:p w14:paraId="43308E8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w:t>
                  </w:r>
                </w:p>
              </w:tc>
              <w:tc>
                <w:tcPr>
                  <w:tcW w:w="859" w:type="pct"/>
                  <w:vAlign w:val="center"/>
                </w:tcPr>
                <w:p w14:paraId="4A05366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5EEEA2A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2497F5F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56931A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175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2B9BBD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乙苯</w:t>
                  </w:r>
                </w:p>
              </w:tc>
              <w:tc>
                <w:tcPr>
                  <w:tcW w:w="607" w:type="pct"/>
                  <w:vAlign w:val="center"/>
                </w:tcPr>
                <w:p w14:paraId="6981C87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w:t>
                  </w:r>
                </w:p>
              </w:tc>
              <w:tc>
                <w:tcPr>
                  <w:tcW w:w="607" w:type="pct"/>
                  <w:vAlign w:val="center"/>
                </w:tcPr>
                <w:p w14:paraId="1F6E0E5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280</w:t>
                  </w:r>
                </w:p>
              </w:tc>
              <w:tc>
                <w:tcPr>
                  <w:tcW w:w="859" w:type="pct"/>
                  <w:vAlign w:val="center"/>
                </w:tcPr>
                <w:p w14:paraId="35D8368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6DA67ED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487A1AC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6A26E9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3098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9BDDE2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苯乙烯</w:t>
                  </w:r>
                </w:p>
              </w:tc>
              <w:tc>
                <w:tcPr>
                  <w:tcW w:w="607" w:type="pct"/>
                  <w:vAlign w:val="center"/>
                </w:tcPr>
                <w:p w14:paraId="2323FE9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1290</w:t>
                  </w:r>
                </w:p>
              </w:tc>
              <w:tc>
                <w:tcPr>
                  <w:tcW w:w="607" w:type="pct"/>
                  <w:vAlign w:val="center"/>
                </w:tcPr>
                <w:p w14:paraId="74FD4F1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1290</w:t>
                  </w:r>
                </w:p>
              </w:tc>
              <w:tc>
                <w:tcPr>
                  <w:tcW w:w="859" w:type="pct"/>
                  <w:vAlign w:val="center"/>
                </w:tcPr>
                <w:p w14:paraId="222C68E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42FA670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43B1BCC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1631C2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45F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0308CC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甲苯</w:t>
                  </w:r>
                </w:p>
              </w:tc>
              <w:tc>
                <w:tcPr>
                  <w:tcW w:w="607" w:type="pct"/>
                  <w:vAlign w:val="center"/>
                </w:tcPr>
                <w:p w14:paraId="6FB19CE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1200</w:t>
                  </w:r>
                </w:p>
              </w:tc>
              <w:tc>
                <w:tcPr>
                  <w:tcW w:w="607" w:type="pct"/>
                  <w:vAlign w:val="center"/>
                </w:tcPr>
                <w:p w14:paraId="0435E8D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1200</w:t>
                  </w:r>
                </w:p>
              </w:tc>
              <w:tc>
                <w:tcPr>
                  <w:tcW w:w="859" w:type="pct"/>
                  <w:vAlign w:val="center"/>
                </w:tcPr>
                <w:p w14:paraId="5E4CAC4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2B1E229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15D0E62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367FC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089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966F0D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间二甲苯+对二甲苯</w:t>
                  </w:r>
                </w:p>
              </w:tc>
              <w:tc>
                <w:tcPr>
                  <w:tcW w:w="607" w:type="pct"/>
                  <w:vAlign w:val="center"/>
                </w:tcPr>
                <w:p w14:paraId="467E54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570</w:t>
                  </w:r>
                </w:p>
              </w:tc>
              <w:tc>
                <w:tcPr>
                  <w:tcW w:w="607" w:type="pct"/>
                  <w:vAlign w:val="center"/>
                </w:tcPr>
                <w:p w14:paraId="6A23178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570</w:t>
                  </w:r>
                </w:p>
              </w:tc>
              <w:tc>
                <w:tcPr>
                  <w:tcW w:w="859" w:type="pct"/>
                  <w:vAlign w:val="center"/>
                </w:tcPr>
                <w:p w14:paraId="00F7FEC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vertAlign w:val="super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21EC9891">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7D0B56F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CAF45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4EE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2665688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邻二甲苯</w:t>
                  </w:r>
                </w:p>
              </w:tc>
              <w:tc>
                <w:tcPr>
                  <w:tcW w:w="607" w:type="pct"/>
                  <w:vAlign w:val="center"/>
                </w:tcPr>
                <w:p w14:paraId="66B8F8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640</w:t>
                  </w:r>
                </w:p>
              </w:tc>
              <w:tc>
                <w:tcPr>
                  <w:tcW w:w="607" w:type="pct"/>
                  <w:vAlign w:val="center"/>
                </w:tcPr>
                <w:p w14:paraId="69D4274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640</w:t>
                  </w:r>
                </w:p>
              </w:tc>
              <w:tc>
                <w:tcPr>
                  <w:tcW w:w="859" w:type="pct"/>
                  <w:vAlign w:val="center"/>
                </w:tcPr>
                <w:p w14:paraId="622FB9D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vertAlign w:val="super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2AE2A72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3E9DA30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6A4205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808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87801A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vertAlign w:val="super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硝基苯</w:t>
                  </w:r>
                </w:p>
              </w:tc>
              <w:tc>
                <w:tcPr>
                  <w:tcW w:w="607" w:type="pct"/>
                  <w:vAlign w:val="center"/>
                </w:tcPr>
                <w:p w14:paraId="2EE4D9A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76</w:t>
                  </w:r>
                </w:p>
              </w:tc>
              <w:tc>
                <w:tcPr>
                  <w:tcW w:w="607" w:type="pct"/>
                  <w:vAlign w:val="center"/>
                </w:tcPr>
                <w:p w14:paraId="167D19E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760</w:t>
                  </w:r>
                </w:p>
              </w:tc>
              <w:tc>
                <w:tcPr>
                  <w:tcW w:w="859" w:type="pct"/>
                  <w:vAlign w:val="center"/>
                </w:tcPr>
                <w:p w14:paraId="4914D1E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0.09L</w:t>
                  </w:r>
                </w:p>
              </w:tc>
              <w:tc>
                <w:tcPr>
                  <w:tcW w:w="859" w:type="pct"/>
                  <w:vAlign w:val="center"/>
                </w:tcPr>
                <w:p w14:paraId="4516055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0.09L</w:t>
                  </w:r>
                </w:p>
              </w:tc>
              <w:tc>
                <w:tcPr>
                  <w:tcW w:w="729" w:type="pct"/>
                  <w:vAlign w:val="center"/>
                </w:tcPr>
                <w:p w14:paraId="4F527FA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0.09L</w:t>
                  </w:r>
                </w:p>
              </w:tc>
              <w:tc>
                <w:tcPr>
                  <w:tcW w:w="481" w:type="pct"/>
                  <w:vAlign w:val="center"/>
                </w:tcPr>
                <w:p w14:paraId="570D8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46BF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436871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苯胺</w:t>
                  </w:r>
                </w:p>
              </w:tc>
              <w:tc>
                <w:tcPr>
                  <w:tcW w:w="607" w:type="pct"/>
                  <w:vAlign w:val="center"/>
                </w:tcPr>
                <w:p w14:paraId="4774D3A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260</w:t>
                  </w:r>
                </w:p>
              </w:tc>
              <w:tc>
                <w:tcPr>
                  <w:tcW w:w="607" w:type="pct"/>
                  <w:vAlign w:val="center"/>
                </w:tcPr>
                <w:p w14:paraId="5B65D91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663</w:t>
                  </w:r>
                </w:p>
              </w:tc>
              <w:tc>
                <w:tcPr>
                  <w:tcW w:w="859" w:type="pct"/>
                  <w:vAlign w:val="center"/>
                </w:tcPr>
                <w:p w14:paraId="56B1BC3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0631B16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6CC9B94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2EC3A7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58B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6629487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2-氯酚</w:t>
                  </w:r>
                </w:p>
              </w:tc>
              <w:tc>
                <w:tcPr>
                  <w:tcW w:w="607" w:type="pct"/>
                  <w:vAlign w:val="center"/>
                </w:tcPr>
                <w:p w14:paraId="1BC1D0E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2256</w:t>
                  </w:r>
                </w:p>
              </w:tc>
              <w:tc>
                <w:tcPr>
                  <w:tcW w:w="607" w:type="pct"/>
                  <w:vAlign w:val="center"/>
                </w:tcPr>
                <w:p w14:paraId="3F23384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4500</w:t>
                  </w:r>
                </w:p>
              </w:tc>
              <w:tc>
                <w:tcPr>
                  <w:tcW w:w="859" w:type="pct"/>
                  <w:vAlign w:val="center"/>
                </w:tcPr>
                <w:p w14:paraId="50351345">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0.06L</w:t>
                  </w:r>
                </w:p>
              </w:tc>
              <w:tc>
                <w:tcPr>
                  <w:tcW w:w="859" w:type="pct"/>
                  <w:vAlign w:val="center"/>
                </w:tcPr>
                <w:p w14:paraId="194B2CEB">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0.06L</w:t>
                  </w:r>
                </w:p>
              </w:tc>
              <w:tc>
                <w:tcPr>
                  <w:tcW w:w="729" w:type="pct"/>
                  <w:vAlign w:val="center"/>
                </w:tcPr>
                <w:p w14:paraId="402BF63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0.06L</w:t>
                  </w:r>
                </w:p>
              </w:tc>
              <w:tc>
                <w:tcPr>
                  <w:tcW w:w="481" w:type="pct"/>
                  <w:vAlign w:val="center"/>
                </w:tcPr>
                <w:p w14:paraId="00E698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411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D20AE3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苯并[a]蒽</w:t>
                  </w:r>
                </w:p>
              </w:tc>
              <w:tc>
                <w:tcPr>
                  <w:tcW w:w="607" w:type="pct"/>
                  <w:vAlign w:val="center"/>
                </w:tcPr>
                <w:p w14:paraId="59F210E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607" w:type="pct"/>
                  <w:vAlign w:val="center"/>
                </w:tcPr>
                <w:p w14:paraId="222D76F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w:t>
                  </w:r>
                </w:p>
              </w:tc>
              <w:tc>
                <w:tcPr>
                  <w:tcW w:w="859" w:type="pct"/>
                  <w:vAlign w:val="center"/>
                </w:tcPr>
                <w:p w14:paraId="79FC1CE1">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64F0270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0C42A2E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074976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2A94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6B7F29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苯并[a]芘</w:t>
                  </w:r>
                </w:p>
              </w:tc>
              <w:tc>
                <w:tcPr>
                  <w:tcW w:w="607" w:type="pct"/>
                  <w:vAlign w:val="center"/>
                </w:tcPr>
                <w:p w14:paraId="2B7AC27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607" w:type="pct"/>
                  <w:vAlign w:val="center"/>
                </w:tcPr>
                <w:p w14:paraId="414C101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859" w:type="pct"/>
                  <w:vAlign w:val="center"/>
                </w:tcPr>
                <w:p w14:paraId="585DF40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77CC999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5E51475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0CBCDC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2390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6F3F7FC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苯并[b]荧蒽</w:t>
                  </w:r>
                </w:p>
              </w:tc>
              <w:tc>
                <w:tcPr>
                  <w:tcW w:w="607" w:type="pct"/>
                  <w:vAlign w:val="center"/>
                </w:tcPr>
                <w:p w14:paraId="2EEB24F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607" w:type="pct"/>
                  <w:vAlign w:val="center"/>
                </w:tcPr>
                <w:p w14:paraId="2178B67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w:t>
                  </w:r>
                </w:p>
              </w:tc>
              <w:tc>
                <w:tcPr>
                  <w:tcW w:w="859" w:type="pct"/>
                  <w:vAlign w:val="center"/>
                </w:tcPr>
                <w:p w14:paraId="4DC253B4">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0.2L</w:t>
                  </w:r>
                </w:p>
              </w:tc>
              <w:tc>
                <w:tcPr>
                  <w:tcW w:w="859" w:type="pct"/>
                  <w:vAlign w:val="center"/>
                </w:tcPr>
                <w:p w14:paraId="7E03D3A5">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0.2L</w:t>
                  </w:r>
                </w:p>
              </w:tc>
              <w:tc>
                <w:tcPr>
                  <w:tcW w:w="729" w:type="pct"/>
                  <w:vAlign w:val="center"/>
                </w:tcPr>
                <w:p w14:paraId="03D10A5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0.2L</w:t>
                  </w:r>
                </w:p>
              </w:tc>
              <w:tc>
                <w:tcPr>
                  <w:tcW w:w="481" w:type="pct"/>
                  <w:vAlign w:val="center"/>
                </w:tcPr>
                <w:p w14:paraId="253A56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CB1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04B3B6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苯并[k]荧蒽</w:t>
                  </w:r>
                </w:p>
              </w:tc>
              <w:tc>
                <w:tcPr>
                  <w:tcW w:w="607" w:type="pct"/>
                  <w:vAlign w:val="center"/>
                </w:tcPr>
                <w:p w14:paraId="2D5B761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w:t>
                  </w:r>
                </w:p>
              </w:tc>
              <w:tc>
                <w:tcPr>
                  <w:tcW w:w="607" w:type="pct"/>
                  <w:vAlign w:val="center"/>
                </w:tcPr>
                <w:p w14:paraId="24E0CDE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1500</w:t>
                  </w:r>
                </w:p>
              </w:tc>
              <w:tc>
                <w:tcPr>
                  <w:tcW w:w="859" w:type="pct"/>
                  <w:vAlign w:val="center"/>
                </w:tcPr>
                <w:p w14:paraId="71262515">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3C69708B">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341A772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0752A7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CED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DBBFF6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崫</w:t>
                  </w:r>
                </w:p>
              </w:tc>
              <w:tc>
                <w:tcPr>
                  <w:tcW w:w="607" w:type="pct"/>
                  <w:vAlign w:val="center"/>
                </w:tcPr>
                <w:p w14:paraId="519C1A2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1293</w:t>
                  </w:r>
                </w:p>
              </w:tc>
              <w:tc>
                <w:tcPr>
                  <w:tcW w:w="607" w:type="pct"/>
                  <w:vAlign w:val="center"/>
                </w:tcPr>
                <w:p w14:paraId="44EE72D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12900</w:t>
                  </w:r>
                </w:p>
              </w:tc>
              <w:tc>
                <w:tcPr>
                  <w:tcW w:w="859" w:type="pct"/>
                  <w:vAlign w:val="center"/>
                </w:tcPr>
                <w:p w14:paraId="4C0604C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63CB0E9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1F238923">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2C071C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287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C61422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二苯并[a,h]蒽</w:t>
                  </w:r>
                </w:p>
              </w:tc>
              <w:tc>
                <w:tcPr>
                  <w:tcW w:w="607" w:type="pct"/>
                  <w:vAlign w:val="center"/>
                </w:tcPr>
                <w:p w14:paraId="207087C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607" w:type="pct"/>
                  <w:vAlign w:val="center"/>
                </w:tcPr>
                <w:p w14:paraId="5C7FDB0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859" w:type="pct"/>
                  <w:vAlign w:val="center"/>
                </w:tcPr>
                <w:p w14:paraId="66AC073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00961AB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0D490E13">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166364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3B1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679051F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茚并[1,2,3-cd]芘</w:t>
                  </w:r>
                </w:p>
              </w:tc>
              <w:tc>
                <w:tcPr>
                  <w:tcW w:w="607" w:type="pct"/>
                  <w:vAlign w:val="center"/>
                </w:tcPr>
                <w:p w14:paraId="4FB252E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607" w:type="pct"/>
                  <w:vAlign w:val="center"/>
                </w:tcPr>
                <w:p w14:paraId="4963C5F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w:t>
                  </w:r>
                </w:p>
              </w:tc>
              <w:tc>
                <w:tcPr>
                  <w:tcW w:w="859" w:type="pct"/>
                  <w:vAlign w:val="center"/>
                </w:tcPr>
                <w:p w14:paraId="18C57AB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2D04626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492BEB0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19BE7D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44FD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3FA846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vertAlign w:val="super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萘</w:t>
                  </w:r>
                </w:p>
              </w:tc>
              <w:tc>
                <w:tcPr>
                  <w:tcW w:w="607" w:type="pct"/>
                  <w:vAlign w:val="center"/>
                </w:tcPr>
                <w:p w14:paraId="2C0A55A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70</w:t>
                  </w:r>
                </w:p>
              </w:tc>
              <w:tc>
                <w:tcPr>
                  <w:tcW w:w="607" w:type="pct"/>
                  <w:vAlign w:val="center"/>
                </w:tcPr>
                <w:p w14:paraId="4A7F807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700</w:t>
                  </w:r>
                </w:p>
              </w:tc>
              <w:tc>
                <w:tcPr>
                  <w:tcW w:w="859" w:type="pct"/>
                  <w:vAlign w:val="center"/>
                </w:tcPr>
                <w:p w14:paraId="4041B0F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0.09L</w:t>
                  </w:r>
                </w:p>
              </w:tc>
              <w:tc>
                <w:tcPr>
                  <w:tcW w:w="859" w:type="pct"/>
                  <w:vAlign w:val="center"/>
                </w:tcPr>
                <w:p w14:paraId="3CC3EA93">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0.09L</w:t>
                  </w:r>
                </w:p>
              </w:tc>
              <w:tc>
                <w:tcPr>
                  <w:tcW w:w="729" w:type="pct"/>
                  <w:vAlign w:val="center"/>
                </w:tcPr>
                <w:p w14:paraId="6D2A37E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0.09L</w:t>
                  </w:r>
                </w:p>
              </w:tc>
              <w:tc>
                <w:tcPr>
                  <w:tcW w:w="481" w:type="pct"/>
                  <w:vAlign w:val="center"/>
                </w:tcPr>
                <w:p w14:paraId="00BEFC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bl>
          <w:p w14:paraId="63600FA3">
            <w:pPr>
              <w:keepNext w:val="0"/>
              <w:keepLines w:val="0"/>
              <w:suppressLineNumbers w:val="0"/>
              <w:spacing w:before="0" w:beforeAutospacing="0" w:after="0" w:afterAutospacing="0" w:line="360" w:lineRule="auto"/>
              <w:ind w:left="0" w:right="0" w:firstLine="480" w:firstLineChars="200"/>
              <w:jc w:val="both"/>
              <w:rPr>
                <w:rFonts w:hint="eastAsia" w:eastAsia="宋体" w:cs="Times New Roman"/>
                <w:b/>
                <w:bCs/>
                <w:color w:val="auto"/>
                <w:kern w:val="0"/>
                <w:sz w:val="24"/>
                <w:szCs w:val="24"/>
                <w:lang w:val="en-US" w:eastAsia="zh-CN"/>
              </w:rPr>
            </w:pPr>
            <w:r>
              <w:rPr>
                <w:rFonts w:hint="default" w:ascii="Times New Roman" w:hAnsi="Times New Roman" w:cs="Times New Roman"/>
                <w:color w:val="000000" w:themeColor="text1"/>
                <w:sz w:val="24"/>
                <w14:textFill>
                  <w14:solidFill>
                    <w14:schemeClr w14:val="tx1"/>
                  </w14:solidFill>
                </w14:textFill>
              </w:rPr>
              <w:t>由监测结果可知，</w:t>
            </w:r>
            <w:r>
              <w:rPr>
                <w:rFonts w:hint="eastAsia" w:ascii="Times New Roman" w:hAnsi="Times New Roman" w:cs="Times New Roman"/>
                <w:color w:val="000000" w:themeColor="text1"/>
                <w:sz w:val="24"/>
                <w:lang w:val="en-US" w:eastAsia="zh-CN"/>
                <w14:textFill>
                  <w14:solidFill>
                    <w14:schemeClr w14:val="tx1"/>
                  </w14:solidFill>
                </w14:textFill>
              </w:rPr>
              <w:t>项目区</w:t>
            </w:r>
            <w:r>
              <w:rPr>
                <w:rFonts w:hint="default" w:ascii="Times New Roman" w:hAnsi="Times New Roman" w:cs="Times New Roman"/>
                <w:color w:val="000000" w:themeColor="text1"/>
                <w:sz w:val="24"/>
                <w14:textFill>
                  <w14:solidFill>
                    <w14:schemeClr w14:val="tx1"/>
                  </w14:solidFill>
                </w14:textFill>
              </w:rPr>
              <w:t>内监测点各监测因子均满足《土壤环境质量-建设用地土壤污染风险管控标准（试行）》（GB36600-2018）中第二类用地筛选值及管控值标准要求</w:t>
            </w:r>
            <w:r>
              <w:rPr>
                <w:rFonts w:hint="eastAsia" w:ascii="Times New Roman" w:hAnsi="Times New Roman" w:cs="Times New Roman"/>
                <w:color w:val="000000" w:themeColor="text1"/>
                <w:sz w:val="24"/>
                <w:lang w:eastAsia="zh-CN"/>
                <w14:textFill>
                  <w14:solidFill>
                    <w14:schemeClr w14:val="tx1"/>
                  </w14:solidFill>
                </w14:textFill>
              </w:rPr>
              <w:t>。</w:t>
            </w:r>
          </w:p>
          <w:p w14:paraId="0ACF8B2C">
            <w:pPr>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rPr>
            </w:pPr>
            <w:r>
              <w:rPr>
                <w:rFonts w:hint="eastAsia" w:cs="Times New Roman"/>
                <w:b/>
                <w:bCs/>
                <w:color w:val="auto"/>
                <w:kern w:val="0"/>
                <w:sz w:val="24"/>
                <w:szCs w:val="24"/>
                <w:lang w:val="en-US" w:eastAsia="zh-CN"/>
              </w:rPr>
              <w:t>6</w:t>
            </w:r>
            <w:r>
              <w:rPr>
                <w:rFonts w:hint="default" w:ascii="Times New Roman" w:hAnsi="Times New Roman" w:eastAsia="宋体" w:cs="Times New Roman"/>
                <w:b/>
                <w:bCs/>
                <w:color w:val="auto"/>
                <w:kern w:val="0"/>
                <w:sz w:val="24"/>
                <w:szCs w:val="24"/>
              </w:rPr>
              <w:t>、生态环境质量现状</w:t>
            </w:r>
          </w:p>
          <w:p w14:paraId="1E9238C0">
            <w:pPr>
              <w:keepNext w:val="0"/>
              <w:keepLines w:val="0"/>
              <w:widowControl/>
              <w:suppressLineNumbers w:val="0"/>
              <w:tabs>
                <w:tab w:val="left" w:pos="0"/>
                <w:tab w:val="left" w:pos="540"/>
              </w:tabs>
              <w:adjustRightInd w:val="0"/>
              <w:snapToGrid w:val="0"/>
              <w:spacing w:before="0" w:beforeAutospacing="0" w:after="0" w:afterAutospacing="0" w:line="360" w:lineRule="auto"/>
              <w:ind w:left="0" w:right="0" w:firstLine="480" w:firstLineChars="200"/>
              <w:rPr>
                <w:rFonts w:hint="default" w:ascii="Times New Roman" w:hAnsi="Times New Roman"/>
                <w:color w:val="auto"/>
                <w:sz w:val="24"/>
                <w:szCs w:val="24"/>
                <w:highlight w:val="none"/>
              </w:rPr>
            </w:pPr>
            <w:r>
              <w:rPr>
                <w:rFonts w:hint="default" w:ascii="Times New Roman" w:hAnsi="Times New Roman" w:eastAsia="宋体" w:cs="Times New Roman"/>
                <w:color w:val="auto"/>
                <w:kern w:val="0"/>
                <w:sz w:val="24"/>
                <w:szCs w:val="24"/>
                <w:highlight w:val="none"/>
                <w:lang w:eastAsia="zh-CN"/>
              </w:rPr>
              <w:t>本项目位于</w:t>
            </w:r>
            <w:r>
              <w:rPr>
                <w:rFonts w:hint="eastAsia" w:ascii="Times New Roman" w:hAnsi="Times New Roman" w:eastAsia="宋体" w:cs="Times New Roman"/>
                <w:color w:val="auto"/>
                <w:sz w:val="24"/>
                <w:szCs w:val="24"/>
                <w:highlight w:val="none"/>
                <w:lang w:val="en-US" w:eastAsia="zh-CN"/>
              </w:rPr>
              <w:t>白石岩—大白坡片区</w:t>
            </w:r>
            <w:r>
              <w:rPr>
                <w:rFonts w:hint="eastAsia" w:cs="Times New Roman"/>
                <w:color w:val="auto"/>
                <w:sz w:val="24"/>
                <w:szCs w:val="24"/>
                <w:highlight w:val="none"/>
                <w:lang w:val="en-US" w:eastAsia="zh-CN"/>
              </w:rPr>
              <w:t>哨箐</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项目周边</w:t>
            </w:r>
            <w:r>
              <w:rPr>
                <w:rFonts w:hint="eastAsia"/>
                <w:color w:val="auto"/>
                <w:sz w:val="24"/>
                <w:szCs w:val="24"/>
                <w:highlight w:val="none"/>
              </w:rPr>
              <w:t>无生态环境保护目标，</w:t>
            </w:r>
            <w:r>
              <w:rPr>
                <w:rFonts w:hint="default" w:ascii="Times New Roman" w:hAnsi="Times New Roman" w:eastAsia="宋体" w:cs="Times New Roman"/>
                <w:color w:val="auto"/>
                <w:kern w:val="0"/>
                <w:sz w:val="24"/>
                <w:szCs w:val="24"/>
                <w:highlight w:val="none"/>
                <w:lang w:eastAsia="zh-CN"/>
              </w:rPr>
              <w:t>无需开展生态现状调查</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经现场踏勘，</w:t>
            </w:r>
            <w:r>
              <w:rPr>
                <w:rFonts w:hint="eastAsia" w:ascii="宋体" w:hAnsi="宋体" w:eastAsia="宋体" w:cs="宋体"/>
                <w:color w:val="auto"/>
                <w:kern w:val="0"/>
                <w:sz w:val="24"/>
                <w:szCs w:val="24"/>
                <w:highlight w:val="none"/>
                <w:lang w:val="en-US" w:eastAsia="zh-CN" w:bidi="ar"/>
              </w:rPr>
              <w:t>项目</w:t>
            </w:r>
            <w:r>
              <w:rPr>
                <w:rFonts w:hint="eastAsia" w:hAnsi="宋体" w:eastAsia="宋体" w:cs="宋体"/>
                <w:color w:val="auto"/>
                <w:kern w:val="0"/>
                <w:sz w:val="24"/>
                <w:szCs w:val="24"/>
                <w:highlight w:val="none"/>
                <w:lang w:val="en-US" w:eastAsia="zh-CN" w:bidi="ar"/>
              </w:rPr>
              <w:t>周边</w:t>
            </w:r>
            <w:r>
              <w:rPr>
                <w:rFonts w:hint="eastAsia" w:ascii="宋体" w:hAnsi="宋体" w:eastAsia="宋体" w:cs="宋体"/>
                <w:color w:val="auto"/>
                <w:kern w:val="0"/>
                <w:sz w:val="24"/>
                <w:szCs w:val="24"/>
                <w:highlight w:val="none"/>
                <w:lang w:val="en-US" w:eastAsia="zh-CN" w:bidi="ar"/>
              </w:rPr>
              <w:t>植物主要为绿化植物，动物为一般常见物种，如麻雀、老鼠等，项目区内未发现国家和省级重点保护的珍稀和濒危植物，也无国家和省级重点保护的野生动物。生态环境质量一般。</w:t>
            </w:r>
          </w:p>
          <w:p w14:paraId="158B4EF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0"/>
                <w:szCs w:val="21"/>
              </w:rPr>
            </w:pPr>
            <w:r>
              <w:rPr>
                <w:rFonts w:hint="default" w:ascii="Times New Roman" w:hAnsi="Times New Roman"/>
                <w:color w:val="auto"/>
                <w:sz w:val="24"/>
                <w:szCs w:val="24"/>
                <w:highlight w:val="none"/>
              </w:rPr>
              <w:t>据现场调查，本项目</w:t>
            </w:r>
            <w:r>
              <w:rPr>
                <w:rFonts w:hint="eastAsia" w:ascii="Times New Roman" w:hAnsi="Times New Roman"/>
                <w:color w:val="auto"/>
                <w:sz w:val="24"/>
                <w:szCs w:val="24"/>
                <w:highlight w:val="none"/>
                <w:lang w:eastAsia="zh-CN"/>
              </w:rPr>
              <w:t>为扩建项目，在原有已建成标准厂房进行扩建</w:t>
            </w:r>
            <w:r>
              <w:rPr>
                <w:rFonts w:hint="default" w:ascii="Times New Roman" w:hAnsi="Times New Roman"/>
                <w:color w:val="auto"/>
                <w:sz w:val="24"/>
                <w:szCs w:val="24"/>
                <w:highlight w:val="none"/>
              </w:rPr>
              <w:t>，厂房土地性质为工业用地，不新增用地，无动土工程，对生态环境的影响较小。</w:t>
            </w:r>
          </w:p>
        </w:tc>
      </w:tr>
      <w:tr w14:paraId="1BAF9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noWrap w:val="0"/>
            <w:vAlign w:val="center"/>
          </w:tcPr>
          <w:p w14:paraId="6259C7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14:paraId="6927F0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保护</w:t>
            </w:r>
          </w:p>
          <w:p w14:paraId="5712F3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szCs w:val="24"/>
              </w:rPr>
              <w:t>目标</w:t>
            </w:r>
          </w:p>
        </w:tc>
        <w:tc>
          <w:tcPr>
            <w:tcW w:w="8190" w:type="dxa"/>
            <w:noWrap w:val="0"/>
            <w:vAlign w:val="top"/>
          </w:tcPr>
          <w:p w14:paraId="586BB4C7">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项目周边环境保护目标及保护标准见表3-</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14:paraId="138D189D">
            <w:pPr>
              <w:keepNext w:val="0"/>
              <w:keepLines w:val="0"/>
              <w:pageBreakBefore w:val="0"/>
              <w:widowControl/>
              <w:suppressLineNumbers w:val="0"/>
              <w:tabs>
                <w:tab w:val="left" w:pos="7521"/>
              </w:tabs>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表3-</w:t>
            </w:r>
            <w:r>
              <w:rPr>
                <w:rFonts w:hint="eastAsia"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主要环境保护目标一览表</w:t>
            </w:r>
          </w:p>
          <w:tbl>
            <w:tblPr>
              <w:tblStyle w:val="2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4"/>
              <w:gridCol w:w="798"/>
              <w:gridCol w:w="653"/>
              <w:gridCol w:w="496"/>
              <w:gridCol w:w="856"/>
              <w:gridCol w:w="1432"/>
              <w:gridCol w:w="1328"/>
              <w:gridCol w:w="946"/>
              <w:gridCol w:w="1210"/>
            </w:tblGrid>
            <w:tr w14:paraId="60AAD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BD4B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保护目标类型</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1891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保护目标</w:t>
                  </w:r>
                </w:p>
              </w:tc>
              <w:tc>
                <w:tcPr>
                  <w:tcW w:w="3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8236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方向</w:t>
                  </w: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CA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功能</w:t>
                  </w:r>
                </w:p>
              </w:tc>
              <w:tc>
                <w:tcPr>
                  <w:tcW w:w="5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BCA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距离</w:t>
                  </w: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6E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经纬度</w:t>
                  </w:r>
                </w:p>
              </w:tc>
              <w:tc>
                <w:tcPr>
                  <w:tcW w:w="5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28C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人口数量</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D38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保护级别</w:t>
                  </w:r>
                </w:p>
              </w:tc>
            </w:tr>
            <w:tr w14:paraId="460EE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0A16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3CBD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88E5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F705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5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1C00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BCD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东经</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8C4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北纬</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72EA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AF66A">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r>
            <w:tr w14:paraId="1E9EE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B10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大气环境</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E39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哨箐村</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B56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南侧</w:t>
                  </w: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8CA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自然村</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506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130m</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526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102°27′48.92″</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47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25°16′9.97″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8E6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r>
                    <w:rPr>
                      <w:rFonts w:hint="eastAsia" w:ascii="宋体" w:hAnsi="宋体" w:eastAsia="宋体" w:cs="宋体"/>
                      <w:i w:val="0"/>
                      <w:iCs w:val="0"/>
                      <w:color w:val="auto"/>
                      <w:kern w:val="0"/>
                      <w:sz w:val="21"/>
                      <w:szCs w:val="21"/>
                      <w:u w:val="none"/>
                      <w:lang w:val="en-US" w:eastAsia="zh-CN" w:bidi="ar"/>
                    </w:rPr>
                    <w:t>户，</w:t>
                  </w:r>
                  <w:r>
                    <w:rPr>
                      <w:rFonts w:hint="default" w:ascii="Times New Roman" w:hAnsi="Times New Roman" w:eastAsia="宋体" w:cs="Times New Roman"/>
                      <w:i w:val="0"/>
                      <w:iCs w:val="0"/>
                      <w:color w:val="auto"/>
                      <w:kern w:val="0"/>
                      <w:sz w:val="21"/>
                      <w:szCs w:val="21"/>
                      <w:u w:val="none"/>
                      <w:lang w:val="en-US" w:eastAsia="zh-CN" w:bidi="ar"/>
                    </w:rPr>
                    <w:t>340</w:t>
                  </w:r>
                  <w:r>
                    <w:rPr>
                      <w:rFonts w:hint="eastAsia" w:ascii="宋体" w:hAnsi="宋体" w:eastAsia="宋体" w:cs="宋体"/>
                      <w:i w:val="0"/>
                      <w:iCs w:val="0"/>
                      <w:color w:val="auto"/>
                      <w:kern w:val="0"/>
                      <w:sz w:val="21"/>
                      <w:szCs w:val="21"/>
                      <w:u w:val="none"/>
                      <w:lang w:val="en-US" w:eastAsia="zh-CN" w:bidi="ar"/>
                    </w:rPr>
                    <w:t>人</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E8F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《环境空气质量标准》（</w:t>
                  </w:r>
                  <w:r>
                    <w:rPr>
                      <w:rFonts w:hint="default" w:ascii="Times New Roman" w:hAnsi="Times New Roman" w:eastAsia="宋体" w:cs="Times New Roman"/>
                      <w:i w:val="0"/>
                      <w:iCs w:val="0"/>
                      <w:color w:val="auto"/>
                      <w:kern w:val="0"/>
                      <w:sz w:val="21"/>
                      <w:szCs w:val="21"/>
                      <w:u w:val="none"/>
                      <w:lang w:val="en-US" w:eastAsia="zh-CN" w:bidi="ar"/>
                    </w:rPr>
                    <w:t>GB3095- 2012</w:t>
                  </w:r>
                  <w:r>
                    <w:rPr>
                      <w:rFonts w:hint="eastAsia" w:ascii="宋体" w:hAnsi="宋体" w:eastAsia="宋体" w:cs="宋体"/>
                      <w:i w:val="0"/>
                      <w:iCs w:val="0"/>
                      <w:color w:val="auto"/>
                      <w:kern w:val="0"/>
                      <w:sz w:val="21"/>
                      <w:szCs w:val="21"/>
                      <w:u w:val="none"/>
                      <w:lang w:val="en-US" w:eastAsia="zh-CN" w:bidi="ar"/>
                    </w:rPr>
                    <w:t>）二级标准</w:t>
                  </w:r>
                </w:p>
              </w:tc>
            </w:tr>
            <w:tr w14:paraId="2656A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F2B5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2AC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石桥</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7AE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北南侧</w:t>
                  </w: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45DB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1E9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m</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3D2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102°27′53.26″</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54A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25°16′28.55″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F21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r>
                    <w:rPr>
                      <w:rFonts w:hint="eastAsia" w:ascii="宋体" w:hAnsi="宋体" w:eastAsia="宋体" w:cs="宋体"/>
                      <w:i w:val="0"/>
                      <w:iCs w:val="0"/>
                      <w:color w:val="auto"/>
                      <w:kern w:val="0"/>
                      <w:sz w:val="21"/>
                      <w:szCs w:val="21"/>
                      <w:u w:val="none"/>
                      <w:lang w:val="en-US" w:eastAsia="zh-CN" w:bidi="ar"/>
                    </w:rPr>
                    <w:t>户，</w:t>
                  </w:r>
                  <w:r>
                    <w:rPr>
                      <w:rFonts w:hint="default" w:ascii="Times New Roman" w:hAnsi="Times New Roman" w:eastAsia="宋体" w:cs="Times New Roman"/>
                      <w:i w:val="0"/>
                      <w:iCs w:val="0"/>
                      <w:color w:val="auto"/>
                      <w:kern w:val="0"/>
                      <w:sz w:val="21"/>
                      <w:szCs w:val="21"/>
                      <w:u w:val="none"/>
                      <w:lang w:val="en-US" w:eastAsia="zh-CN" w:bidi="ar"/>
                    </w:rPr>
                    <w:t>330</w:t>
                  </w:r>
                  <w:r>
                    <w:rPr>
                      <w:rFonts w:hint="eastAsia" w:ascii="宋体" w:hAnsi="宋体" w:eastAsia="宋体" w:cs="宋体"/>
                      <w:i w:val="0"/>
                      <w:iCs w:val="0"/>
                      <w:color w:val="auto"/>
                      <w:kern w:val="0"/>
                      <w:sz w:val="21"/>
                      <w:szCs w:val="21"/>
                      <w:u w:val="none"/>
                      <w:lang w:val="en-US" w:eastAsia="zh-CN" w:bidi="ar"/>
                    </w:rPr>
                    <w:t>人</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064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r>
            <w:tr w14:paraId="69AC6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003A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72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南充</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83A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东北侧</w:t>
                  </w: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E3A5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E38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449m</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F06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102°27′59.76″</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C6B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25°16′28.8″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06B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宋体" w:hAnsi="宋体" w:eastAsia="宋体" w:cs="宋体"/>
                      <w:i w:val="0"/>
                      <w:iCs w:val="0"/>
                      <w:color w:val="auto"/>
                      <w:kern w:val="0"/>
                      <w:sz w:val="21"/>
                      <w:szCs w:val="21"/>
                      <w:u w:val="none"/>
                      <w:lang w:val="en-US" w:eastAsia="zh-CN" w:bidi="ar"/>
                    </w:rPr>
                    <w:t>户，</w:t>
                  </w:r>
                  <w:r>
                    <w:rPr>
                      <w:rFonts w:hint="default" w:ascii="Times New Roman" w:hAnsi="Times New Roman" w:eastAsia="宋体" w:cs="Times New Roman"/>
                      <w:i w:val="0"/>
                      <w:iCs w:val="0"/>
                      <w:color w:val="auto"/>
                      <w:kern w:val="0"/>
                      <w:sz w:val="21"/>
                      <w:szCs w:val="21"/>
                      <w:u w:val="none"/>
                      <w:lang w:val="en-US" w:eastAsia="zh-CN" w:bidi="ar"/>
                    </w:rPr>
                    <w:t>42</w:t>
                  </w:r>
                  <w:r>
                    <w:rPr>
                      <w:rFonts w:hint="eastAsia" w:ascii="宋体" w:hAnsi="宋体" w:eastAsia="宋体" w:cs="宋体"/>
                      <w:i w:val="0"/>
                      <w:iCs w:val="0"/>
                      <w:color w:val="auto"/>
                      <w:kern w:val="0"/>
                      <w:sz w:val="21"/>
                      <w:szCs w:val="21"/>
                      <w:u w:val="none"/>
                      <w:lang w:val="en-US" w:eastAsia="zh-CN" w:bidi="ar"/>
                    </w:rPr>
                    <w:t>人</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0659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r>
            <w:tr w14:paraId="2AD7C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DC5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906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西冲村</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E3A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西</w:t>
                  </w:r>
                  <w:r>
                    <w:rPr>
                      <w:rFonts w:hint="eastAsia" w:ascii="宋体" w:hAnsi="宋体" w:eastAsia="宋体" w:cs="宋体"/>
                      <w:i w:val="0"/>
                      <w:iCs w:val="0"/>
                      <w:color w:val="auto"/>
                      <w:kern w:val="0"/>
                      <w:sz w:val="21"/>
                      <w:szCs w:val="21"/>
                      <w:u w:val="none"/>
                      <w:lang w:val="en-US" w:eastAsia="zh-CN" w:bidi="ar"/>
                    </w:rPr>
                    <w:t>北侧</w:t>
                  </w: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77F7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B39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470</w:t>
                  </w:r>
                  <w:r>
                    <w:rPr>
                      <w:rFonts w:hint="default" w:ascii="Times New Roman" w:hAnsi="Times New Roman" w:eastAsia="宋体" w:cs="Times New Roman"/>
                      <w:i w:val="0"/>
                      <w:iCs w:val="0"/>
                      <w:color w:val="auto"/>
                      <w:kern w:val="0"/>
                      <w:sz w:val="21"/>
                      <w:szCs w:val="21"/>
                      <w:u w:val="none"/>
                      <w:lang w:val="en-US" w:eastAsia="zh-CN" w:bidi="ar"/>
                    </w:rPr>
                    <w:t>m</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307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102°27′27.22″</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A0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25°16′23.45″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762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35</w:t>
                  </w:r>
                  <w:r>
                    <w:rPr>
                      <w:rFonts w:hint="eastAsia" w:ascii="宋体" w:hAnsi="宋体" w:eastAsia="宋体" w:cs="宋体"/>
                      <w:i w:val="0"/>
                      <w:iCs w:val="0"/>
                      <w:color w:val="auto"/>
                      <w:kern w:val="0"/>
                      <w:sz w:val="21"/>
                      <w:szCs w:val="21"/>
                      <w:u w:val="none"/>
                      <w:lang w:val="en-US" w:eastAsia="zh-CN" w:bidi="ar"/>
                    </w:rPr>
                    <w:t>户，</w:t>
                  </w:r>
                  <w:r>
                    <w:rPr>
                      <w:rFonts w:hint="eastAsia" w:cs="Times New Roman"/>
                      <w:i w:val="0"/>
                      <w:iCs w:val="0"/>
                      <w:color w:val="auto"/>
                      <w:kern w:val="0"/>
                      <w:sz w:val="21"/>
                      <w:szCs w:val="21"/>
                      <w:u w:val="none"/>
                      <w:lang w:val="en-US" w:eastAsia="zh-CN" w:bidi="ar"/>
                    </w:rPr>
                    <w:t>160</w:t>
                  </w:r>
                  <w:r>
                    <w:rPr>
                      <w:rFonts w:hint="eastAsia" w:ascii="宋体" w:hAnsi="宋体" w:eastAsia="宋体" w:cs="宋体"/>
                      <w:i w:val="0"/>
                      <w:iCs w:val="0"/>
                      <w:color w:val="auto"/>
                      <w:kern w:val="0"/>
                      <w:sz w:val="21"/>
                      <w:szCs w:val="21"/>
                      <w:u w:val="none"/>
                      <w:lang w:val="en-US" w:eastAsia="zh-CN" w:bidi="ar"/>
                    </w:rPr>
                    <w:t>人</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FAF5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r>
            <w:tr w14:paraId="1369E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497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声环境</w:t>
                  </w:r>
                </w:p>
              </w:tc>
              <w:tc>
                <w:tcPr>
                  <w:tcW w:w="4586"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22A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项目周边50m范围内无声环境关心点</w:t>
                  </w:r>
                </w:p>
              </w:tc>
            </w:tr>
            <w:tr w14:paraId="34507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D1D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地表水环境</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81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清水河</w:t>
                  </w:r>
                </w:p>
              </w:tc>
              <w:tc>
                <w:tcPr>
                  <w:tcW w:w="339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E6546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i w:val="0"/>
                      <w:iCs w:val="0"/>
                      <w:color w:val="auto"/>
                      <w:sz w:val="21"/>
                      <w:szCs w:val="21"/>
                      <w:u w:val="none"/>
                    </w:rPr>
                  </w:pPr>
                  <w:r>
                    <w:rPr>
                      <w:rFonts w:hint="eastAsia" w:ascii="Times New Roman" w:hAnsi="Times New Roman" w:cs="Times New Roman"/>
                      <w:color w:val="auto"/>
                      <w:sz w:val="21"/>
                      <w:szCs w:val="22"/>
                      <w:highlight w:val="none"/>
                      <w:lang w:val="en-US" w:eastAsia="zh-CN"/>
                    </w:rPr>
                    <w:t>位于项目南面，由西向东径流过项目区，下游汇入螳螂川，本项目与清水河最近距离为2.2km。</w:t>
                  </w:r>
                </w:p>
              </w:tc>
              <w:tc>
                <w:tcPr>
                  <w:tcW w:w="719" w:type="pct"/>
                  <w:vMerge w:val="restart"/>
                  <w:tcBorders>
                    <w:top w:val="single" w:color="000000" w:sz="4" w:space="0"/>
                    <w:left w:val="single" w:color="000000" w:sz="4" w:space="0"/>
                    <w:right w:val="single" w:color="000000" w:sz="4" w:space="0"/>
                  </w:tcBorders>
                  <w:shd w:val="clear" w:color="auto" w:fill="auto"/>
                  <w:vAlign w:val="center"/>
                </w:tcPr>
                <w:p w14:paraId="2C3168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《地表水环境质量标准》（</w:t>
                  </w:r>
                  <w:r>
                    <w:rPr>
                      <w:rFonts w:hint="default" w:ascii="Times New Roman" w:hAnsi="Times New Roman" w:eastAsia="宋体" w:cs="Times New Roman"/>
                      <w:i w:val="0"/>
                      <w:iCs w:val="0"/>
                      <w:color w:val="auto"/>
                      <w:kern w:val="0"/>
                      <w:sz w:val="21"/>
                      <w:szCs w:val="21"/>
                      <w:u w:val="none"/>
                      <w:lang w:val="en-US" w:eastAsia="zh-CN" w:bidi="ar"/>
                    </w:rPr>
                    <w:t>GB3838- 2002</w:t>
                  </w:r>
                  <w:r>
                    <w:rPr>
                      <w:rFonts w:hint="eastAsia" w:ascii="宋体" w:hAnsi="宋体" w:eastAsia="宋体" w:cs="宋体"/>
                      <w:i w:val="0"/>
                      <w:iCs w:val="0"/>
                      <w:color w:val="auto"/>
                      <w:kern w:val="0"/>
                      <w:sz w:val="21"/>
                      <w:szCs w:val="21"/>
                      <w:u w:val="none"/>
                      <w:lang w:val="en-US" w:eastAsia="zh-CN" w:bidi="ar"/>
                    </w:rPr>
                    <w:t>）Ⅳ类标准</w:t>
                  </w:r>
                </w:p>
              </w:tc>
            </w:tr>
            <w:tr w14:paraId="3DD72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DD9C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848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螳螂川</w:t>
                  </w:r>
                </w:p>
              </w:tc>
              <w:tc>
                <w:tcPr>
                  <w:tcW w:w="339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66BE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i w:val="0"/>
                      <w:iCs w:val="0"/>
                      <w:color w:val="auto"/>
                      <w:sz w:val="21"/>
                      <w:szCs w:val="21"/>
                      <w:u w:val="none"/>
                    </w:rPr>
                  </w:pPr>
                  <w:r>
                    <w:rPr>
                      <w:rFonts w:hint="eastAsia" w:ascii="Times New Roman" w:hAnsi="Times New Roman" w:cs="Times New Roman"/>
                      <w:color w:val="auto"/>
                      <w:sz w:val="21"/>
                      <w:szCs w:val="22"/>
                      <w:highlight w:val="none"/>
                      <w:lang w:val="en-US" w:eastAsia="zh-CN"/>
                    </w:rPr>
                    <w:t>位于项目</w:t>
                  </w:r>
                  <w:r>
                    <w:rPr>
                      <w:rFonts w:hint="default" w:ascii="Times New Roman" w:hAnsi="Times New Roman" w:cs="Times New Roman"/>
                      <w:color w:val="auto"/>
                      <w:sz w:val="21"/>
                      <w:szCs w:val="22"/>
                      <w:highlight w:val="none"/>
                      <w:lang w:val="en-US" w:eastAsia="zh-CN"/>
                    </w:rPr>
                    <w:t>东</w:t>
                  </w:r>
                  <w:r>
                    <w:rPr>
                      <w:rFonts w:hint="eastAsia" w:ascii="Times New Roman" w:hAnsi="Times New Roman" w:cs="Times New Roman"/>
                      <w:color w:val="auto"/>
                      <w:sz w:val="21"/>
                      <w:szCs w:val="22"/>
                      <w:highlight w:val="none"/>
                      <w:lang w:val="en-US" w:eastAsia="zh-CN"/>
                    </w:rPr>
                    <w:t>面，由南向北径流过项目区，本项目与螳螂川最近距离为1.3km。</w:t>
                  </w:r>
                </w:p>
              </w:tc>
              <w:tc>
                <w:tcPr>
                  <w:tcW w:w="719" w:type="pct"/>
                  <w:vMerge w:val="continue"/>
                  <w:tcBorders>
                    <w:left w:val="single" w:color="000000" w:sz="4" w:space="0"/>
                    <w:bottom w:val="single" w:color="000000" w:sz="4" w:space="0"/>
                    <w:right w:val="single" w:color="000000" w:sz="4" w:space="0"/>
                  </w:tcBorders>
                  <w:shd w:val="clear" w:color="auto" w:fill="auto"/>
                  <w:vAlign w:val="center"/>
                </w:tcPr>
                <w:p w14:paraId="69CE2DC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r>
            <w:tr w14:paraId="16590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F7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生态环境</w:t>
                  </w:r>
                </w:p>
              </w:tc>
              <w:tc>
                <w:tcPr>
                  <w:tcW w:w="38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D4CA5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color w:val="auto"/>
                      <w:sz w:val="21"/>
                      <w:szCs w:val="21"/>
                      <w:highlight w:val="none"/>
                      <w:lang w:val="en-US" w:eastAsia="zh-CN"/>
                    </w:rPr>
                    <w:t>项目位于富民</w:t>
                  </w:r>
                  <w:r>
                    <w:rPr>
                      <w:rFonts w:hint="default" w:ascii="Times New Roman" w:hAnsi="Times New Roman" w:cs="Times New Roman"/>
                      <w:color w:val="auto"/>
                      <w:sz w:val="21"/>
                      <w:szCs w:val="21"/>
                      <w:highlight w:val="none"/>
                      <w:lang w:val="en-US" w:eastAsia="zh-CN"/>
                    </w:rPr>
                    <w:t>工业园区</w:t>
                  </w:r>
                  <w:r>
                    <w:rPr>
                      <w:rFonts w:hint="eastAsia" w:ascii="Times New Roman" w:hAnsi="Times New Roman" w:eastAsia="宋体" w:cs="Times New Roman"/>
                      <w:color w:val="auto"/>
                      <w:sz w:val="21"/>
                      <w:szCs w:val="21"/>
                      <w:highlight w:val="none"/>
                      <w:lang w:val="en-US" w:eastAsia="zh-CN"/>
                    </w:rPr>
                    <w:t>白石岩—大白坡片区</w:t>
                  </w:r>
                  <w:r>
                    <w:rPr>
                      <w:rFonts w:hint="eastAsia" w:cs="Times New Roman"/>
                      <w:color w:val="auto"/>
                      <w:sz w:val="21"/>
                      <w:szCs w:val="21"/>
                      <w:highlight w:val="none"/>
                      <w:lang w:val="en-US" w:eastAsia="zh-CN"/>
                    </w:rPr>
                    <w:t>哨箐</w:t>
                  </w:r>
                  <w:r>
                    <w:rPr>
                      <w:rFonts w:hint="eastAsia" w:ascii="Times New Roman" w:hAnsi="Times New Roman" w:eastAsia="宋体" w:cs="Times New Roman"/>
                      <w:color w:val="auto"/>
                      <w:sz w:val="21"/>
                      <w:szCs w:val="21"/>
                      <w:highlight w:val="none"/>
                      <w:lang w:val="en-US" w:eastAsia="zh-CN"/>
                    </w:rPr>
                    <w:t>组团</w:t>
                  </w:r>
                  <w:r>
                    <w:rPr>
                      <w:rFonts w:hint="eastAsia" w:ascii="Times New Roman" w:hAnsi="Times New Roman" w:cs="Times New Roman"/>
                      <w:color w:val="auto"/>
                      <w:sz w:val="21"/>
                      <w:szCs w:val="21"/>
                      <w:highlight w:val="none"/>
                      <w:lang w:val="en-US" w:eastAsia="zh-CN"/>
                    </w:rPr>
                    <w:t>内</w:t>
                  </w:r>
                  <w:r>
                    <w:rPr>
                      <w:rFonts w:hint="default" w:ascii="Times New Roman" w:hAnsi="Times New Roman" w:cs="Times New Roman"/>
                      <w:color w:val="auto"/>
                      <w:sz w:val="21"/>
                      <w:szCs w:val="21"/>
                      <w:highlight w:val="none"/>
                    </w:rPr>
                    <w:t>，无生态环境保护目标</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93C8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20661C45">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Cs w:val="21"/>
              </w:rPr>
            </w:pPr>
          </w:p>
        </w:tc>
      </w:tr>
      <w:tr w14:paraId="6C557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14:paraId="3A6D91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w:t>
            </w:r>
          </w:p>
          <w:p w14:paraId="7B03A7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物排</w:t>
            </w:r>
          </w:p>
          <w:p w14:paraId="2C4766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放控</w:t>
            </w:r>
          </w:p>
          <w:p w14:paraId="3D074B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制标</w:t>
            </w:r>
          </w:p>
          <w:p w14:paraId="12B360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szCs w:val="24"/>
              </w:rPr>
              <w:t>准</w:t>
            </w:r>
          </w:p>
        </w:tc>
        <w:tc>
          <w:tcPr>
            <w:tcW w:w="8190" w:type="dxa"/>
            <w:noWrap w:val="0"/>
            <w:vAlign w:val="center"/>
          </w:tcPr>
          <w:p w14:paraId="11692D54">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一、大气污染物排放标准</w:t>
            </w:r>
          </w:p>
          <w:p w14:paraId="66D4D1A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（1）施工期</w:t>
            </w:r>
          </w:p>
          <w:p w14:paraId="7DB9504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扬尘执行《大气污染物综合排放标准》（GB16297-1996）表2中的无组织排放监控浓度限值。污染物排放标准见表3-</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w:t>
            </w:r>
          </w:p>
          <w:p w14:paraId="45DF48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颗粒物大气污染物排放浓度限值</w:t>
            </w:r>
          </w:p>
          <w:tbl>
            <w:tblPr>
              <w:tblStyle w:val="28"/>
              <w:tblW w:w="83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51"/>
              <w:gridCol w:w="2751"/>
              <w:gridCol w:w="2824"/>
            </w:tblGrid>
            <w:tr w14:paraId="7D40B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2751" w:type="dxa"/>
                  <w:vMerge w:val="restart"/>
                  <w:vAlign w:val="center"/>
                </w:tcPr>
                <w:p w14:paraId="4448BE56">
                  <w:pPr>
                    <w:keepNext w:val="0"/>
                    <w:keepLines w:val="0"/>
                    <w:suppressLineNumbers w:val="0"/>
                    <w:adjustRightInd w:val="0"/>
                    <w:snapToGrid w:val="0"/>
                    <w:spacing w:before="0" w:beforeAutospacing="0" w:after="0" w:afterAutospacing="0" w:line="320" w:lineRule="exact"/>
                    <w:ind w:left="0" w:right="0" w:firstLine="422" w:firstLineChars="20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污染物</w:t>
                  </w:r>
                </w:p>
              </w:tc>
              <w:tc>
                <w:tcPr>
                  <w:tcW w:w="5575" w:type="dxa"/>
                  <w:gridSpan w:val="2"/>
                  <w:vAlign w:val="center"/>
                </w:tcPr>
                <w:p w14:paraId="481F8116">
                  <w:pPr>
                    <w:keepNext w:val="0"/>
                    <w:keepLines w:val="0"/>
                    <w:suppressLineNumbers w:val="0"/>
                    <w:adjustRightInd w:val="0"/>
                    <w:snapToGrid w:val="0"/>
                    <w:spacing w:before="0" w:beforeAutospacing="0" w:after="0" w:afterAutospacing="0" w:line="320" w:lineRule="exact"/>
                    <w:ind w:left="0" w:right="0" w:firstLine="422" w:firstLineChars="20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无组织排放浓度监控限值</w:t>
                  </w:r>
                </w:p>
              </w:tc>
            </w:tr>
            <w:tr w14:paraId="545D4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751" w:type="dxa"/>
                  <w:vMerge w:val="continue"/>
                  <w:vAlign w:val="center"/>
                </w:tcPr>
                <w:p w14:paraId="49007B0B">
                  <w:pPr>
                    <w:keepNext w:val="0"/>
                    <w:keepLines w:val="0"/>
                    <w:suppressLineNumbers w:val="0"/>
                    <w:adjustRightInd w:val="0"/>
                    <w:snapToGrid w:val="0"/>
                    <w:spacing w:before="0" w:beforeAutospacing="0" w:after="0" w:afterAutospacing="0" w:line="320" w:lineRule="exact"/>
                    <w:ind w:left="0" w:right="0" w:firstLine="422" w:firstLineChars="200"/>
                    <w:jc w:val="center"/>
                    <w:rPr>
                      <w:rFonts w:hint="default" w:ascii="Times New Roman" w:hAnsi="Times New Roman" w:eastAsia="宋体" w:cs="Times New Roman"/>
                      <w:b/>
                      <w:bCs w:val="0"/>
                      <w:color w:val="auto"/>
                      <w:szCs w:val="21"/>
                    </w:rPr>
                  </w:pPr>
                </w:p>
              </w:tc>
              <w:tc>
                <w:tcPr>
                  <w:tcW w:w="2751" w:type="dxa"/>
                  <w:vAlign w:val="center"/>
                </w:tcPr>
                <w:p w14:paraId="3852F2A0">
                  <w:pPr>
                    <w:keepNext w:val="0"/>
                    <w:keepLines w:val="0"/>
                    <w:suppressLineNumbers w:val="0"/>
                    <w:adjustRightInd w:val="0"/>
                    <w:snapToGrid w:val="0"/>
                    <w:spacing w:before="0" w:beforeAutospacing="0" w:after="0" w:afterAutospacing="0" w:line="320" w:lineRule="exact"/>
                    <w:ind w:left="0" w:right="0" w:firstLine="422" w:firstLineChars="20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监控点</w:t>
                  </w:r>
                </w:p>
              </w:tc>
              <w:tc>
                <w:tcPr>
                  <w:tcW w:w="2824" w:type="dxa"/>
                  <w:vAlign w:val="center"/>
                </w:tcPr>
                <w:p w14:paraId="1150EC5E">
                  <w:pPr>
                    <w:keepNext w:val="0"/>
                    <w:keepLines w:val="0"/>
                    <w:suppressLineNumbers w:val="0"/>
                    <w:adjustRightInd w:val="0"/>
                    <w:snapToGrid w:val="0"/>
                    <w:spacing w:before="0" w:beforeAutospacing="0" w:after="0" w:afterAutospacing="0" w:line="320" w:lineRule="exact"/>
                    <w:ind w:left="0" w:right="0" w:firstLine="422" w:firstLineChars="20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浓度限值（mg/m</w:t>
                  </w:r>
                  <w:r>
                    <w:rPr>
                      <w:rFonts w:hint="default" w:ascii="Times New Roman" w:hAnsi="Times New Roman" w:eastAsia="宋体" w:cs="Times New Roman"/>
                      <w:b/>
                      <w:bCs w:val="0"/>
                      <w:color w:val="auto"/>
                      <w:szCs w:val="21"/>
                      <w:vertAlign w:val="superscript"/>
                    </w:rPr>
                    <w:t>3</w:t>
                  </w:r>
                  <w:r>
                    <w:rPr>
                      <w:rFonts w:hint="default" w:ascii="Times New Roman" w:hAnsi="Times New Roman" w:eastAsia="宋体" w:cs="Times New Roman"/>
                      <w:b/>
                      <w:bCs w:val="0"/>
                      <w:color w:val="auto"/>
                      <w:szCs w:val="21"/>
                    </w:rPr>
                    <w:t>）</w:t>
                  </w:r>
                </w:p>
              </w:tc>
            </w:tr>
            <w:tr w14:paraId="51A36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2751" w:type="dxa"/>
                  <w:vAlign w:val="center"/>
                </w:tcPr>
                <w:p w14:paraId="6BFF5CE5">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2751" w:type="dxa"/>
                  <w:vAlign w:val="center"/>
                </w:tcPr>
                <w:p w14:paraId="53CF09E9">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周界外浓度最高点</w:t>
                  </w:r>
                </w:p>
              </w:tc>
              <w:tc>
                <w:tcPr>
                  <w:tcW w:w="2824" w:type="dxa"/>
                  <w:vAlign w:val="center"/>
                </w:tcPr>
                <w:p w14:paraId="1B1B96CE">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bl>
          <w:p w14:paraId="36EA237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（2）运营期</w:t>
            </w:r>
          </w:p>
          <w:p w14:paraId="606152CD">
            <w:pPr>
              <w:keepNext w:val="0"/>
              <w:keepLines w:val="0"/>
              <w:suppressLineNumbers w:val="0"/>
              <w:kinsoku/>
              <w:wordWrap/>
              <w:topLinePunct w:val="0"/>
              <w:bidi w:val="0"/>
              <w:snapToGrid/>
              <w:spacing w:before="0" w:beforeAutospacing="0" w:after="0" w:afterAutospacing="0" w:line="360" w:lineRule="auto"/>
              <w:ind w:left="0" w:right="0" w:firstLine="480" w:firstLineChars="200"/>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项目运营期涂料生产产生的粉尘</w:t>
            </w:r>
            <w:r>
              <w:rPr>
                <w:rFonts w:hint="eastAsia"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排放执行《涂料、油墨、胶粘剂工业大气污染物排放标准》（GB37824-2019）表1中允许排放浓度限值</w:t>
            </w:r>
            <w:r>
              <w:rPr>
                <w:rFonts w:hint="eastAsia" w:ascii="Times New Roman" w:hAnsi="Times New Roman" w:eastAsia="宋体" w:cs="Times New Roman"/>
                <w:color w:val="auto"/>
                <w:sz w:val="24"/>
                <w:szCs w:val="24"/>
                <w:lang w:val="en-US" w:eastAsia="zh-CN"/>
              </w:rPr>
              <w:t>，</w:t>
            </w:r>
          </w:p>
          <w:p w14:paraId="10E7C24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表3-</w:t>
            </w:r>
            <w:r>
              <w:rPr>
                <w:rFonts w:hint="eastAsia" w:cs="Times New Roman"/>
                <w:b/>
                <w:bCs/>
                <w:color w:val="auto"/>
                <w:lang w:val="en-US" w:eastAsia="zh-CN"/>
              </w:rPr>
              <w:t>7</w:t>
            </w:r>
            <w:r>
              <w:rPr>
                <w:rFonts w:hint="default" w:ascii="Times New Roman" w:hAnsi="Times New Roman" w:eastAsia="宋体" w:cs="Times New Roman"/>
                <w:b/>
                <w:bCs/>
                <w:color w:val="auto"/>
                <w:lang w:val="en-US" w:eastAsia="zh-CN"/>
              </w:rPr>
              <w:t xml:space="preserve">  《涂料、油墨、胶粘剂工业大气污染物排放标准》（GB37824-2019）</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2031"/>
              <w:gridCol w:w="2048"/>
              <w:gridCol w:w="1682"/>
              <w:gridCol w:w="1682"/>
            </w:tblGrid>
            <w:tr w14:paraId="0F4F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noWrap w:val="0"/>
                  <w:vAlign w:val="center"/>
                </w:tcPr>
                <w:p w14:paraId="26D6EE5E">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污染物项目</w:t>
                  </w:r>
                </w:p>
              </w:tc>
              <w:tc>
                <w:tcPr>
                  <w:tcW w:w="1208" w:type="pct"/>
                  <w:noWrap w:val="0"/>
                  <w:vAlign w:val="center"/>
                </w:tcPr>
                <w:p w14:paraId="53F9C76F">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涂料制造、油墨及类似产品制造(mg/m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c>
              <w:tc>
                <w:tcPr>
                  <w:tcW w:w="1218" w:type="pct"/>
                  <w:noWrap w:val="0"/>
                  <w:vAlign w:val="center"/>
                </w:tcPr>
                <w:p w14:paraId="15F930DD">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排放监控位置</w:t>
                  </w:r>
                </w:p>
              </w:tc>
              <w:tc>
                <w:tcPr>
                  <w:tcW w:w="1000" w:type="pct"/>
                  <w:noWrap w:val="0"/>
                  <w:vAlign w:val="center"/>
                </w:tcPr>
                <w:p w14:paraId="1016949E">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排气筒高度</w:t>
                  </w:r>
                </w:p>
              </w:tc>
              <w:tc>
                <w:tcPr>
                  <w:tcW w:w="1000" w:type="pct"/>
                  <w:noWrap w:val="0"/>
                  <w:vAlign w:val="center"/>
                </w:tcPr>
                <w:p w14:paraId="20BD9D56">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Cs w:val="21"/>
                      <w:lang w:eastAsia="zh-CN"/>
                    </w:rPr>
                  </w:pPr>
                  <w:r>
                    <w:rPr>
                      <w:rFonts w:hint="eastAsia" w:cs="Times New Roman"/>
                      <w:b/>
                      <w:bCs/>
                      <w:color w:val="auto"/>
                      <w:szCs w:val="21"/>
                      <w:lang w:eastAsia="zh-CN"/>
                    </w:rPr>
                    <w:t>无组织排放限值</w:t>
                  </w:r>
                </w:p>
              </w:tc>
            </w:tr>
            <w:tr w14:paraId="5CD2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noWrap w:val="0"/>
                  <w:vAlign w:val="center"/>
                </w:tcPr>
                <w:p w14:paraId="71007F61">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非甲烷总烃</w:t>
                  </w:r>
                </w:p>
              </w:tc>
              <w:tc>
                <w:tcPr>
                  <w:tcW w:w="1208" w:type="pct"/>
                  <w:noWrap w:val="0"/>
                  <w:vAlign w:val="center"/>
                </w:tcPr>
                <w:p w14:paraId="6D8BEE1A">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120</w:t>
                  </w:r>
                </w:p>
              </w:tc>
              <w:tc>
                <w:tcPr>
                  <w:tcW w:w="1218" w:type="pct"/>
                  <w:vMerge w:val="restart"/>
                  <w:noWrap w:val="0"/>
                  <w:vAlign w:val="center"/>
                </w:tcPr>
                <w:p w14:paraId="5AD6A942">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车间或生产设施</w:t>
                  </w:r>
                </w:p>
                <w:p w14:paraId="2A8C7CBA">
                  <w:pPr>
                    <w:pStyle w:val="37"/>
                    <w:keepNext w:val="0"/>
                    <w:keepLines w:val="0"/>
                    <w:pageBreakBefore w:val="0"/>
                    <w:widowControl w:val="0"/>
                    <w:suppressLineNumbers w:val="0"/>
                    <w:wordWrap/>
                    <w:topLinePunct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排气筒</w:t>
                  </w:r>
                </w:p>
              </w:tc>
              <w:tc>
                <w:tcPr>
                  <w:tcW w:w="1000" w:type="pct"/>
                  <w:noWrap w:val="0"/>
                  <w:vAlign w:val="center"/>
                </w:tcPr>
                <w:p w14:paraId="5CDD1971">
                  <w:pPr>
                    <w:pStyle w:val="37"/>
                    <w:keepNext w:val="0"/>
                    <w:keepLines w:val="0"/>
                    <w:pageBreakBefore w:val="0"/>
                    <w:widowControl w:val="0"/>
                    <w:suppressLineNumbers w:val="0"/>
                    <w:wordWrap/>
                    <w:topLinePunct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15m</w:t>
                  </w:r>
                  <w:r>
                    <w:rPr>
                      <w:rFonts w:hint="eastAsia" w:hAnsi="Times New Roman" w:cs="Times New Roman"/>
                      <w:color w:val="auto"/>
                      <w:szCs w:val="21"/>
                      <w:lang w:eastAsia="zh-CN"/>
                    </w:rPr>
                    <w:t>高的排气筒</w:t>
                  </w:r>
                </w:p>
              </w:tc>
              <w:tc>
                <w:tcPr>
                  <w:tcW w:w="1000" w:type="pct"/>
                  <w:noWrap w:val="0"/>
                  <w:vAlign w:val="center"/>
                </w:tcPr>
                <w:p w14:paraId="45CFBD87">
                  <w:pPr>
                    <w:pStyle w:val="37"/>
                    <w:keepNext w:val="0"/>
                    <w:keepLines w:val="0"/>
                    <w:pageBreakBefore w:val="0"/>
                    <w:widowControl w:val="0"/>
                    <w:suppressLineNumbers w:val="0"/>
                    <w:wordWrap/>
                    <w:topLinePunct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4.0</w:t>
                  </w:r>
                </w:p>
              </w:tc>
            </w:tr>
            <w:tr w14:paraId="6D5D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noWrap w:val="0"/>
                  <w:vAlign w:val="center"/>
                </w:tcPr>
                <w:p w14:paraId="3D7BCDF5">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粉尘</w:t>
                  </w:r>
                </w:p>
              </w:tc>
              <w:tc>
                <w:tcPr>
                  <w:tcW w:w="1208" w:type="pct"/>
                  <w:noWrap w:val="0"/>
                  <w:vAlign w:val="center"/>
                </w:tcPr>
                <w:p w14:paraId="3CB74122">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1218" w:type="pct"/>
                  <w:vMerge w:val="continue"/>
                  <w:noWrap w:val="0"/>
                  <w:vAlign w:val="center"/>
                </w:tcPr>
                <w:p w14:paraId="25A6B639">
                  <w:pPr>
                    <w:pStyle w:val="37"/>
                    <w:keepNext w:val="0"/>
                    <w:keepLines w:val="0"/>
                    <w:pageBreakBefore w:val="0"/>
                    <w:widowControl w:val="0"/>
                    <w:suppressLineNumbers w:val="0"/>
                    <w:wordWrap/>
                    <w:topLinePunct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rPr>
                  </w:pPr>
                </w:p>
              </w:tc>
              <w:tc>
                <w:tcPr>
                  <w:tcW w:w="1000" w:type="pct"/>
                  <w:noWrap w:val="0"/>
                  <w:vAlign w:val="center"/>
                </w:tcPr>
                <w:p w14:paraId="66A2C625">
                  <w:pPr>
                    <w:pStyle w:val="37"/>
                    <w:keepNext w:val="0"/>
                    <w:keepLines w:val="0"/>
                    <w:pageBreakBefore w:val="0"/>
                    <w:widowControl w:val="0"/>
                    <w:suppressLineNumbers w:val="0"/>
                    <w:wordWrap/>
                    <w:topLinePunct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15m</w:t>
                  </w:r>
                  <w:r>
                    <w:rPr>
                      <w:rFonts w:hint="eastAsia" w:hAnsi="Times New Roman" w:cs="Times New Roman"/>
                      <w:color w:val="auto"/>
                      <w:szCs w:val="21"/>
                      <w:lang w:eastAsia="zh-CN"/>
                    </w:rPr>
                    <w:t>高的排气筒</w:t>
                  </w:r>
                </w:p>
              </w:tc>
              <w:tc>
                <w:tcPr>
                  <w:tcW w:w="1000" w:type="pct"/>
                  <w:noWrap w:val="0"/>
                  <w:vAlign w:val="center"/>
                </w:tcPr>
                <w:p w14:paraId="7AAF3598">
                  <w:pPr>
                    <w:pStyle w:val="37"/>
                    <w:keepNext w:val="0"/>
                    <w:keepLines w:val="0"/>
                    <w:pageBreakBefore w:val="0"/>
                    <w:widowControl w:val="0"/>
                    <w:suppressLineNumbers w:val="0"/>
                    <w:wordWrap/>
                    <w:topLinePunct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1.0</w:t>
                  </w:r>
                </w:p>
              </w:tc>
            </w:tr>
          </w:tbl>
          <w:p w14:paraId="2AE2368B">
            <w:pPr>
              <w:keepNext w:val="0"/>
              <w:keepLines w:val="0"/>
              <w:suppressLineNumbers w:val="0"/>
              <w:kinsoku/>
              <w:wordWrap/>
              <w:topLinePunct w:val="0"/>
              <w:bidi w:val="0"/>
              <w:snapToGrid/>
              <w:spacing w:before="0" w:beforeAutospacing="0" w:after="0" w:afterAutospacing="0" w:line="360" w:lineRule="auto"/>
              <w:ind w:left="0" w:right="0" w:firstLine="480" w:firstLineChars="200"/>
              <w:outlineLvl w:val="9"/>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②</w:t>
            </w:r>
            <w:r>
              <w:rPr>
                <w:rFonts w:hint="default" w:ascii="Times New Roman" w:hAnsi="Times New Roman" w:cs="Times New Roman"/>
                <w:color w:val="auto"/>
                <w:sz w:val="24"/>
                <w:szCs w:val="24"/>
              </w:rPr>
              <w:t>厂区内</w:t>
            </w:r>
            <w:r>
              <w:rPr>
                <w:rFonts w:hint="eastAsia" w:cs="Times New Roman"/>
                <w:color w:val="auto"/>
                <w:sz w:val="24"/>
                <w:szCs w:val="24"/>
                <w:lang w:val="en-US" w:eastAsia="zh-CN"/>
              </w:rPr>
              <w:t>挥发性有机废气</w:t>
            </w:r>
            <w:r>
              <w:rPr>
                <w:rFonts w:hint="default" w:ascii="Times New Roman" w:hAnsi="Times New Roman" w:cs="Times New Roman"/>
                <w:color w:val="auto"/>
                <w:sz w:val="24"/>
                <w:szCs w:val="24"/>
              </w:rPr>
              <w:t>排放执行</w:t>
            </w:r>
            <w:r>
              <w:rPr>
                <w:rFonts w:hint="default" w:ascii="Times New Roman" w:hAnsi="Times New Roman" w:cs="Times New Roman"/>
                <w:color w:val="auto"/>
                <w:sz w:val="24"/>
                <w:szCs w:val="24"/>
                <w:lang w:val="en-US" w:eastAsia="zh-CN"/>
              </w:rPr>
              <w:t>《涂料、油墨、胶粘剂工业大气污染物排放标准》（GB37824-2019）表B.1厂区内VOCs无组织排放限值</w:t>
            </w:r>
            <w:r>
              <w:rPr>
                <w:rFonts w:hint="eastAsia" w:cs="Times New Roman"/>
                <w:color w:val="auto"/>
                <w:sz w:val="24"/>
                <w:szCs w:val="24"/>
                <w:lang w:val="en-US" w:eastAsia="zh-CN"/>
              </w:rPr>
              <w:t>。</w:t>
            </w:r>
          </w:p>
          <w:p w14:paraId="1B09C8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w:t>
            </w:r>
            <w:r>
              <w:rPr>
                <w:rFonts w:hint="eastAsia" w:cs="Times New Roman"/>
                <w:b/>
                <w:bCs/>
                <w:color w:val="auto"/>
                <w:szCs w:val="21"/>
                <w:lang w:val="en-US" w:eastAsia="zh-CN"/>
              </w:rPr>
              <w:t>8</w:t>
            </w:r>
            <w:r>
              <w:rPr>
                <w:rFonts w:hint="default" w:ascii="Times New Roman" w:hAnsi="Times New Roman" w:eastAsia="宋体" w:cs="Times New Roman"/>
                <w:b/>
                <w:bCs/>
                <w:color w:val="auto"/>
                <w:szCs w:val="21"/>
              </w:rPr>
              <w:t xml:space="preserve">  厂区内VOCs无组织排放限值</w:t>
            </w:r>
          </w:p>
          <w:tbl>
            <w:tblPr>
              <w:tblStyle w:val="28"/>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1352"/>
              <w:gridCol w:w="1367"/>
              <w:gridCol w:w="2569"/>
              <w:gridCol w:w="2009"/>
            </w:tblGrid>
            <w:tr w14:paraId="0254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21" w:type="dxa"/>
                  <w:vAlign w:val="center"/>
                </w:tcPr>
                <w:p w14:paraId="5EACC3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污染物项目</w:t>
                  </w:r>
                </w:p>
              </w:tc>
              <w:tc>
                <w:tcPr>
                  <w:tcW w:w="1352" w:type="dxa"/>
                  <w:vAlign w:val="center"/>
                </w:tcPr>
                <w:p w14:paraId="7AADBC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vertAlign w:val="superscript"/>
                    </w:rPr>
                  </w:pPr>
                  <w:r>
                    <w:rPr>
                      <w:rFonts w:hint="default" w:ascii="Times New Roman" w:hAnsi="Times New Roman" w:eastAsia="宋体" w:cs="Times New Roman"/>
                      <w:b/>
                      <w:bCs/>
                      <w:color w:val="auto"/>
                    </w:rPr>
                    <w:t>排放限值mg/m</w:t>
                  </w:r>
                  <w:r>
                    <w:rPr>
                      <w:rFonts w:hint="default" w:ascii="Times New Roman" w:hAnsi="Times New Roman" w:eastAsia="宋体" w:cs="Times New Roman"/>
                      <w:b/>
                      <w:bCs/>
                      <w:color w:val="auto"/>
                      <w:vertAlign w:val="superscript"/>
                    </w:rPr>
                    <w:t>3</w:t>
                  </w:r>
                </w:p>
              </w:tc>
              <w:tc>
                <w:tcPr>
                  <w:tcW w:w="1367" w:type="dxa"/>
                  <w:vAlign w:val="center"/>
                </w:tcPr>
                <w:p w14:paraId="1B30EC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特别排放限值</w:t>
                  </w:r>
                  <w:r>
                    <w:rPr>
                      <w:rFonts w:hint="default" w:ascii="Times New Roman" w:hAnsi="Times New Roman" w:eastAsia="宋体" w:cs="Times New Roman"/>
                      <w:b/>
                      <w:bCs/>
                      <w:color w:val="auto"/>
                    </w:rPr>
                    <w:t>mg/m</w:t>
                  </w:r>
                  <w:r>
                    <w:rPr>
                      <w:rFonts w:hint="default" w:ascii="Times New Roman" w:hAnsi="Times New Roman" w:eastAsia="宋体" w:cs="Times New Roman"/>
                      <w:b/>
                      <w:bCs/>
                      <w:color w:val="auto"/>
                      <w:vertAlign w:val="superscript"/>
                    </w:rPr>
                    <w:t>3</w:t>
                  </w:r>
                </w:p>
              </w:tc>
              <w:tc>
                <w:tcPr>
                  <w:tcW w:w="2569" w:type="dxa"/>
                  <w:vAlign w:val="center"/>
                </w:tcPr>
                <w:p w14:paraId="207ABE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限值含义</w:t>
                  </w:r>
                </w:p>
              </w:tc>
              <w:tc>
                <w:tcPr>
                  <w:tcW w:w="2009" w:type="dxa"/>
                  <w:vAlign w:val="center"/>
                </w:tcPr>
                <w:p w14:paraId="248B18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无组织排放监控位置</w:t>
                  </w:r>
                </w:p>
              </w:tc>
            </w:tr>
            <w:tr w14:paraId="25E6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221" w:type="dxa"/>
                  <w:vMerge w:val="restart"/>
                  <w:vAlign w:val="center"/>
                </w:tcPr>
                <w:p w14:paraId="2BD8E9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NMHC</w:t>
                  </w:r>
                </w:p>
              </w:tc>
              <w:tc>
                <w:tcPr>
                  <w:tcW w:w="1352" w:type="dxa"/>
                  <w:vAlign w:val="center"/>
                </w:tcPr>
                <w:p w14:paraId="15600A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367" w:type="dxa"/>
                  <w:vAlign w:val="center"/>
                </w:tcPr>
                <w:p w14:paraId="4A2BB3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2569" w:type="dxa"/>
                  <w:vAlign w:val="center"/>
                </w:tcPr>
                <w:p w14:paraId="47FFB3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监控点处1h平均浓度值</w:t>
                  </w:r>
                </w:p>
              </w:tc>
              <w:tc>
                <w:tcPr>
                  <w:tcW w:w="2009" w:type="dxa"/>
                  <w:vMerge w:val="restart"/>
                  <w:vAlign w:val="center"/>
                </w:tcPr>
                <w:p w14:paraId="4D001B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在厂房外设置监控点</w:t>
                  </w:r>
                </w:p>
              </w:tc>
            </w:tr>
            <w:tr w14:paraId="4E54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21" w:type="dxa"/>
                  <w:vMerge w:val="continue"/>
                  <w:vAlign w:val="center"/>
                </w:tcPr>
                <w:p w14:paraId="05155EA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rPr>
                  </w:pPr>
                </w:p>
              </w:tc>
              <w:tc>
                <w:tcPr>
                  <w:tcW w:w="1352" w:type="dxa"/>
                  <w:vAlign w:val="center"/>
                </w:tcPr>
                <w:p w14:paraId="06D4BF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30</w:t>
                  </w:r>
                </w:p>
              </w:tc>
              <w:tc>
                <w:tcPr>
                  <w:tcW w:w="1367" w:type="dxa"/>
                  <w:vAlign w:val="center"/>
                </w:tcPr>
                <w:p w14:paraId="676FC7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2569" w:type="dxa"/>
                  <w:vAlign w:val="center"/>
                </w:tcPr>
                <w:p w14:paraId="2AA189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监控点处任意一次浓度值</w:t>
                  </w:r>
                </w:p>
              </w:tc>
              <w:tc>
                <w:tcPr>
                  <w:tcW w:w="2009" w:type="dxa"/>
                  <w:vMerge w:val="continue"/>
                  <w:vAlign w:val="center"/>
                </w:tcPr>
                <w:p w14:paraId="1A90DBDC">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rPr>
                  </w:pPr>
                </w:p>
              </w:tc>
            </w:tr>
          </w:tbl>
          <w:p w14:paraId="217A07EE">
            <w:pPr>
              <w:keepNext w:val="0"/>
              <w:keepLines w:val="0"/>
              <w:suppressLineNumbers w:val="0"/>
              <w:kinsoku/>
              <w:wordWrap/>
              <w:topLinePunct w:val="0"/>
              <w:bidi w:val="0"/>
              <w:snapToGrid/>
              <w:spacing w:before="0" w:beforeAutospacing="0" w:after="0" w:afterAutospacing="0" w:line="360" w:lineRule="auto"/>
              <w:ind w:left="0" w:right="0" w:firstLine="464" w:firstLineChars="200"/>
              <w:outlineLvl w:val="9"/>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color w:val="auto"/>
                <w:spacing w:val="-4"/>
                <w:sz w:val="24"/>
                <w:szCs w:val="24"/>
                <w:lang w:eastAsia="zh-CN"/>
              </w:rPr>
              <w:t>③生产车间无组织</w:t>
            </w:r>
            <w:r>
              <w:rPr>
                <w:rFonts w:hint="eastAsia" w:ascii="Times New Roman" w:hAnsi="Times New Roman" w:cs="Times New Roman"/>
                <w:color w:val="auto"/>
                <w:sz w:val="24"/>
                <w:szCs w:val="24"/>
                <w:lang w:eastAsia="zh-CN"/>
              </w:rPr>
              <w:t>氨、污水处理系统</w:t>
            </w:r>
            <w:r>
              <w:rPr>
                <w:rFonts w:hint="eastAsia" w:ascii="Times New Roman" w:hAnsi="Times New Roman" w:cs="Times New Roman"/>
                <w:color w:val="auto"/>
                <w:sz w:val="24"/>
                <w:szCs w:val="24"/>
                <w:lang w:val="en-US" w:eastAsia="zh-CN"/>
              </w:rPr>
              <w:t>臭气浓度排放</w:t>
            </w:r>
            <w:r>
              <w:rPr>
                <w:rFonts w:hint="eastAsia" w:ascii="Times New Roman" w:hAnsi="Times New Roman" w:cs="Times New Roman"/>
                <w:color w:val="auto"/>
                <w:sz w:val="24"/>
                <w:szCs w:val="24"/>
              </w:rPr>
              <w:t>执行《恶臭污染物排放标准》（GB14554-93）中</w:t>
            </w:r>
            <w:r>
              <w:rPr>
                <w:rFonts w:hint="eastAsia" w:ascii="Times New Roman" w:hAnsi="Times New Roman" w:cs="Times New Roman"/>
                <w:color w:val="auto"/>
                <w:sz w:val="24"/>
                <w:szCs w:val="24"/>
                <w:lang w:val="en-US" w:eastAsia="zh-CN"/>
              </w:rPr>
              <w:t>表1</w:t>
            </w:r>
            <w:r>
              <w:rPr>
                <w:rFonts w:hint="eastAsia" w:ascii="Times New Roman" w:hAnsi="Times New Roman" w:cs="Times New Roman"/>
                <w:color w:val="auto"/>
                <w:sz w:val="24"/>
                <w:szCs w:val="24"/>
                <w:lang w:eastAsia="zh-CN"/>
              </w:rPr>
              <w:t>二级标准。相关标准值见表。</w:t>
            </w:r>
          </w:p>
          <w:p w14:paraId="4B3CD376">
            <w:pPr>
              <w:keepNext w:val="0"/>
              <w:keepLines w:val="0"/>
              <w:widowControl w:val="0"/>
              <w:suppressLineNumbers w:val="0"/>
              <w:autoSpaceDE w:val="0"/>
              <w:autoSpaceDN w:val="0"/>
              <w:spacing w:before="0" w:beforeAutospacing="0" w:after="0" w:afterAutospacing="0"/>
              <w:ind w:left="0" w:right="0" w:firstLine="0" w:firstLineChars="0"/>
              <w:jc w:val="center"/>
              <w:rPr>
                <w:rFonts w:hint="default" w:ascii="Times New Roman" w:hAnsi="Times New Roman" w:eastAsia="宋体" w:cs="Times New Roman"/>
                <w:b/>
                <w:bCs w:val="0"/>
                <w:color w:val="auto"/>
                <w:kern w:val="24"/>
                <w:sz w:val="21"/>
                <w:szCs w:val="21"/>
              </w:rPr>
            </w:pPr>
            <w:r>
              <w:rPr>
                <w:rFonts w:hint="default" w:ascii="Times New Roman" w:hAnsi="Times New Roman" w:eastAsia="宋体" w:cs="Times New Roman"/>
                <w:b/>
                <w:bCs w:val="0"/>
                <w:color w:val="auto"/>
                <w:kern w:val="24"/>
                <w:sz w:val="21"/>
                <w:szCs w:val="21"/>
                <w:lang w:val="en-US" w:eastAsia="zh-CN" w:bidi="ar"/>
              </w:rPr>
              <w:t>表3-</w:t>
            </w:r>
            <w:r>
              <w:rPr>
                <w:rFonts w:hint="eastAsia" w:cs="Times New Roman"/>
                <w:b/>
                <w:bCs w:val="0"/>
                <w:color w:val="auto"/>
                <w:kern w:val="24"/>
                <w:sz w:val="21"/>
                <w:szCs w:val="21"/>
                <w:lang w:val="en-US" w:eastAsia="zh-CN" w:bidi="ar"/>
              </w:rPr>
              <w:t>9</w:t>
            </w:r>
            <w:r>
              <w:rPr>
                <w:rFonts w:hint="default" w:ascii="Times New Roman" w:hAnsi="Times New Roman" w:eastAsia="宋体" w:cs="Times New Roman"/>
                <w:b/>
                <w:bCs w:val="0"/>
                <w:color w:val="auto"/>
                <w:kern w:val="24"/>
                <w:sz w:val="21"/>
                <w:szCs w:val="21"/>
                <w:lang w:val="en-US" w:eastAsia="zh-CN" w:bidi="ar"/>
              </w:rPr>
              <w:t xml:space="preserve">   恶臭污染物排放标准（表2）</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32"/>
              <w:gridCol w:w="3285"/>
              <w:gridCol w:w="3586"/>
            </w:tblGrid>
            <w:tr w14:paraId="68A2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F32440">
                  <w:pPr>
                    <w:keepNext w:val="0"/>
                    <w:keepLines w:val="0"/>
                    <w:widowControl w:val="0"/>
                    <w:suppressLineNumbers w:val="0"/>
                    <w:spacing w:before="0" w:beforeAutospacing="0" w:after="0" w:afterAutospacing="0" w:line="240" w:lineRule="atLeast"/>
                    <w:ind w:left="0" w:right="0"/>
                    <w:jc w:val="center"/>
                    <w:textAlignment w:val="baseline"/>
                    <w:rPr>
                      <w:rFonts w:hint="default" w:ascii="Times New Roman" w:hAnsi="Times New Roman" w:eastAsia="宋体" w:cs="Times New Roman"/>
                      <w:b/>
                      <w:bCs/>
                      <w:color w:val="auto"/>
                      <w:kern w:val="2"/>
                      <w:sz w:val="21"/>
                      <w:szCs w:val="21"/>
                      <w:vertAlign w:val="baseline"/>
                    </w:rPr>
                  </w:pPr>
                  <w:r>
                    <w:rPr>
                      <w:rFonts w:hint="default" w:ascii="Times New Roman" w:hAnsi="Times New Roman" w:eastAsia="宋体" w:cs="Times New Roman"/>
                      <w:b/>
                      <w:bCs/>
                      <w:color w:val="auto"/>
                      <w:kern w:val="2"/>
                      <w:sz w:val="21"/>
                      <w:szCs w:val="21"/>
                      <w:vertAlign w:val="baseline"/>
                      <w:lang w:val="en-US" w:eastAsia="zh-CN" w:bidi="ar"/>
                    </w:rPr>
                    <w:t>污染物</w:t>
                  </w:r>
                </w:p>
              </w:tc>
              <w:tc>
                <w:tcPr>
                  <w:tcW w:w="1954" w:type="pct"/>
                  <w:vMerge w:val="restart"/>
                  <w:tcBorders>
                    <w:top w:val="single" w:color="auto" w:sz="4" w:space="0"/>
                    <w:left w:val="nil"/>
                    <w:bottom w:val="single" w:color="auto" w:sz="4" w:space="0"/>
                    <w:right w:val="single" w:color="auto" w:sz="4" w:space="0"/>
                  </w:tcBorders>
                  <w:shd w:val="clear" w:color="auto" w:fill="auto"/>
                  <w:vAlign w:val="center"/>
                </w:tcPr>
                <w:p w14:paraId="30894BF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无组织排放监控浓度限值（mg/m</w:t>
                  </w:r>
                  <w:r>
                    <w:rPr>
                      <w:rFonts w:hint="default" w:ascii="Times New Roman" w:hAnsi="Times New Roman" w:eastAsia="宋体" w:cs="Times New Roman"/>
                      <w:b/>
                      <w:bCs/>
                      <w:color w:val="auto"/>
                      <w:kern w:val="2"/>
                      <w:sz w:val="21"/>
                      <w:szCs w:val="21"/>
                      <w:vertAlign w:val="superscript"/>
                      <w:lang w:val="en-US" w:eastAsia="zh-CN" w:bidi="ar"/>
                    </w:rPr>
                    <w:t>3</w:t>
                  </w:r>
                  <w:r>
                    <w:rPr>
                      <w:rFonts w:hint="default" w:ascii="Times New Roman" w:hAnsi="Times New Roman" w:eastAsia="宋体" w:cs="Times New Roman"/>
                      <w:b/>
                      <w:bCs/>
                      <w:color w:val="auto"/>
                      <w:kern w:val="2"/>
                      <w:sz w:val="21"/>
                      <w:szCs w:val="21"/>
                      <w:lang w:val="en-US" w:eastAsia="zh-CN" w:bidi="ar"/>
                    </w:rPr>
                    <w:t>）</w:t>
                  </w:r>
                </w:p>
              </w:tc>
              <w:tc>
                <w:tcPr>
                  <w:tcW w:w="2133" w:type="pct"/>
                  <w:vMerge w:val="restart"/>
                  <w:tcBorders>
                    <w:top w:val="single" w:color="auto" w:sz="4" w:space="0"/>
                    <w:left w:val="nil"/>
                    <w:bottom w:val="single" w:color="auto" w:sz="4" w:space="0"/>
                    <w:right w:val="single" w:color="auto" w:sz="4" w:space="0"/>
                  </w:tcBorders>
                  <w:shd w:val="clear" w:color="auto" w:fill="auto"/>
                  <w:vAlign w:val="center"/>
                </w:tcPr>
                <w:p w14:paraId="5664A27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执行标准</w:t>
                  </w:r>
                </w:p>
              </w:tc>
            </w:tr>
            <w:tr w14:paraId="3BDA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3F26C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954" w:type="pct"/>
                  <w:vMerge w:val="continue"/>
                  <w:tcBorders>
                    <w:top w:val="single" w:color="auto" w:sz="4" w:space="0"/>
                    <w:left w:val="nil"/>
                    <w:bottom w:val="single" w:color="auto" w:sz="4" w:space="0"/>
                    <w:right w:val="single" w:color="auto" w:sz="4" w:space="0"/>
                  </w:tcBorders>
                  <w:shd w:val="clear" w:color="auto" w:fill="auto"/>
                  <w:vAlign w:val="center"/>
                </w:tcPr>
                <w:p w14:paraId="03D0C83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2133" w:type="pct"/>
                  <w:vMerge w:val="continue"/>
                  <w:tcBorders>
                    <w:top w:val="single" w:color="auto" w:sz="4" w:space="0"/>
                    <w:left w:val="nil"/>
                    <w:bottom w:val="single" w:color="auto" w:sz="4" w:space="0"/>
                    <w:right w:val="single" w:color="auto" w:sz="4" w:space="0"/>
                  </w:tcBorders>
                  <w:shd w:val="clear" w:color="auto" w:fill="auto"/>
                  <w:vAlign w:val="center"/>
                </w:tcPr>
                <w:p w14:paraId="3BBE195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r>
            <w:tr w14:paraId="0192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4D1A6608">
                  <w:pPr>
                    <w:keepNext w:val="0"/>
                    <w:keepLines w:val="0"/>
                    <w:widowControl w:val="0"/>
                    <w:suppressLineNumbers w:val="0"/>
                    <w:spacing w:before="0" w:beforeAutospacing="0" w:after="0" w:afterAutospacing="0" w:line="240" w:lineRule="atLeast"/>
                    <w:ind w:left="0" w:right="0"/>
                    <w:jc w:val="center"/>
                    <w:textAlignment w:val="baseline"/>
                    <w:rPr>
                      <w:rFonts w:hint="default" w:ascii="Times New Roman" w:hAnsi="Times New Roman" w:eastAsia="宋体" w:cs="Times New Roman"/>
                      <w:color w:val="auto"/>
                      <w:kern w:val="2"/>
                      <w:sz w:val="21"/>
                      <w:szCs w:val="21"/>
                      <w:vertAlign w:val="subscript"/>
                    </w:rPr>
                  </w:pPr>
                  <w:r>
                    <w:rPr>
                      <w:rFonts w:hint="default" w:ascii="Times New Roman" w:hAnsi="Times New Roman" w:eastAsia="宋体" w:cs="Times New Roman"/>
                      <w:color w:val="auto"/>
                      <w:kern w:val="2"/>
                      <w:sz w:val="21"/>
                      <w:szCs w:val="21"/>
                      <w:vertAlign w:val="baseline"/>
                      <w:lang w:val="en-US" w:eastAsia="zh-CN" w:bidi="ar"/>
                    </w:rPr>
                    <w:t>NH</w:t>
                  </w:r>
                  <w:r>
                    <w:rPr>
                      <w:rFonts w:hint="default" w:ascii="Times New Roman" w:hAnsi="Times New Roman" w:eastAsia="宋体" w:cs="Times New Roman"/>
                      <w:color w:val="auto"/>
                      <w:kern w:val="2"/>
                      <w:sz w:val="21"/>
                      <w:szCs w:val="21"/>
                      <w:vertAlign w:val="subscript"/>
                      <w:lang w:val="en-US" w:eastAsia="zh-CN" w:bidi="ar"/>
                    </w:rPr>
                    <w:t>3</w:t>
                  </w:r>
                </w:p>
              </w:tc>
              <w:tc>
                <w:tcPr>
                  <w:tcW w:w="1954" w:type="pct"/>
                  <w:tcBorders>
                    <w:top w:val="single" w:color="auto" w:sz="4" w:space="0"/>
                    <w:left w:val="nil"/>
                    <w:bottom w:val="single" w:color="auto" w:sz="4" w:space="0"/>
                    <w:right w:val="single" w:color="auto" w:sz="4" w:space="0"/>
                  </w:tcBorders>
                  <w:shd w:val="clear" w:color="auto" w:fill="auto"/>
                  <w:vAlign w:val="center"/>
                </w:tcPr>
                <w:p w14:paraId="658B87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lang w:val="en-US" w:eastAsia="zh-CN" w:bidi="ar"/>
                    </w:rPr>
                    <w:t>1.5</w:t>
                  </w:r>
                </w:p>
              </w:tc>
              <w:tc>
                <w:tcPr>
                  <w:tcW w:w="2133" w:type="pct"/>
                  <w:vMerge w:val="restart"/>
                  <w:tcBorders>
                    <w:top w:val="nil"/>
                    <w:left w:val="nil"/>
                    <w:bottom w:val="single" w:color="auto" w:sz="4" w:space="0"/>
                    <w:right w:val="single" w:color="auto" w:sz="4" w:space="0"/>
                  </w:tcBorders>
                  <w:shd w:val="clear" w:color="auto" w:fill="auto"/>
                  <w:vAlign w:val="center"/>
                </w:tcPr>
                <w:p w14:paraId="64E2DAE4">
                  <w:pPr>
                    <w:keepNext w:val="0"/>
                    <w:keepLines w:val="0"/>
                    <w:widowControl w:val="0"/>
                    <w:suppressLineNumbers w:val="0"/>
                    <w:spacing w:before="0" w:beforeAutospacing="0" w:after="0" w:afterAutospacing="0" w:line="240" w:lineRule="atLeast"/>
                    <w:ind w:left="0" w:right="0"/>
                    <w:jc w:val="center"/>
                    <w:textAlignment w:val="baseline"/>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lang w:val="en-US" w:eastAsia="zh-CN" w:bidi="ar"/>
                    </w:rPr>
                    <w:t>《恶臭污染物排放标准》（GB14554-93）</w:t>
                  </w:r>
                </w:p>
              </w:tc>
            </w:tr>
            <w:tr w14:paraId="78B7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2CE64794">
                  <w:pPr>
                    <w:keepNext w:val="0"/>
                    <w:keepLines w:val="0"/>
                    <w:widowControl w:val="0"/>
                    <w:suppressLineNumbers w:val="0"/>
                    <w:spacing w:before="0" w:beforeAutospacing="0" w:after="0" w:afterAutospacing="0" w:line="240" w:lineRule="atLeast"/>
                    <w:ind w:left="0" w:right="0"/>
                    <w:jc w:val="center"/>
                    <w:textAlignment w:val="baseline"/>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lang w:val="en-US" w:eastAsia="zh-CN" w:bidi="ar"/>
                    </w:rPr>
                    <w:t>臭气浓度</w:t>
                  </w:r>
                </w:p>
              </w:tc>
              <w:tc>
                <w:tcPr>
                  <w:tcW w:w="1954" w:type="pct"/>
                  <w:tcBorders>
                    <w:top w:val="single" w:color="auto" w:sz="4" w:space="0"/>
                    <w:left w:val="nil"/>
                    <w:bottom w:val="single" w:color="auto" w:sz="4" w:space="0"/>
                    <w:right w:val="single" w:color="auto" w:sz="4" w:space="0"/>
                  </w:tcBorders>
                  <w:shd w:val="clear" w:color="auto" w:fill="auto"/>
                  <w:vAlign w:val="center"/>
                </w:tcPr>
                <w:p w14:paraId="286A83F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lang w:val="en-US" w:eastAsia="zh-CN" w:bidi="ar"/>
                    </w:rPr>
                    <w:t>20（无量纲）</w:t>
                  </w:r>
                </w:p>
              </w:tc>
              <w:tc>
                <w:tcPr>
                  <w:tcW w:w="2133" w:type="pct"/>
                  <w:vMerge w:val="continue"/>
                  <w:tcBorders>
                    <w:top w:val="nil"/>
                    <w:left w:val="nil"/>
                    <w:bottom w:val="single" w:color="auto" w:sz="4" w:space="0"/>
                    <w:right w:val="single" w:color="auto" w:sz="4" w:space="0"/>
                  </w:tcBorders>
                  <w:shd w:val="clear" w:color="auto" w:fill="auto"/>
                  <w:vAlign w:val="center"/>
                </w:tcPr>
                <w:p w14:paraId="5C41FAF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r>
          </w:tbl>
          <w:p w14:paraId="413F40CF">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eastAsia" w:cs="Times New Roman"/>
                <w:color w:val="auto"/>
                <w:sz w:val="24"/>
                <w:szCs w:val="24"/>
                <w:lang w:val="en-US" w:eastAsia="zh-CN"/>
              </w:rPr>
              <w:t>④</w:t>
            </w:r>
            <w:r>
              <w:rPr>
                <w:rFonts w:hint="default" w:ascii="Times New Roman" w:hAnsi="Times New Roman" w:eastAsia="宋体" w:cs="Times New Roman"/>
                <w:color w:val="auto"/>
                <w:sz w:val="24"/>
              </w:rPr>
              <w:t>项目运营期食堂</w:t>
            </w:r>
            <w:r>
              <w:rPr>
                <w:rFonts w:hint="default" w:ascii="Times New Roman" w:hAnsi="Times New Roman" w:eastAsia="宋体" w:cs="Times New Roman"/>
                <w:color w:val="auto"/>
                <w:sz w:val="24"/>
                <w:lang w:eastAsia="zh-CN"/>
              </w:rPr>
              <w:t>根据总发热功率和灶面投影总面积折算</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项目基准灶头数为</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食堂油烟执行《饮食业油烟排放标准》（GB18483-2001）小型标准，具体数值详见表3-</w:t>
            </w:r>
            <w:r>
              <w:rPr>
                <w:rFonts w:hint="eastAsia" w:cs="Times New Roman"/>
                <w:color w:val="auto"/>
                <w:sz w:val="24"/>
                <w:lang w:val="en-US" w:eastAsia="zh-CN"/>
              </w:rPr>
              <w:t>10</w:t>
            </w:r>
            <w:r>
              <w:rPr>
                <w:rFonts w:hint="default" w:ascii="Times New Roman" w:hAnsi="Times New Roman" w:eastAsia="宋体" w:cs="Times New Roman"/>
                <w:color w:val="auto"/>
                <w:sz w:val="24"/>
              </w:rPr>
              <w:t>。</w:t>
            </w:r>
          </w:p>
          <w:p w14:paraId="64BDD0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w:t>
            </w:r>
            <w:r>
              <w:rPr>
                <w:rFonts w:hint="eastAsia" w:cs="Times New Roman"/>
                <w:b/>
                <w:bCs/>
                <w:color w:val="auto"/>
                <w:szCs w:val="21"/>
                <w:lang w:val="en-US" w:eastAsia="zh-CN"/>
              </w:rPr>
              <w:t>10</w:t>
            </w:r>
            <w:r>
              <w:rPr>
                <w:rFonts w:hint="default" w:ascii="Times New Roman" w:hAnsi="Times New Roman" w:eastAsia="宋体" w:cs="Times New Roman"/>
                <w:b/>
                <w:bCs/>
                <w:color w:val="auto"/>
                <w:szCs w:val="21"/>
              </w:rPr>
              <w:t xml:space="preserve"> </w:t>
            </w:r>
            <w:r>
              <w:rPr>
                <w:rFonts w:hint="default" w:ascii="Times New Roman" w:hAnsi="Times New Roman" w:eastAsia="宋体" w:cs="Times New Roman"/>
                <w:b/>
                <w:bCs/>
                <w:color w:val="auto"/>
                <w:szCs w:val="21"/>
                <w:lang w:val="en-US" w:eastAsia="zh-CN"/>
              </w:rPr>
              <w:t xml:space="preserve"> </w:t>
            </w:r>
            <w:r>
              <w:rPr>
                <w:rFonts w:hint="default" w:ascii="Times New Roman" w:hAnsi="Times New Roman" w:eastAsia="宋体" w:cs="Times New Roman"/>
                <w:b/>
                <w:bCs/>
                <w:color w:val="auto"/>
                <w:szCs w:val="21"/>
              </w:rPr>
              <w:t>饮食业油烟排放标准</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45"/>
              <w:gridCol w:w="1861"/>
            </w:tblGrid>
            <w:tr w14:paraId="698A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93" w:type="pct"/>
                  <w:vAlign w:val="center"/>
                </w:tcPr>
                <w:p w14:paraId="171472D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规模</w:t>
                  </w:r>
                </w:p>
              </w:tc>
              <w:tc>
                <w:tcPr>
                  <w:tcW w:w="1106" w:type="pct"/>
                  <w:vAlign w:val="center"/>
                </w:tcPr>
                <w:p w14:paraId="33E24B2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小型</w:t>
                  </w:r>
                </w:p>
              </w:tc>
            </w:tr>
            <w:tr w14:paraId="6417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93" w:type="pct"/>
                  <w:vAlign w:val="center"/>
                </w:tcPr>
                <w:p w14:paraId="2C039C3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基准灶头数</w:t>
                  </w:r>
                </w:p>
              </w:tc>
              <w:tc>
                <w:tcPr>
                  <w:tcW w:w="1106" w:type="pct"/>
                  <w:vAlign w:val="center"/>
                </w:tcPr>
                <w:p w14:paraId="7F6EDCE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≥1，＜3</w:t>
                  </w:r>
                </w:p>
              </w:tc>
            </w:tr>
            <w:tr w14:paraId="5B47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93" w:type="pct"/>
                  <w:vAlign w:val="center"/>
                </w:tcPr>
                <w:p w14:paraId="097AD07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eastAsia="宋体" w:cs="Times New Roman"/>
                      <w:b w:val="0"/>
                      <w:bCs w:val="0"/>
                      <w:color w:val="auto"/>
                      <w:kern w:val="2"/>
                      <w:sz w:val="21"/>
                      <w:szCs w:val="21"/>
                      <w:lang w:eastAsia="zh-CN"/>
                    </w:rPr>
                    <w:t>对应灶头总功率（</w:t>
                  </w:r>
                  <w:r>
                    <w:rPr>
                      <w:rFonts w:hint="default" w:ascii="Times New Roman" w:hAnsi="Times New Roman" w:eastAsia="宋体" w:cs="Times New Roman"/>
                      <w:b w:val="0"/>
                      <w:bCs w:val="0"/>
                      <w:color w:val="auto"/>
                      <w:kern w:val="2"/>
                      <w:sz w:val="21"/>
                      <w:szCs w:val="21"/>
                      <w:lang w:val="en-US" w:eastAsia="zh-CN"/>
                    </w:rPr>
                    <w:t>108J/h</w:t>
                  </w:r>
                  <w:r>
                    <w:rPr>
                      <w:rFonts w:hint="default" w:ascii="Times New Roman" w:hAnsi="Times New Roman" w:eastAsia="宋体" w:cs="Times New Roman"/>
                      <w:b w:val="0"/>
                      <w:bCs w:val="0"/>
                      <w:color w:val="auto"/>
                      <w:kern w:val="2"/>
                      <w:sz w:val="21"/>
                      <w:szCs w:val="21"/>
                      <w:lang w:eastAsia="zh-CN"/>
                    </w:rPr>
                    <w:t>）</w:t>
                  </w:r>
                </w:p>
              </w:tc>
              <w:tc>
                <w:tcPr>
                  <w:tcW w:w="1106" w:type="pct"/>
                  <w:vAlign w:val="center"/>
                </w:tcPr>
                <w:p w14:paraId="534FFE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1.67，</w:t>
                  </w:r>
                  <w:r>
                    <w:rPr>
                      <w:rFonts w:hint="default" w:ascii="Times New Roman" w:hAnsi="Times New Roman" w:eastAsia="宋体" w:cs="Times New Roman"/>
                      <w:b w:val="0"/>
                      <w:bCs w:val="0"/>
                      <w:color w:val="auto"/>
                      <w:kern w:val="2"/>
                      <w:sz w:val="21"/>
                      <w:szCs w:val="21"/>
                    </w:rPr>
                    <w:t>＜</w:t>
                  </w:r>
                  <w:r>
                    <w:rPr>
                      <w:rFonts w:hint="default" w:ascii="Times New Roman" w:hAnsi="Times New Roman" w:eastAsia="宋体" w:cs="Times New Roman"/>
                      <w:b w:val="0"/>
                      <w:bCs w:val="0"/>
                      <w:color w:val="auto"/>
                      <w:kern w:val="2"/>
                      <w:sz w:val="21"/>
                      <w:szCs w:val="21"/>
                      <w:lang w:val="en-US" w:eastAsia="zh-CN"/>
                    </w:rPr>
                    <w:t>5.00</w:t>
                  </w:r>
                </w:p>
              </w:tc>
            </w:tr>
            <w:tr w14:paraId="75C1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93" w:type="pct"/>
                  <w:vAlign w:val="center"/>
                </w:tcPr>
                <w:p w14:paraId="1298D78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eastAsia="宋体" w:cs="Times New Roman"/>
                      <w:b w:val="0"/>
                      <w:bCs w:val="0"/>
                      <w:color w:val="auto"/>
                      <w:kern w:val="2"/>
                      <w:sz w:val="21"/>
                      <w:szCs w:val="21"/>
                      <w:lang w:eastAsia="zh-CN"/>
                    </w:rPr>
                    <w:t>对应排气罩灶面总投影面积（</w:t>
                  </w:r>
                  <w:r>
                    <w:rPr>
                      <w:rFonts w:hint="default" w:ascii="Times New Roman" w:hAnsi="Times New Roman" w:eastAsia="宋体" w:cs="Times New Roman"/>
                      <w:b w:val="0"/>
                      <w:bCs w:val="0"/>
                      <w:color w:val="auto"/>
                      <w:kern w:val="2"/>
                      <w:sz w:val="21"/>
                      <w:szCs w:val="21"/>
                      <w:lang w:val="en-US" w:eastAsia="zh-CN"/>
                    </w:rPr>
                    <w:t>m</w:t>
                  </w:r>
                  <w:r>
                    <w:rPr>
                      <w:rFonts w:hint="default" w:ascii="Times New Roman" w:hAnsi="Times New Roman" w:eastAsia="宋体" w:cs="Times New Roman"/>
                      <w:b w:val="0"/>
                      <w:bCs w:val="0"/>
                      <w:color w:val="auto"/>
                      <w:kern w:val="2"/>
                      <w:sz w:val="21"/>
                      <w:szCs w:val="21"/>
                      <w:vertAlign w:val="superscript"/>
                      <w:lang w:val="en-US" w:eastAsia="zh-CN"/>
                    </w:rPr>
                    <w:t>2</w:t>
                  </w:r>
                  <w:r>
                    <w:rPr>
                      <w:rFonts w:hint="default" w:ascii="Times New Roman" w:hAnsi="Times New Roman" w:eastAsia="宋体" w:cs="Times New Roman"/>
                      <w:b w:val="0"/>
                      <w:bCs w:val="0"/>
                      <w:color w:val="auto"/>
                      <w:kern w:val="2"/>
                      <w:sz w:val="21"/>
                      <w:szCs w:val="21"/>
                      <w:lang w:eastAsia="zh-CN"/>
                    </w:rPr>
                    <w:t>）</w:t>
                  </w:r>
                </w:p>
              </w:tc>
              <w:tc>
                <w:tcPr>
                  <w:tcW w:w="1106" w:type="pct"/>
                  <w:vAlign w:val="center"/>
                </w:tcPr>
                <w:p w14:paraId="0DF5A71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rPr>
                    <w:t>≥1</w:t>
                  </w:r>
                  <w:r>
                    <w:rPr>
                      <w:rFonts w:hint="default" w:ascii="Times New Roman" w:hAnsi="Times New Roman" w:eastAsia="宋体" w:cs="Times New Roman"/>
                      <w:b w:val="0"/>
                      <w:bCs w:val="0"/>
                      <w:color w:val="auto"/>
                      <w:kern w:val="2"/>
                      <w:sz w:val="21"/>
                      <w:szCs w:val="21"/>
                      <w:lang w:val="en-US" w:eastAsia="zh-CN"/>
                    </w:rPr>
                    <w:t>.1</w:t>
                  </w:r>
                  <w:r>
                    <w:rPr>
                      <w:rFonts w:hint="default" w:ascii="Times New Roman" w:hAnsi="Times New Roman" w:eastAsia="宋体" w:cs="Times New Roman"/>
                      <w:b w:val="0"/>
                      <w:bCs w:val="0"/>
                      <w:color w:val="auto"/>
                      <w:kern w:val="2"/>
                      <w:sz w:val="21"/>
                      <w:szCs w:val="21"/>
                    </w:rPr>
                    <w:t>，＜3</w:t>
                  </w:r>
                  <w:r>
                    <w:rPr>
                      <w:rFonts w:hint="default" w:ascii="Times New Roman" w:hAnsi="Times New Roman" w:eastAsia="宋体" w:cs="Times New Roman"/>
                      <w:b w:val="0"/>
                      <w:bCs w:val="0"/>
                      <w:color w:val="auto"/>
                      <w:kern w:val="2"/>
                      <w:sz w:val="21"/>
                      <w:szCs w:val="21"/>
                      <w:lang w:val="en-US" w:eastAsia="zh-CN"/>
                    </w:rPr>
                    <w:t>.3</w:t>
                  </w:r>
                </w:p>
              </w:tc>
            </w:tr>
            <w:tr w14:paraId="2653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93" w:type="pct"/>
                  <w:vAlign w:val="center"/>
                </w:tcPr>
                <w:p w14:paraId="43E876C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油烟最高允许排放浓度(mg/m</w:t>
                  </w:r>
                  <w:r>
                    <w:rPr>
                      <w:rFonts w:hint="default" w:ascii="Times New Roman" w:hAnsi="Times New Roman" w:eastAsia="宋体" w:cs="Times New Roman"/>
                      <w:b w:val="0"/>
                      <w:bCs w:val="0"/>
                      <w:color w:val="auto"/>
                      <w:kern w:val="2"/>
                      <w:sz w:val="21"/>
                      <w:szCs w:val="21"/>
                      <w:vertAlign w:val="superscript"/>
                    </w:rPr>
                    <w:t>3</w:t>
                  </w:r>
                  <w:r>
                    <w:rPr>
                      <w:rFonts w:hint="default" w:ascii="Times New Roman" w:hAnsi="Times New Roman" w:eastAsia="宋体" w:cs="Times New Roman"/>
                      <w:b w:val="0"/>
                      <w:bCs w:val="0"/>
                      <w:color w:val="auto"/>
                      <w:kern w:val="2"/>
                      <w:sz w:val="21"/>
                      <w:szCs w:val="21"/>
                    </w:rPr>
                    <w:t>)</w:t>
                  </w:r>
                </w:p>
              </w:tc>
              <w:tc>
                <w:tcPr>
                  <w:tcW w:w="1106" w:type="pct"/>
                  <w:vAlign w:val="center"/>
                </w:tcPr>
                <w:p w14:paraId="5615AA5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2.0</w:t>
                  </w:r>
                </w:p>
              </w:tc>
            </w:tr>
            <w:tr w14:paraId="4D02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93" w:type="pct"/>
                  <w:vAlign w:val="center"/>
                </w:tcPr>
                <w:p w14:paraId="78C58EE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净化设施最低去除效率(%)</w:t>
                  </w:r>
                </w:p>
              </w:tc>
              <w:tc>
                <w:tcPr>
                  <w:tcW w:w="1106" w:type="pct"/>
                  <w:vAlign w:val="center"/>
                </w:tcPr>
                <w:p w14:paraId="141951F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60</w:t>
                  </w:r>
                </w:p>
              </w:tc>
            </w:tr>
            <w:tr w14:paraId="032F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000" w:type="pct"/>
                  <w:gridSpan w:val="2"/>
                  <w:vAlign w:val="center"/>
                </w:tcPr>
                <w:p w14:paraId="648CCD52">
                  <w:pPr>
                    <w:keepNext w:val="0"/>
                    <w:keepLines w:val="0"/>
                    <w:suppressLineNumbers w:val="0"/>
                    <w:autoSpaceDE w:val="0"/>
                    <w:autoSpaceDN w:val="0"/>
                    <w:snapToGrid w:val="0"/>
                    <w:spacing w:before="0" w:beforeAutospacing="0" w:after="0" w:afterAutospacing="0"/>
                    <w:ind w:left="0" w:right="0"/>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bCs/>
                      <w:color w:val="auto"/>
                      <w:sz w:val="18"/>
                      <w:szCs w:val="18"/>
                      <w:lang w:eastAsia="zh-CN"/>
                    </w:rPr>
                    <w:t>注：基准灶头数按灶的总发热功率或排气罩灶面投影总面积折算</w:t>
                  </w:r>
                  <w:r>
                    <w:rPr>
                      <w:rFonts w:hint="default" w:ascii="Times New Roman" w:hAnsi="Times New Roman" w:eastAsia="宋体" w:cs="Times New Roman"/>
                      <w:b/>
                      <w:bCs/>
                      <w:color w:val="auto"/>
                      <w:sz w:val="18"/>
                      <w:szCs w:val="18"/>
                      <w:lang w:val="en-US" w:eastAsia="zh-CN"/>
                    </w:rPr>
                    <w:t>.</w:t>
                  </w:r>
                </w:p>
              </w:tc>
            </w:tr>
          </w:tbl>
          <w:p w14:paraId="12E9F49F">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二、水污染物排放标准</w:t>
            </w:r>
          </w:p>
          <w:p w14:paraId="47F3D44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项目运营期产生的</w:t>
            </w:r>
            <w:r>
              <w:rPr>
                <w:rFonts w:hint="eastAsia" w:cs="Times New Roman"/>
                <w:color w:val="auto"/>
                <w:sz w:val="24"/>
                <w:szCs w:val="24"/>
                <w:lang w:val="en-US" w:eastAsia="zh-CN"/>
              </w:rPr>
              <w:t>生活污水经隔油池、化粪池预处理后</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同生产废水一并进入自建的污水处理系统进行处理，处理达</w:t>
            </w:r>
            <w:r>
              <w:rPr>
                <w:rFonts w:hint="default" w:ascii="Times New Roman" w:hAnsi="Times New Roman" w:eastAsia="宋体" w:cs="Times New Roman"/>
                <w:color w:val="auto"/>
                <w:sz w:val="24"/>
                <w:szCs w:val="24"/>
                <w:highlight w:val="none"/>
                <w:lang w:val="en-US" w:eastAsia="zh-CN"/>
              </w:rPr>
              <w:t xml:space="preserve">《污水排入城镇下水道水质标准》（GB/T31962-2015）表1 中 </w:t>
            </w:r>
            <w:r>
              <w:rPr>
                <w:rFonts w:hint="eastAsia"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 xml:space="preserve"> 等级标准</w:t>
            </w:r>
            <w:r>
              <w:rPr>
                <w:rFonts w:hint="eastAsia" w:cs="Times New Roman"/>
                <w:color w:val="auto"/>
                <w:sz w:val="24"/>
                <w:szCs w:val="24"/>
                <w:highlight w:val="none"/>
                <w:lang w:val="en-US" w:eastAsia="zh-CN"/>
              </w:rPr>
              <w:t>进入</w:t>
            </w:r>
            <w:r>
              <w:rPr>
                <w:rFonts w:hint="eastAsia" w:ascii="Times New Roman" w:hAnsi="Times New Roman" w:eastAsia="宋体" w:cs="Times New Roman"/>
                <w:color w:val="auto"/>
                <w:sz w:val="24"/>
                <w:szCs w:val="24"/>
                <w:highlight w:val="none"/>
                <w:lang w:val="en-US" w:eastAsia="zh-CN"/>
              </w:rPr>
              <w:t>园区污水管网，进入</w:t>
            </w:r>
            <w:r>
              <w:rPr>
                <w:rFonts w:hint="eastAsia" w:cs="Times New Roman"/>
                <w:color w:val="auto"/>
                <w:sz w:val="24"/>
                <w:szCs w:val="24"/>
                <w:highlight w:val="none"/>
                <w:lang w:val="en-US" w:eastAsia="zh-CN"/>
              </w:rPr>
              <w:t>富民工业园区哨箐机械加工园污水处理厂</w:t>
            </w:r>
            <w:r>
              <w:rPr>
                <w:rFonts w:hint="default" w:ascii="Times New Roman" w:hAnsi="Times New Roman" w:eastAsia="宋体" w:cs="Times New Roman"/>
                <w:color w:val="auto"/>
                <w:sz w:val="24"/>
                <w:szCs w:val="24"/>
                <w:lang w:val="en-US" w:eastAsia="zh-CN"/>
              </w:rPr>
              <w:t>。标准值详见表3-</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w:t>
            </w:r>
          </w:p>
          <w:p w14:paraId="632C112D">
            <w:pPr>
              <w:keepNext w:val="0"/>
              <w:keepLines w:val="0"/>
              <w:suppressLineNumbers w:val="0"/>
              <w:shd w:val="clear" w:color="auto" w:fill="auto"/>
              <w:spacing w:before="0" w:beforeAutospacing="0" w:after="0" w:afterAutospacing="0" w:line="240" w:lineRule="auto"/>
              <w:ind w:left="0" w:right="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w:t>
            </w:r>
            <w:r>
              <w:rPr>
                <w:rFonts w:hint="eastAsia" w:cs="Times New Roman"/>
                <w:b/>
                <w:bCs/>
                <w:color w:val="auto"/>
                <w:sz w:val="21"/>
                <w:szCs w:val="21"/>
                <w:highlight w:val="none"/>
                <w:lang w:val="en-US" w:eastAsia="zh-CN" w:bidi="ar"/>
              </w:rPr>
              <w:t>11</w:t>
            </w:r>
            <w:r>
              <w:rPr>
                <w:rFonts w:hint="default" w:ascii="Times New Roman" w:hAnsi="Times New Roman" w:eastAsia="宋体" w:cs="Times New Roman"/>
                <w:b/>
                <w:bCs/>
                <w:color w:val="auto"/>
                <w:sz w:val="21"/>
                <w:szCs w:val="21"/>
                <w:highlight w:val="none"/>
                <w:lang w:bidi="ar"/>
              </w:rPr>
              <w:t xml:space="preserve"> </w:t>
            </w:r>
            <w:r>
              <w:rPr>
                <w:rFonts w:hint="default" w:ascii="Times New Roman" w:hAnsi="Times New Roman" w:eastAsia="宋体" w:cs="Times New Roman"/>
                <w:b/>
                <w:bCs/>
                <w:color w:val="auto"/>
                <w:sz w:val="21"/>
                <w:szCs w:val="21"/>
                <w:highlight w:val="none"/>
                <w:lang w:val="en-US" w:eastAsia="zh-CN" w:bidi="ar"/>
              </w:rPr>
              <w:t xml:space="preserve">  </w:t>
            </w:r>
            <w:r>
              <w:rPr>
                <w:rFonts w:hint="default" w:ascii="Times New Roman" w:hAnsi="Times New Roman" w:eastAsia="宋体" w:cs="Times New Roman"/>
                <w:b/>
                <w:bCs/>
                <w:color w:val="auto"/>
                <w:sz w:val="21"/>
                <w:szCs w:val="21"/>
                <w:highlight w:val="none"/>
                <w:lang w:val="en-US" w:eastAsia="zh-CN"/>
              </w:rPr>
              <w:t>污水排入城镇下水道水质标准限值   单位：mg/m</w:t>
            </w:r>
            <w:r>
              <w:rPr>
                <w:rFonts w:hint="default" w:ascii="Times New Roman" w:hAnsi="Times New Roman" w:eastAsia="宋体" w:cs="Times New Roman"/>
                <w:b/>
                <w:bCs/>
                <w:color w:val="auto"/>
                <w:sz w:val="21"/>
                <w:szCs w:val="21"/>
                <w:highlight w:val="none"/>
                <w:vertAlign w:val="superscript"/>
                <w:lang w:val="en-US" w:eastAsia="zh-CN"/>
              </w:rPr>
              <w:t xml:space="preserve">3  </w:t>
            </w:r>
            <w:r>
              <w:rPr>
                <w:rFonts w:hint="default" w:ascii="Times New Roman" w:hAnsi="Times New Roman" w:eastAsia="宋体" w:cs="Times New Roman"/>
                <w:b/>
                <w:bCs/>
                <w:color w:val="auto"/>
                <w:sz w:val="21"/>
                <w:szCs w:val="21"/>
                <w:highlight w:val="none"/>
                <w:lang w:val="en-US" w:eastAsia="zh-CN"/>
              </w:rPr>
              <w:t>（ 无量纲）</w:t>
            </w:r>
          </w:p>
          <w:tbl>
            <w:tblPr>
              <w:tblStyle w:val="28"/>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85"/>
              <w:gridCol w:w="1042"/>
              <w:gridCol w:w="775"/>
              <w:gridCol w:w="664"/>
              <w:gridCol w:w="672"/>
              <w:gridCol w:w="995"/>
              <w:gridCol w:w="573"/>
              <w:gridCol w:w="673"/>
              <w:gridCol w:w="673"/>
              <w:gridCol w:w="673"/>
              <w:gridCol w:w="673"/>
            </w:tblGrid>
            <w:tr w14:paraId="62A37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86" w:type="pct"/>
                  <w:vAlign w:val="center"/>
                </w:tcPr>
                <w:p w14:paraId="02835F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标准类别</w:t>
                  </w:r>
                </w:p>
              </w:tc>
              <w:tc>
                <w:tcPr>
                  <w:tcW w:w="620" w:type="pct"/>
                  <w:vAlign w:val="center"/>
                </w:tcPr>
                <w:p w14:paraId="5330B5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PH</w:t>
                  </w:r>
                </w:p>
              </w:tc>
              <w:tc>
                <w:tcPr>
                  <w:tcW w:w="461" w:type="pct"/>
                  <w:vAlign w:val="center"/>
                </w:tcPr>
                <w:p w14:paraId="0CF7C6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CODcr</w:t>
                  </w:r>
                </w:p>
              </w:tc>
              <w:tc>
                <w:tcPr>
                  <w:tcW w:w="395" w:type="pct"/>
                  <w:vAlign w:val="center"/>
                </w:tcPr>
                <w:p w14:paraId="35A6D3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t>
                  </w:r>
                </w:p>
              </w:tc>
              <w:tc>
                <w:tcPr>
                  <w:tcW w:w="400" w:type="pct"/>
                  <w:vAlign w:val="center"/>
                </w:tcPr>
                <w:p w14:paraId="7A86B8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592" w:type="pct"/>
                  <w:vAlign w:val="center"/>
                </w:tcPr>
                <w:p w14:paraId="4ED7E6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动植物油</w:t>
                  </w:r>
                </w:p>
              </w:tc>
              <w:tc>
                <w:tcPr>
                  <w:tcW w:w="341" w:type="pct"/>
                  <w:vAlign w:val="center"/>
                </w:tcPr>
                <w:p w14:paraId="47903C6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氨氮</w:t>
                  </w:r>
                </w:p>
              </w:tc>
              <w:tc>
                <w:tcPr>
                  <w:tcW w:w="400" w:type="pct"/>
                  <w:vAlign w:val="center"/>
                </w:tcPr>
                <w:p w14:paraId="17FA70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总磷</w:t>
                  </w:r>
                </w:p>
              </w:tc>
              <w:tc>
                <w:tcPr>
                  <w:tcW w:w="400" w:type="pct"/>
                  <w:vAlign w:val="center"/>
                </w:tcPr>
                <w:p w14:paraId="02512B8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总氮</w:t>
                  </w:r>
                </w:p>
              </w:tc>
              <w:tc>
                <w:tcPr>
                  <w:tcW w:w="400" w:type="pct"/>
                  <w:vAlign w:val="center"/>
                </w:tcPr>
                <w:p w14:paraId="5D2A7B6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LAS</w:t>
                  </w:r>
                </w:p>
              </w:tc>
              <w:tc>
                <w:tcPr>
                  <w:tcW w:w="400" w:type="pct"/>
                  <w:vAlign w:val="center"/>
                </w:tcPr>
                <w:p w14:paraId="1C99A6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挥发酚</w:t>
                  </w:r>
                </w:p>
              </w:tc>
            </w:tr>
            <w:tr w14:paraId="6AE68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86" w:type="pct"/>
                  <w:vAlign w:val="center"/>
                </w:tcPr>
                <w:p w14:paraId="51072F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 级标准值</w:t>
                  </w:r>
                </w:p>
              </w:tc>
              <w:tc>
                <w:tcPr>
                  <w:tcW w:w="620" w:type="pct"/>
                  <w:vAlign w:val="center"/>
                </w:tcPr>
                <w:p w14:paraId="2454B0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6.5～9.5</w:t>
                  </w:r>
                </w:p>
              </w:tc>
              <w:tc>
                <w:tcPr>
                  <w:tcW w:w="461" w:type="pct"/>
                  <w:vAlign w:val="center"/>
                </w:tcPr>
                <w:p w14:paraId="2565EC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395" w:type="pct"/>
                  <w:vAlign w:val="center"/>
                </w:tcPr>
                <w:p w14:paraId="497E8F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400" w:type="pct"/>
                  <w:vAlign w:val="center"/>
                </w:tcPr>
                <w:p w14:paraId="255676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592" w:type="pct"/>
                  <w:vAlign w:val="center"/>
                </w:tcPr>
                <w:p w14:paraId="6B69EB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341" w:type="pct"/>
                  <w:vAlign w:val="center"/>
                </w:tcPr>
                <w:p w14:paraId="5E603B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400" w:type="pct"/>
                  <w:vAlign w:val="center"/>
                </w:tcPr>
                <w:p w14:paraId="7F04890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400" w:type="pct"/>
                  <w:vAlign w:val="center"/>
                </w:tcPr>
                <w:p w14:paraId="420307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400" w:type="pct"/>
                  <w:vAlign w:val="center"/>
                </w:tcPr>
                <w:p w14:paraId="4D86DDA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20</w:t>
                  </w:r>
                </w:p>
              </w:tc>
              <w:tc>
                <w:tcPr>
                  <w:tcW w:w="400" w:type="pct"/>
                  <w:vAlign w:val="center"/>
                </w:tcPr>
                <w:p w14:paraId="4FE18A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w:t>
                  </w:r>
                </w:p>
              </w:tc>
            </w:tr>
          </w:tbl>
          <w:p w14:paraId="062A9737">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三、噪声排放标准</w:t>
            </w:r>
          </w:p>
          <w:p w14:paraId="17CABE0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（1）施工期噪声执行《建筑施工场界环境噪声排放标准》（GB12523-2011）声限值见表3-</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w:t>
            </w:r>
          </w:p>
          <w:p w14:paraId="7E3E3E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12</w:t>
            </w:r>
            <w:r>
              <w:rPr>
                <w:rFonts w:hint="default" w:ascii="Times New Roman" w:hAnsi="Times New Roman" w:eastAsia="宋体" w:cs="Times New Roman"/>
                <w:b/>
                <w:bCs/>
                <w:color w:val="auto"/>
                <w:sz w:val="21"/>
                <w:szCs w:val="21"/>
                <w:lang w:val="en-US" w:eastAsia="zh-CN"/>
              </w:rPr>
              <w:t xml:space="preserve">  建筑施工场界环境噪声排放限值dB(A)</w:t>
            </w:r>
          </w:p>
          <w:tbl>
            <w:tblPr>
              <w:tblStyle w:val="28"/>
              <w:tblW w:w="842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006"/>
              <w:gridCol w:w="4423"/>
            </w:tblGrid>
            <w:tr w14:paraId="0CA45A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 w:hRule="atLeast"/>
                <w:jc w:val="center"/>
              </w:trPr>
              <w:tc>
                <w:tcPr>
                  <w:tcW w:w="4006" w:type="dxa"/>
                  <w:vAlign w:val="center"/>
                </w:tcPr>
                <w:p w14:paraId="37CC9E2B">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昼间</w:t>
                  </w:r>
                </w:p>
              </w:tc>
              <w:tc>
                <w:tcPr>
                  <w:tcW w:w="4423" w:type="dxa"/>
                  <w:vAlign w:val="center"/>
                </w:tcPr>
                <w:p w14:paraId="3C72EF18">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夜间</w:t>
                  </w:r>
                </w:p>
              </w:tc>
            </w:tr>
            <w:tr w14:paraId="6E0669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 w:hRule="atLeast"/>
                <w:jc w:val="center"/>
              </w:trPr>
              <w:tc>
                <w:tcPr>
                  <w:tcW w:w="4006" w:type="dxa"/>
                  <w:vAlign w:val="center"/>
                </w:tcPr>
                <w:p w14:paraId="0A6BD202">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4423" w:type="dxa"/>
                  <w:vAlign w:val="center"/>
                </w:tcPr>
                <w:p w14:paraId="5FE4C38E">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55</w:t>
                  </w:r>
                </w:p>
              </w:tc>
            </w:tr>
          </w:tbl>
          <w:p w14:paraId="2569600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（2）项目运营期厂界噪声执行《工业企业厂界环境噪声排放标准》（GB12348-2008）3类标准，噪声限值见表3-</w:t>
            </w:r>
            <w:r>
              <w:rPr>
                <w:rFonts w:hint="eastAsia"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w:t>
            </w:r>
          </w:p>
          <w:p w14:paraId="795B7D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13</w:t>
            </w:r>
            <w:r>
              <w:rPr>
                <w:rFonts w:hint="default" w:ascii="Times New Roman" w:hAnsi="Times New Roman" w:eastAsia="宋体" w:cs="Times New Roman"/>
                <w:b/>
                <w:bCs/>
                <w:color w:val="auto"/>
                <w:sz w:val="21"/>
                <w:szCs w:val="21"/>
                <w:lang w:val="en-US" w:eastAsia="zh-CN"/>
              </w:rPr>
              <w:t xml:space="preserve">  工业企业厂界环境噪声排放标准dB(A)</w:t>
            </w:r>
          </w:p>
          <w:tbl>
            <w:tblPr>
              <w:tblStyle w:val="28"/>
              <w:tblW w:w="843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264"/>
              <w:gridCol w:w="3086"/>
              <w:gridCol w:w="3082"/>
            </w:tblGrid>
            <w:tr w14:paraId="2A3892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9" w:hRule="atLeast"/>
                <w:jc w:val="center"/>
              </w:trPr>
              <w:tc>
                <w:tcPr>
                  <w:tcW w:w="2264" w:type="dxa"/>
                  <w:vMerge w:val="restart"/>
                  <w:vAlign w:val="center"/>
                </w:tcPr>
                <w:p w14:paraId="432B5B6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6168" w:type="dxa"/>
                  <w:gridSpan w:val="2"/>
                  <w:vAlign w:val="center"/>
                </w:tcPr>
                <w:p w14:paraId="1A67D3B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等效声级[dB(A)]</w:t>
                  </w:r>
                </w:p>
              </w:tc>
            </w:tr>
            <w:tr w14:paraId="79B8D7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4" w:hRule="atLeast"/>
                <w:jc w:val="center"/>
              </w:trPr>
              <w:tc>
                <w:tcPr>
                  <w:tcW w:w="2264" w:type="dxa"/>
                  <w:vMerge w:val="continue"/>
                  <w:vAlign w:val="center"/>
                </w:tcPr>
                <w:p w14:paraId="307B8FD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p>
              </w:tc>
              <w:tc>
                <w:tcPr>
                  <w:tcW w:w="3086" w:type="dxa"/>
                  <w:vAlign w:val="center"/>
                </w:tcPr>
                <w:p w14:paraId="280CE5E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昼间</w:t>
                  </w:r>
                </w:p>
              </w:tc>
              <w:tc>
                <w:tcPr>
                  <w:tcW w:w="3082" w:type="dxa"/>
                  <w:vAlign w:val="center"/>
                </w:tcPr>
                <w:p w14:paraId="0D78B32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夜间</w:t>
                  </w:r>
                </w:p>
              </w:tc>
            </w:tr>
            <w:tr w14:paraId="4BDB2A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9" w:hRule="atLeast"/>
                <w:jc w:val="center"/>
              </w:trPr>
              <w:tc>
                <w:tcPr>
                  <w:tcW w:w="2264" w:type="dxa"/>
                  <w:vAlign w:val="center"/>
                </w:tcPr>
                <w:p w14:paraId="495F464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3类</w:t>
                  </w:r>
                </w:p>
              </w:tc>
              <w:tc>
                <w:tcPr>
                  <w:tcW w:w="3086" w:type="dxa"/>
                  <w:vAlign w:val="center"/>
                </w:tcPr>
                <w:p w14:paraId="1E414DF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65</w:t>
                  </w:r>
                </w:p>
              </w:tc>
              <w:tc>
                <w:tcPr>
                  <w:tcW w:w="3082" w:type="dxa"/>
                  <w:vAlign w:val="center"/>
                </w:tcPr>
                <w:p w14:paraId="04ECDFE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55</w:t>
                  </w:r>
                </w:p>
              </w:tc>
            </w:tr>
          </w:tbl>
          <w:p w14:paraId="05A97199">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四、固体废弃物</w:t>
            </w:r>
          </w:p>
          <w:p w14:paraId="611058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szCs w:val="24"/>
                <w:lang w:val="en-US" w:eastAsia="zh-CN"/>
              </w:rPr>
              <w:t>本项目产生的一般工业固废执行</w:t>
            </w:r>
            <w:r>
              <w:rPr>
                <w:rFonts w:hint="default" w:ascii="Times New Roman" w:hAnsi="Times New Roman" w:eastAsia="宋体" w:cs="Times New Roman"/>
                <w:color w:val="auto"/>
                <w:kern w:val="0"/>
                <w:sz w:val="24"/>
                <w:lang w:val="en-US" w:eastAsia="zh-CN"/>
              </w:rPr>
              <w:t>《一般工业固体废物贮存和填埋污染控制标准》（GB 18599-2020）</w:t>
            </w:r>
            <w:r>
              <w:rPr>
                <w:rFonts w:hint="default" w:ascii="Times New Roman" w:hAnsi="Times New Roman" w:eastAsia="宋体" w:cs="Times New Roman"/>
                <w:color w:val="auto"/>
                <w:sz w:val="24"/>
                <w:szCs w:val="24"/>
                <w:lang w:val="en-US" w:eastAsia="zh-CN"/>
              </w:rPr>
              <w:t>；危险废物执行《危险废物贮存污染控制标准》（GB18596-2001）标准及其2013年修改单要求。</w:t>
            </w:r>
          </w:p>
        </w:tc>
      </w:tr>
      <w:tr w14:paraId="450E9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noWrap w:val="0"/>
            <w:vAlign w:val="center"/>
          </w:tcPr>
          <w:p w14:paraId="42EFC2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w:t>
            </w:r>
          </w:p>
          <w:p w14:paraId="6EC7E4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控制</w:t>
            </w:r>
          </w:p>
          <w:p w14:paraId="4F2D61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szCs w:val="24"/>
              </w:rPr>
              <w:t>指标</w:t>
            </w:r>
          </w:p>
        </w:tc>
        <w:tc>
          <w:tcPr>
            <w:tcW w:w="8190" w:type="dxa"/>
            <w:noWrap w:val="0"/>
            <w:vAlign w:val="center"/>
          </w:tcPr>
          <w:p w14:paraId="3384B004">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一、据 “十</w:t>
            </w:r>
            <w:r>
              <w:rPr>
                <w:rFonts w:hint="default" w:ascii="Times New Roman" w:hAnsi="Times New Roman" w:eastAsia="宋体" w:cs="Times New Roman"/>
                <w:color w:val="auto"/>
                <w:kern w:val="0"/>
                <w:sz w:val="24"/>
                <w:lang w:val="en-US" w:eastAsia="zh-CN"/>
              </w:rPr>
              <w:t>四</w:t>
            </w:r>
            <w:r>
              <w:rPr>
                <w:rFonts w:hint="default" w:ascii="Times New Roman" w:hAnsi="Times New Roman" w:eastAsia="宋体" w:cs="Times New Roman"/>
                <w:color w:val="auto"/>
                <w:kern w:val="0"/>
                <w:sz w:val="24"/>
              </w:rPr>
              <w:t>五”主要污染物总量控制规划的相关规定，总量控制指标为COD、NH</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-N、NO</w:t>
            </w:r>
            <w:r>
              <w:rPr>
                <w:rFonts w:hint="default" w:ascii="Times New Roman" w:hAnsi="Times New Roman" w:eastAsia="宋体" w:cs="Times New Roman"/>
                <w:color w:val="auto"/>
                <w:kern w:val="0"/>
                <w:sz w:val="24"/>
                <w:vertAlign w:val="subscript"/>
              </w:rPr>
              <w:t>X</w:t>
            </w:r>
            <w:r>
              <w:rPr>
                <w:rFonts w:hint="default" w:ascii="Times New Roman" w:hAnsi="Times New Roman" w:eastAsia="宋体" w:cs="Times New Roman"/>
                <w:color w:val="auto"/>
                <w:kern w:val="0"/>
                <w:sz w:val="24"/>
                <w:vertAlign w:val="baseline"/>
                <w:lang w:eastAsia="zh-CN"/>
              </w:rPr>
              <w:t>、</w:t>
            </w:r>
            <w:r>
              <w:rPr>
                <w:rFonts w:hint="default" w:ascii="Times New Roman" w:hAnsi="Times New Roman" w:eastAsia="宋体" w:cs="Times New Roman"/>
                <w:color w:val="auto"/>
                <w:kern w:val="0"/>
                <w:sz w:val="24"/>
                <w:vertAlign w:val="baseline"/>
                <w:lang w:val="en-US" w:eastAsia="zh-CN"/>
              </w:rPr>
              <w:t>VOCs</w:t>
            </w:r>
            <w:r>
              <w:rPr>
                <w:rFonts w:hint="default" w:ascii="Times New Roman" w:hAnsi="Times New Roman" w:eastAsia="宋体" w:cs="Times New Roman"/>
                <w:color w:val="auto"/>
                <w:kern w:val="0"/>
                <w:sz w:val="24"/>
              </w:rPr>
              <w:t>。</w:t>
            </w:r>
          </w:p>
          <w:p w14:paraId="5FF9AB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1、废水污染物</w:t>
            </w:r>
          </w:p>
          <w:p w14:paraId="3B13FB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本项目生活污水经隔油池、化粪池预处理后同生产废水一并进入自建污水处理系统处理，达</w:t>
            </w:r>
            <w:r>
              <w:rPr>
                <w:rFonts w:hint="default" w:ascii="Times New Roman" w:hAnsi="Times New Roman" w:eastAsia="宋体" w:cs="Times New Roman"/>
                <w:color w:val="auto"/>
                <w:sz w:val="24"/>
                <w:szCs w:val="24"/>
                <w:highlight w:val="none"/>
                <w:lang w:val="en-US" w:eastAsia="zh-CN"/>
              </w:rPr>
              <w:t>《污水排入城镇下水道水质标准》（GB/T31962-2015）表1 中</w:t>
            </w:r>
            <w:r>
              <w:rPr>
                <w:rFonts w:hint="eastAsia"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 xml:space="preserve"> 等级标准</w:t>
            </w:r>
            <w:r>
              <w:rPr>
                <w:rFonts w:hint="eastAsia" w:cs="Times New Roman"/>
                <w:color w:val="auto"/>
                <w:sz w:val="24"/>
                <w:szCs w:val="24"/>
                <w:highlight w:val="none"/>
                <w:lang w:val="en-US" w:eastAsia="zh-CN"/>
              </w:rPr>
              <w:t>进入</w:t>
            </w:r>
            <w:r>
              <w:rPr>
                <w:rFonts w:hint="eastAsia" w:ascii="Times New Roman" w:hAnsi="Times New Roman" w:eastAsia="宋体" w:cs="Times New Roman"/>
                <w:color w:val="auto"/>
                <w:sz w:val="24"/>
                <w:szCs w:val="24"/>
                <w:highlight w:val="none"/>
                <w:lang w:val="en-US" w:eastAsia="zh-CN"/>
              </w:rPr>
              <w:t>园区污水管网，最终进入</w:t>
            </w:r>
            <w:r>
              <w:rPr>
                <w:rFonts w:hint="eastAsia" w:cs="Times New Roman"/>
                <w:color w:val="auto"/>
                <w:sz w:val="24"/>
                <w:szCs w:val="24"/>
                <w:highlight w:val="none"/>
                <w:lang w:val="en-US" w:eastAsia="zh-CN"/>
              </w:rPr>
              <w:t>富民工业园区哨箐机械加工园污水处理厂，纳入富民工业园区哨箐机械加工园污水处理厂总量控制，因此本项目不设废水总量控制指标。</w:t>
            </w:r>
          </w:p>
          <w:p w14:paraId="74EA75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2、大气污染物</w:t>
            </w:r>
          </w:p>
          <w:p w14:paraId="379C65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本次评价建议项目废气总量控制指标为：</w:t>
            </w:r>
          </w:p>
          <w:p w14:paraId="66196B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color w:val="auto"/>
                <w:sz w:val="24"/>
                <w:szCs w:val="24"/>
                <w:lang w:val="en-US" w:eastAsia="zh-CN"/>
              </w:rPr>
            </w:pPr>
            <w:r>
              <w:rPr>
                <w:rFonts w:hint="eastAsia" w:cs="Times New Roman"/>
                <w:color w:val="auto"/>
                <w:kern w:val="0"/>
                <w:sz w:val="24"/>
                <w:szCs w:val="20"/>
                <w:lang w:val="en-US" w:eastAsia="zh-CN"/>
              </w:rPr>
              <w:t>DA001排气筒：</w:t>
            </w:r>
            <w:r>
              <w:rPr>
                <w:rFonts w:hint="default" w:ascii="Times New Roman" w:hAnsi="Times New Roman" w:eastAsia="宋体" w:cs="Times New Roman"/>
                <w:color w:val="auto"/>
                <w:kern w:val="0"/>
                <w:sz w:val="24"/>
                <w:szCs w:val="20"/>
              </w:rPr>
              <w:t>废气总排放量为</w:t>
            </w:r>
            <w:r>
              <w:rPr>
                <w:rFonts w:hint="eastAsia" w:cs="Times New Roman"/>
                <w:color w:val="auto"/>
                <w:kern w:val="0"/>
                <w:sz w:val="24"/>
                <w:szCs w:val="20"/>
                <w:lang w:val="en-US" w:eastAsia="zh-CN"/>
              </w:rPr>
              <w:t>23040</w:t>
            </w:r>
            <w:r>
              <w:rPr>
                <w:rFonts w:hint="default" w:ascii="Times New Roman" w:hAnsi="Times New Roman" w:eastAsia="宋体" w:cs="Times New Roman"/>
                <w:color w:val="auto"/>
                <w:kern w:val="0"/>
                <w:sz w:val="24"/>
                <w:szCs w:val="20"/>
              </w:rPr>
              <w:t>万</w:t>
            </w:r>
            <w:r>
              <w:rPr>
                <w:rFonts w:hint="default" w:ascii="Times New Roman" w:hAnsi="Times New Roman" w:eastAsia="宋体" w:cs="Times New Roman"/>
                <w:bCs/>
                <w:color w:val="auto"/>
                <w:kern w:val="0"/>
                <w:sz w:val="24"/>
                <w:szCs w:val="20"/>
              </w:rPr>
              <w:t>Nm</w:t>
            </w:r>
            <w:r>
              <w:rPr>
                <w:rFonts w:hint="default" w:ascii="Times New Roman" w:hAnsi="Times New Roman" w:eastAsia="宋体" w:cs="Times New Roman"/>
                <w:bCs/>
                <w:color w:val="auto"/>
                <w:kern w:val="0"/>
                <w:sz w:val="24"/>
                <w:szCs w:val="20"/>
                <w:vertAlign w:val="superscript"/>
              </w:rPr>
              <w:t>3</w:t>
            </w:r>
            <w:r>
              <w:rPr>
                <w:rFonts w:hint="default" w:ascii="Times New Roman" w:hAnsi="Times New Roman" w:eastAsia="宋体" w:cs="Times New Roman"/>
                <w:bCs/>
                <w:color w:val="auto"/>
                <w:kern w:val="0"/>
                <w:sz w:val="24"/>
                <w:szCs w:val="20"/>
              </w:rPr>
              <w:t>/a，</w:t>
            </w:r>
            <w:r>
              <w:rPr>
                <w:rFonts w:hint="default" w:ascii="Times New Roman" w:hAnsi="Times New Roman" w:eastAsia="宋体" w:cs="Times New Roman"/>
                <w:color w:val="auto"/>
                <w:sz w:val="24"/>
                <w:szCs w:val="24"/>
                <w:lang w:val="en-US" w:eastAsia="zh-CN"/>
              </w:rPr>
              <w:t>有组织颗粒物排放量为</w:t>
            </w:r>
            <w:r>
              <w:rPr>
                <w:rFonts w:hint="eastAsia" w:cs="Times New Roman"/>
                <w:color w:val="auto"/>
                <w:sz w:val="24"/>
                <w:szCs w:val="24"/>
                <w:lang w:val="en-US" w:eastAsia="zh-CN"/>
              </w:rPr>
              <w:t>4.6</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p>
          <w:p w14:paraId="0D0034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lang w:val="en-US" w:eastAsia="zh-CN"/>
              </w:rPr>
            </w:pPr>
            <w:r>
              <w:rPr>
                <w:rFonts w:hint="eastAsia" w:cs="Times New Roman"/>
                <w:color w:val="auto"/>
                <w:kern w:val="0"/>
                <w:sz w:val="24"/>
                <w:szCs w:val="20"/>
                <w:lang w:val="en-US" w:eastAsia="zh-CN"/>
              </w:rPr>
              <w:t>DA002排气筒：</w:t>
            </w:r>
            <w:r>
              <w:rPr>
                <w:rFonts w:hint="default" w:ascii="Times New Roman" w:hAnsi="Times New Roman" w:eastAsia="宋体" w:cs="Times New Roman"/>
                <w:color w:val="auto"/>
                <w:kern w:val="0"/>
                <w:sz w:val="24"/>
                <w:szCs w:val="20"/>
              </w:rPr>
              <w:t>废气总排放量为</w:t>
            </w:r>
            <w:r>
              <w:rPr>
                <w:rFonts w:hint="eastAsia" w:cs="Times New Roman"/>
                <w:color w:val="auto"/>
                <w:kern w:val="0"/>
                <w:sz w:val="24"/>
                <w:szCs w:val="20"/>
                <w:lang w:val="en-US" w:eastAsia="zh-CN"/>
              </w:rPr>
              <w:t>2640</w:t>
            </w:r>
            <w:r>
              <w:rPr>
                <w:rFonts w:hint="default" w:ascii="Times New Roman" w:hAnsi="Times New Roman" w:eastAsia="宋体" w:cs="Times New Roman"/>
                <w:color w:val="auto"/>
                <w:kern w:val="0"/>
                <w:sz w:val="24"/>
                <w:szCs w:val="20"/>
              </w:rPr>
              <w:t>万</w:t>
            </w:r>
            <w:r>
              <w:rPr>
                <w:rFonts w:hint="default" w:ascii="Times New Roman" w:hAnsi="Times New Roman" w:eastAsia="宋体" w:cs="Times New Roman"/>
                <w:bCs/>
                <w:color w:val="auto"/>
                <w:kern w:val="0"/>
                <w:sz w:val="24"/>
                <w:szCs w:val="20"/>
              </w:rPr>
              <w:t>Nm</w:t>
            </w:r>
            <w:r>
              <w:rPr>
                <w:rFonts w:hint="default" w:ascii="Times New Roman" w:hAnsi="Times New Roman" w:eastAsia="宋体" w:cs="Times New Roman"/>
                <w:bCs/>
                <w:color w:val="auto"/>
                <w:kern w:val="0"/>
                <w:sz w:val="24"/>
                <w:szCs w:val="20"/>
                <w:vertAlign w:val="superscript"/>
              </w:rPr>
              <w:t>3</w:t>
            </w:r>
            <w:r>
              <w:rPr>
                <w:rFonts w:hint="default" w:ascii="Times New Roman" w:hAnsi="Times New Roman" w:eastAsia="宋体" w:cs="Times New Roman"/>
                <w:bCs/>
                <w:color w:val="auto"/>
                <w:kern w:val="0"/>
                <w:sz w:val="24"/>
                <w:szCs w:val="20"/>
              </w:rPr>
              <w:t>/a，</w:t>
            </w:r>
            <w:r>
              <w:rPr>
                <w:rFonts w:hint="default" w:ascii="Times New Roman" w:hAnsi="Times New Roman" w:eastAsia="宋体" w:cs="Times New Roman"/>
                <w:color w:val="auto"/>
                <w:sz w:val="24"/>
                <w:szCs w:val="24"/>
                <w:lang w:val="en-US" w:eastAsia="zh-CN"/>
              </w:rPr>
              <w:t>有组织颗粒物排放量为</w:t>
            </w:r>
            <w:r>
              <w:rPr>
                <w:rFonts w:hint="eastAsia" w:cs="Times New Roman"/>
                <w:color w:val="auto"/>
                <w:sz w:val="24"/>
                <w:szCs w:val="24"/>
                <w:lang w:val="en-US" w:eastAsia="zh-CN"/>
              </w:rPr>
              <w:t>0.018</w:t>
            </w:r>
            <w:r>
              <w:rPr>
                <w:rFonts w:hint="default" w:ascii="Times New Roman" w:hAnsi="Times New Roman" w:eastAsia="宋体" w:cs="Times New Roman"/>
                <w:color w:val="auto"/>
                <w:kern w:val="0"/>
                <w:sz w:val="24"/>
                <w:szCs w:val="20"/>
                <w:lang w:val="en-US" w:eastAsia="zh-CN"/>
              </w:rPr>
              <w:t>t/a</w:t>
            </w:r>
            <w:r>
              <w:rPr>
                <w:rFonts w:hint="default" w:ascii="Times New Roman" w:hAnsi="Times New Roman" w:eastAsia="宋体" w:cs="Times New Roman"/>
                <w:bCs/>
                <w:color w:val="auto"/>
                <w:kern w:val="0"/>
                <w:sz w:val="24"/>
                <w:szCs w:val="20"/>
              </w:rPr>
              <w:t>，</w:t>
            </w:r>
            <w:r>
              <w:rPr>
                <w:rFonts w:hint="eastAsia"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0.069</w:t>
            </w:r>
            <w:r>
              <w:rPr>
                <w:rFonts w:hint="default" w:ascii="Times New Roman" w:hAnsi="Times New Roman" w:eastAsia="宋体" w:cs="Times New Roman"/>
                <w:color w:val="auto"/>
                <w:sz w:val="24"/>
                <w:szCs w:val="24"/>
                <w:lang w:val="en-US" w:eastAsia="zh-CN"/>
              </w:rPr>
              <w:t>t/a。</w:t>
            </w:r>
          </w:p>
          <w:p w14:paraId="661297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无组织颗粒物排放量为</w:t>
            </w:r>
            <w:r>
              <w:rPr>
                <w:rFonts w:hint="eastAsia" w:cs="Times New Roman"/>
                <w:color w:val="auto"/>
                <w:sz w:val="24"/>
                <w:szCs w:val="24"/>
                <w:lang w:val="en-US" w:eastAsia="zh-CN"/>
              </w:rPr>
              <w:t>2.233</w:t>
            </w:r>
            <w:r>
              <w:rPr>
                <w:rFonts w:hint="default" w:ascii="Times New Roman" w:hAnsi="Times New Roman" w:eastAsia="宋体" w:cs="Times New Roman"/>
                <w:color w:val="auto"/>
                <w:sz w:val="24"/>
                <w:szCs w:val="24"/>
                <w:lang w:val="en-US" w:eastAsia="zh-CN"/>
              </w:rPr>
              <w:t>t/a；无组织</w:t>
            </w:r>
            <w:r>
              <w:rPr>
                <w:rFonts w:hint="eastAsia"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0.058</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；无组织氨</w:t>
            </w:r>
            <w:r>
              <w:rPr>
                <w:rFonts w:hint="default"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0.175</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p>
          <w:p w14:paraId="2C2FBD93">
            <w:pPr>
              <w:pStyle w:val="12"/>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color w:val="auto"/>
                <w:lang w:val="en-US" w:eastAsia="zh-CN"/>
              </w:rPr>
            </w:pPr>
            <w:r>
              <w:rPr>
                <w:rFonts w:hint="eastAsia" w:ascii="Times New Roman" w:hAnsi="Times New Roman" w:eastAsia="宋体" w:cs="Times New Roman"/>
                <w:color w:val="auto"/>
                <w:sz w:val="24"/>
                <w:szCs w:val="24"/>
                <w:lang w:val="en-US" w:eastAsia="zh-CN"/>
              </w:rPr>
              <w:t>全厂</w:t>
            </w:r>
            <w:r>
              <w:rPr>
                <w:rFonts w:hint="default" w:ascii="Times New Roman" w:hAnsi="Times New Roman" w:eastAsia="宋体" w:cs="Times New Roman"/>
                <w:color w:val="auto"/>
                <w:sz w:val="24"/>
                <w:szCs w:val="24"/>
                <w:lang w:val="en-US" w:eastAsia="zh-CN"/>
              </w:rPr>
              <w:t>颗粒物排放量为</w:t>
            </w:r>
            <w:r>
              <w:rPr>
                <w:rFonts w:hint="eastAsia" w:cs="Times New Roman"/>
                <w:color w:val="auto"/>
                <w:sz w:val="24"/>
                <w:szCs w:val="24"/>
                <w:lang w:val="en-US" w:eastAsia="zh-CN"/>
              </w:rPr>
              <w:t>6.851</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0.127</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；无组织氨</w:t>
            </w:r>
            <w:r>
              <w:rPr>
                <w:rFonts w:hint="default"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0.175</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p>
          <w:p w14:paraId="3CF629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lang w:val="en-US" w:eastAsia="zh-CN"/>
              </w:rPr>
            </w:pPr>
            <w:r>
              <w:rPr>
                <w:rFonts w:hint="default" w:ascii="Times New Roman" w:hAnsi="Times New Roman" w:eastAsia="宋体" w:cs="Times New Roman"/>
                <w:color w:val="auto"/>
                <w:sz w:val="24"/>
                <w:szCs w:val="24"/>
                <w:lang w:val="en-US" w:eastAsia="zh-CN"/>
              </w:rPr>
              <w:t>3、固体废物处置率100%。</w:t>
            </w:r>
          </w:p>
          <w:p w14:paraId="11CCC5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p>
        </w:tc>
      </w:tr>
    </w:tbl>
    <w:p w14:paraId="7166FE62">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snapToGrid w:val="0"/>
          <w:color w:val="auto"/>
          <w:sz w:val="36"/>
          <w:szCs w:val="36"/>
        </w:rPr>
        <w:br w:type="page"/>
      </w:r>
      <w:bookmarkStart w:id="10" w:name="_Toc4006"/>
      <w:r>
        <w:rPr>
          <w:rFonts w:hint="default" w:ascii="Times New Roman" w:hAnsi="Times New Roman" w:eastAsia="宋体" w:cs="Times New Roman"/>
          <w:b/>
          <w:bCs/>
          <w:snapToGrid w:val="0"/>
          <w:color w:val="auto"/>
          <w:sz w:val="30"/>
          <w:szCs w:val="30"/>
        </w:rPr>
        <w:t>四、主要环境影响和保护措施</w:t>
      </w:r>
      <w:bookmarkEnd w:id="10"/>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1"/>
        <w:gridCol w:w="8650"/>
      </w:tblGrid>
      <w:tr w14:paraId="79C1B7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dxa"/>
            <w:noWrap w:val="0"/>
            <w:tcMar>
              <w:left w:w="28" w:type="dxa"/>
              <w:right w:w="28" w:type="dxa"/>
            </w:tcMar>
            <w:vAlign w:val="center"/>
          </w:tcPr>
          <w:p w14:paraId="3583DC10">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w:t>
            </w:r>
          </w:p>
          <w:p w14:paraId="0ECB59C5">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期环</w:t>
            </w:r>
          </w:p>
          <w:p w14:paraId="5E62B0E8">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境保</w:t>
            </w:r>
          </w:p>
          <w:p w14:paraId="7BEC1193">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护措</w:t>
            </w:r>
          </w:p>
          <w:p w14:paraId="1738FC36">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4"/>
                <w:szCs w:val="24"/>
              </w:rPr>
              <w:t>施</w:t>
            </w:r>
          </w:p>
        </w:tc>
        <w:tc>
          <w:tcPr>
            <w:tcW w:w="8650" w:type="dxa"/>
            <w:noWrap w:val="0"/>
            <w:vAlign w:val="center"/>
          </w:tcPr>
          <w:p w14:paraId="120924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1、废气</w:t>
            </w:r>
          </w:p>
          <w:p w14:paraId="0FF907C8">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项目施工期</w:t>
            </w:r>
            <w:r>
              <w:rPr>
                <w:rFonts w:hint="default" w:ascii="Times New Roman" w:hAnsi="Times New Roman" w:eastAsia="宋体" w:cs="Times New Roman"/>
                <w:color w:val="auto"/>
                <w:sz w:val="24"/>
                <w:szCs w:val="24"/>
                <w:highlight w:val="none"/>
                <w:lang w:eastAsia="zh-CN"/>
              </w:rPr>
              <w:t>产生的废气主要为</w:t>
            </w:r>
            <w:r>
              <w:rPr>
                <w:rFonts w:hint="eastAsia" w:cs="Times New Roman"/>
                <w:color w:val="auto"/>
                <w:sz w:val="24"/>
                <w:szCs w:val="24"/>
                <w:highlight w:val="none"/>
                <w:lang w:val="en-US" w:eastAsia="zh-CN"/>
              </w:rPr>
              <w:t>施工</w:t>
            </w:r>
            <w:r>
              <w:rPr>
                <w:rFonts w:hint="default" w:ascii="Times New Roman" w:hAnsi="Times New Roman" w:eastAsia="宋体" w:cs="Times New Roman"/>
                <w:color w:val="auto"/>
                <w:sz w:val="24"/>
                <w:szCs w:val="24"/>
                <w:highlight w:val="none"/>
                <w:lang w:eastAsia="zh-CN"/>
              </w:rPr>
              <w:t>扬尘。</w:t>
            </w:r>
          </w:p>
          <w:p w14:paraId="1C3BEAF2">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t>建设单位应采取以下措施进行粉尘防治：</w:t>
            </w:r>
          </w:p>
          <w:p w14:paraId="6FEAF2C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fldChar w:fldCharType="begin"/>
            </w:r>
            <w:r>
              <w:rPr>
                <w:rFonts w:hint="default" w:ascii="Times New Roman" w:hAnsi="Times New Roman" w:eastAsia="宋体" w:cs="Times New Roman"/>
                <w:color w:val="auto"/>
                <w:kern w:val="0"/>
                <w:sz w:val="24"/>
                <w:szCs w:val="24"/>
                <w:highlight w:val="none"/>
                <w:lang w:val="zh-CN"/>
              </w:rPr>
              <w:instrText xml:space="preserve">= 1 \* GB3</w:instrText>
            </w:r>
            <w:r>
              <w:rPr>
                <w:rFonts w:hint="default" w:ascii="Times New Roman" w:hAnsi="Times New Roman" w:eastAsia="宋体" w:cs="Times New Roman"/>
                <w:color w:val="auto"/>
                <w:kern w:val="0"/>
                <w:sz w:val="24"/>
                <w:szCs w:val="24"/>
                <w:highlight w:val="none"/>
                <w:lang w:val="zh-CN"/>
              </w:rPr>
              <w:fldChar w:fldCharType="separate"/>
            </w:r>
            <w:r>
              <w:rPr>
                <w:rFonts w:hint="default" w:ascii="Times New Roman" w:hAnsi="Times New Roman" w:eastAsia="宋体" w:cs="Times New Roman"/>
                <w:color w:val="auto"/>
                <w:kern w:val="0"/>
                <w:sz w:val="24"/>
                <w:szCs w:val="24"/>
                <w:highlight w:val="none"/>
                <w:lang w:val="zh-CN"/>
              </w:rPr>
              <w:t>①</w:t>
            </w:r>
            <w:r>
              <w:rPr>
                <w:rFonts w:hint="default" w:ascii="Times New Roman" w:hAnsi="Times New Roman" w:eastAsia="宋体" w:cs="Times New Roman"/>
                <w:color w:val="auto"/>
                <w:kern w:val="0"/>
                <w:sz w:val="24"/>
                <w:szCs w:val="24"/>
                <w:highlight w:val="none"/>
                <w:lang w:val="zh-CN"/>
              </w:rPr>
              <w:fldChar w:fldCharType="end"/>
            </w:r>
            <w:r>
              <w:rPr>
                <w:rFonts w:hint="default" w:ascii="Times New Roman" w:hAnsi="Times New Roman" w:eastAsia="宋体" w:cs="Times New Roman"/>
                <w:color w:val="auto"/>
                <w:kern w:val="0"/>
                <w:sz w:val="24"/>
                <w:szCs w:val="24"/>
                <w:highlight w:val="none"/>
                <w:lang w:val="zh-CN"/>
              </w:rPr>
              <w:t>施工场地要定期进行洒水降尘；</w:t>
            </w:r>
          </w:p>
          <w:p w14:paraId="0614BDE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fldChar w:fldCharType="begin"/>
            </w:r>
            <w:r>
              <w:rPr>
                <w:rFonts w:hint="default" w:ascii="Times New Roman" w:hAnsi="Times New Roman" w:eastAsia="宋体" w:cs="Times New Roman"/>
                <w:color w:val="auto"/>
                <w:kern w:val="0"/>
                <w:sz w:val="24"/>
                <w:szCs w:val="24"/>
                <w:highlight w:val="none"/>
                <w:lang w:val="zh-CN"/>
              </w:rPr>
              <w:instrText xml:space="preserve">= 2 \* GB3</w:instrText>
            </w:r>
            <w:r>
              <w:rPr>
                <w:rFonts w:hint="default" w:ascii="Times New Roman" w:hAnsi="Times New Roman" w:eastAsia="宋体" w:cs="Times New Roman"/>
                <w:color w:val="auto"/>
                <w:kern w:val="0"/>
                <w:sz w:val="24"/>
                <w:szCs w:val="24"/>
                <w:highlight w:val="none"/>
                <w:lang w:val="zh-CN"/>
              </w:rPr>
              <w:fldChar w:fldCharType="separate"/>
            </w:r>
            <w:r>
              <w:rPr>
                <w:rFonts w:hint="default" w:ascii="Times New Roman" w:hAnsi="Times New Roman" w:eastAsia="宋体" w:cs="Times New Roman"/>
                <w:color w:val="auto"/>
                <w:kern w:val="0"/>
                <w:sz w:val="24"/>
                <w:szCs w:val="24"/>
                <w:highlight w:val="none"/>
                <w:lang w:val="zh-CN"/>
              </w:rPr>
              <w:t>②</w:t>
            </w:r>
            <w:r>
              <w:rPr>
                <w:rFonts w:hint="default" w:ascii="Times New Roman" w:hAnsi="Times New Roman" w:eastAsia="宋体" w:cs="Times New Roman"/>
                <w:color w:val="auto"/>
                <w:kern w:val="0"/>
                <w:sz w:val="24"/>
                <w:szCs w:val="24"/>
                <w:highlight w:val="none"/>
                <w:lang w:val="zh-CN"/>
              </w:rPr>
              <w:fldChar w:fldCharType="end"/>
            </w:r>
            <w:r>
              <w:rPr>
                <w:rFonts w:hint="default" w:ascii="Times New Roman" w:hAnsi="Times New Roman" w:eastAsia="宋体" w:cs="Times New Roman"/>
                <w:color w:val="auto"/>
                <w:kern w:val="0"/>
                <w:sz w:val="24"/>
                <w:szCs w:val="24"/>
                <w:highlight w:val="none"/>
                <w:lang w:val="zh-CN"/>
              </w:rPr>
              <w:t>装修过程</w:t>
            </w:r>
            <w:r>
              <w:rPr>
                <w:rFonts w:hint="default" w:ascii="Times New Roman" w:hAnsi="Times New Roman" w:eastAsia="宋体" w:cs="Times New Roman"/>
                <w:color w:val="auto"/>
                <w:sz w:val="24"/>
                <w:lang w:eastAsia="zh-CN"/>
              </w:rPr>
              <w:t>采取</w:t>
            </w:r>
            <w:r>
              <w:rPr>
                <w:rFonts w:hint="default" w:ascii="Times New Roman" w:hAnsi="Times New Roman" w:eastAsia="宋体" w:cs="Times New Roman"/>
                <w:color w:val="auto"/>
                <w:sz w:val="24"/>
              </w:rPr>
              <w:t>购置质量合格、通过国家质量检验的低污染材料及对施工人员配备必要的防护装备和保证足够的通风量等</w:t>
            </w:r>
            <w:r>
              <w:rPr>
                <w:rFonts w:hint="default" w:ascii="Times New Roman" w:hAnsi="Times New Roman" w:eastAsia="宋体" w:cs="Times New Roman"/>
                <w:color w:val="auto"/>
                <w:sz w:val="24"/>
                <w:lang w:eastAsia="zh-CN"/>
              </w:rPr>
              <w:t>措施</w:t>
            </w:r>
            <w:r>
              <w:rPr>
                <w:rFonts w:hint="default" w:ascii="Times New Roman" w:hAnsi="Times New Roman" w:eastAsia="宋体" w:cs="Times New Roman"/>
                <w:color w:val="auto"/>
                <w:sz w:val="24"/>
              </w:rPr>
              <w:t>。</w:t>
            </w:r>
          </w:p>
          <w:p w14:paraId="5510AD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fldChar w:fldCharType="begin"/>
            </w:r>
            <w:r>
              <w:rPr>
                <w:rFonts w:hint="default" w:ascii="Times New Roman" w:hAnsi="Times New Roman" w:eastAsia="宋体" w:cs="Times New Roman"/>
                <w:color w:val="auto"/>
                <w:kern w:val="0"/>
                <w:sz w:val="24"/>
                <w:szCs w:val="24"/>
                <w:highlight w:val="none"/>
                <w:lang w:val="zh-CN"/>
              </w:rPr>
              <w:instrText xml:space="preserve">= 3 \* GB3</w:instrText>
            </w:r>
            <w:r>
              <w:rPr>
                <w:rFonts w:hint="default" w:ascii="Times New Roman" w:hAnsi="Times New Roman" w:eastAsia="宋体" w:cs="Times New Roman"/>
                <w:color w:val="auto"/>
                <w:kern w:val="0"/>
                <w:sz w:val="24"/>
                <w:szCs w:val="24"/>
                <w:highlight w:val="none"/>
                <w:lang w:val="zh-CN"/>
              </w:rPr>
              <w:fldChar w:fldCharType="separate"/>
            </w:r>
            <w:r>
              <w:rPr>
                <w:rFonts w:hint="default" w:ascii="Times New Roman" w:hAnsi="Times New Roman" w:eastAsia="宋体" w:cs="Times New Roman"/>
                <w:color w:val="auto"/>
                <w:kern w:val="0"/>
                <w:sz w:val="24"/>
                <w:szCs w:val="24"/>
                <w:highlight w:val="none"/>
                <w:lang w:val="zh-CN"/>
              </w:rPr>
              <w:t>③</w:t>
            </w:r>
            <w:r>
              <w:rPr>
                <w:rFonts w:hint="default" w:ascii="Times New Roman" w:hAnsi="Times New Roman" w:eastAsia="宋体" w:cs="Times New Roman"/>
                <w:color w:val="auto"/>
                <w:kern w:val="0"/>
                <w:sz w:val="24"/>
                <w:szCs w:val="24"/>
                <w:highlight w:val="none"/>
                <w:lang w:val="zh-CN"/>
              </w:rPr>
              <w:fldChar w:fldCharType="end"/>
            </w:r>
            <w:r>
              <w:rPr>
                <w:rFonts w:hint="default" w:ascii="Times New Roman" w:hAnsi="Times New Roman" w:eastAsia="宋体" w:cs="Times New Roman"/>
                <w:color w:val="auto"/>
                <w:kern w:val="0"/>
                <w:sz w:val="24"/>
                <w:szCs w:val="24"/>
                <w:highlight w:val="none"/>
                <w:lang w:val="zh-CN"/>
              </w:rPr>
              <w:t>散料应进行围隔和覆盖，施工垃圾应及时清运，适量洒水，减少扬尘。</w:t>
            </w:r>
          </w:p>
          <w:p w14:paraId="2A5CC01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t>④施工车辆运作时会产生一定量的尾气，主要成分为碳氢化合物、CO和NOx等，属无组织排放，产生量较小，经大气稀释和扩散。</w:t>
            </w:r>
          </w:p>
          <w:p w14:paraId="163FDB62">
            <w:pPr>
              <w:pStyle w:val="20"/>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sz w:val="24"/>
                <w:szCs w:val="24"/>
                <w:lang w:val="zh-CN"/>
              </w:rPr>
            </w:pPr>
            <w:r>
              <w:rPr>
                <w:rFonts w:hint="default" w:ascii="Times New Roman" w:hAnsi="Times New Roman" w:eastAsia="宋体" w:cs="Times New Roman"/>
                <w:color w:val="auto"/>
                <w:kern w:val="0"/>
                <w:sz w:val="24"/>
                <w:szCs w:val="24"/>
                <w:highlight w:val="none"/>
                <w:lang w:val="zh-CN"/>
              </w:rPr>
              <w:t>在采取上述措施治理后，扬尘可以得到有效控制，对周边环境影响较小。同时，施工期产生的扬尘污染是短期的，随着施工活动的结束，施工扬尘对环境空气的影响也就随之结束。综上，项目产生的扬尘对周围环境影响较小。</w:t>
            </w:r>
          </w:p>
          <w:p w14:paraId="22B81E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14:paraId="5E4E00AF">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项目施工期不设施工营地，施工人员均不在项目区食宿，</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val="en-US" w:eastAsia="zh-CN"/>
              </w:rPr>
              <w:t>施工废水</w:t>
            </w:r>
            <w:r>
              <w:rPr>
                <w:rFonts w:hint="default" w:ascii="Times New Roman" w:hAnsi="Times New Roman" w:eastAsia="宋体" w:cs="Times New Roman"/>
                <w:color w:val="auto"/>
                <w:sz w:val="24"/>
                <w:szCs w:val="24"/>
              </w:rPr>
              <w:t>主要为</w:t>
            </w:r>
            <w:r>
              <w:rPr>
                <w:rFonts w:hint="default" w:ascii="Times New Roman" w:hAnsi="Times New Roman" w:eastAsia="宋体" w:cs="Times New Roman"/>
                <w:color w:val="auto"/>
                <w:sz w:val="24"/>
                <w:szCs w:val="24"/>
                <w:lang w:eastAsia="zh-CN"/>
              </w:rPr>
              <w:t>设备</w:t>
            </w:r>
            <w:r>
              <w:rPr>
                <w:rFonts w:hint="default" w:ascii="Times New Roman" w:hAnsi="Times New Roman" w:eastAsia="宋体" w:cs="Times New Roman"/>
                <w:color w:val="auto"/>
                <w:sz w:val="24"/>
                <w:szCs w:val="24"/>
              </w:rPr>
              <w:t>清洗废水及施工人员</w:t>
            </w:r>
            <w:r>
              <w:rPr>
                <w:rFonts w:hint="default" w:ascii="Times New Roman" w:hAnsi="Times New Roman" w:eastAsia="宋体" w:cs="Times New Roman"/>
                <w:color w:val="auto"/>
                <w:sz w:val="24"/>
                <w:szCs w:val="24"/>
                <w:lang w:eastAsia="zh-CN"/>
              </w:rPr>
              <w:t>清洁污水，建议采取以下措施：</w:t>
            </w:r>
          </w:p>
          <w:p w14:paraId="6712825D">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施工人员</w:t>
            </w:r>
            <w:r>
              <w:rPr>
                <w:rFonts w:hint="default" w:ascii="Times New Roman" w:hAnsi="Times New Roman" w:eastAsia="宋体" w:cs="Times New Roman"/>
                <w:color w:val="auto"/>
                <w:sz w:val="24"/>
                <w:szCs w:val="24"/>
                <w:lang w:val="en-US" w:eastAsia="zh-CN"/>
              </w:rPr>
              <w:t>清洁</w:t>
            </w:r>
            <w:r>
              <w:rPr>
                <w:rFonts w:hint="default" w:ascii="Times New Roman" w:hAnsi="Times New Roman" w:eastAsia="宋体" w:cs="Times New Roman"/>
                <w:color w:val="auto"/>
                <w:sz w:val="24"/>
                <w:szCs w:val="24"/>
              </w:rPr>
              <w:t>污水</w:t>
            </w:r>
            <w:r>
              <w:rPr>
                <w:rFonts w:hint="default" w:ascii="Times New Roman" w:hAnsi="Times New Roman" w:eastAsia="宋体" w:cs="Times New Roman"/>
                <w:color w:val="auto"/>
                <w:sz w:val="24"/>
                <w:szCs w:val="24"/>
                <w:lang w:eastAsia="zh-CN"/>
              </w:rPr>
              <w:t>、设备清洗废水</w:t>
            </w:r>
            <w:r>
              <w:rPr>
                <w:rFonts w:hint="default" w:ascii="Times New Roman" w:hAnsi="Times New Roman" w:eastAsia="宋体" w:cs="Times New Roman"/>
                <w:color w:val="auto"/>
                <w:sz w:val="24"/>
                <w:szCs w:val="24"/>
              </w:rPr>
              <w:t>经</w:t>
            </w:r>
            <w:r>
              <w:rPr>
                <w:rFonts w:hint="default" w:ascii="Times New Roman" w:hAnsi="Times New Roman" w:eastAsia="宋体" w:cs="Times New Roman"/>
                <w:color w:val="auto"/>
                <w:sz w:val="24"/>
                <w:szCs w:val="24"/>
                <w:lang w:eastAsia="zh-CN"/>
              </w:rPr>
              <w:t>自建污水处理系统处理后进入园区污水管网，最终进入</w:t>
            </w:r>
            <w:r>
              <w:rPr>
                <w:rFonts w:hint="eastAsia" w:ascii="Times New Roman" w:hAnsi="Times New Roman" w:eastAsia="宋体" w:cs="Times New Roman"/>
                <w:color w:val="auto"/>
                <w:sz w:val="24"/>
                <w:szCs w:val="24"/>
                <w:lang w:eastAsia="zh-CN"/>
              </w:rPr>
              <w:t>富民工业园区哨箐机械加工园污水处理厂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rPr>
              <w:t>对周围</w:t>
            </w:r>
            <w:r>
              <w:rPr>
                <w:rFonts w:hint="default" w:ascii="Times New Roman" w:hAnsi="Times New Roman" w:eastAsia="宋体" w:cs="Times New Roman"/>
                <w:bCs/>
                <w:color w:val="auto"/>
                <w:sz w:val="24"/>
                <w:szCs w:val="24"/>
                <w:lang w:eastAsia="zh-CN"/>
              </w:rPr>
              <w:t>环境</w:t>
            </w:r>
            <w:r>
              <w:rPr>
                <w:rFonts w:hint="default" w:ascii="Times New Roman" w:hAnsi="Times New Roman" w:eastAsia="宋体" w:cs="Times New Roman"/>
                <w:bCs/>
                <w:color w:val="auto"/>
                <w:sz w:val="24"/>
                <w:szCs w:val="24"/>
              </w:rPr>
              <w:t>造成的</w:t>
            </w:r>
            <w:r>
              <w:rPr>
                <w:rFonts w:hint="default" w:ascii="Times New Roman" w:hAnsi="Times New Roman" w:eastAsia="宋体" w:cs="Times New Roman"/>
                <w:color w:val="auto"/>
                <w:sz w:val="24"/>
                <w:szCs w:val="24"/>
              </w:rPr>
              <w:t>影响</w:t>
            </w:r>
            <w:r>
              <w:rPr>
                <w:rFonts w:hint="default" w:ascii="Times New Roman" w:hAnsi="Times New Roman" w:eastAsia="宋体" w:cs="Times New Roman"/>
                <w:color w:val="auto"/>
                <w:sz w:val="24"/>
                <w:szCs w:val="24"/>
                <w:lang w:eastAsia="zh-CN"/>
              </w:rPr>
              <w:t>很</w:t>
            </w:r>
            <w:r>
              <w:rPr>
                <w:rFonts w:hint="default" w:ascii="Times New Roman" w:hAnsi="Times New Roman" w:eastAsia="宋体" w:cs="Times New Roman"/>
                <w:color w:val="auto"/>
                <w:sz w:val="24"/>
                <w:szCs w:val="24"/>
              </w:rPr>
              <w:t>小。</w:t>
            </w:r>
          </w:p>
          <w:p w14:paraId="6FCEA71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14:paraId="5B8902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为减缓施工噪声的影响，本环评提出如下措施：</w:t>
            </w:r>
          </w:p>
          <w:p w14:paraId="1C7055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kern w:val="0"/>
                <w:sz w:val="24"/>
                <w:szCs w:val="24"/>
                <w:highlight w:val="none"/>
              </w:rPr>
              <w:t>从声源上控制：</w:t>
            </w:r>
            <w:r>
              <w:rPr>
                <w:rFonts w:hint="default" w:ascii="Times New Roman" w:hAnsi="Times New Roman" w:eastAsia="宋体" w:cs="Times New Roman"/>
                <w:color w:val="auto"/>
                <w:sz w:val="24"/>
                <w:szCs w:val="24"/>
                <w:highlight w:val="none"/>
              </w:rPr>
              <w:t>选用噪声相对较低的</w:t>
            </w:r>
            <w:r>
              <w:rPr>
                <w:rFonts w:hint="default" w:ascii="Times New Roman" w:hAnsi="Times New Roman" w:eastAsia="宋体" w:cs="Times New Roman"/>
                <w:color w:val="auto"/>
                <w:sz w:val="24"/>
                <w:szCs w:val="24"/>
                <w:highlight w:val="none"/>
                <w:lang w:eastAsia="zh-CN"/>
              </w:rPr>
              <w:t>施工机械设备</w:t>
            </w:r>
            <w:r>
              <w:rPr>
                <w:rFonts w:hint="default" w:ascii="Times New Roman" w:hAnsi="Times New Roman" w:eastAsia="宋体" w:cs="Times New Roman"/>
                <w:color w:val="auto"/>
                <w:sz w:val="24"/>
                <w:szCs w:val="24"/>
                <w:highlight w:val="none"/>
              </w:rPr>
              <w:t>；</w:t>
            </w:r>
          </w:p>
          <w:p w14:paraId="31766A4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②严禁夜间施工，若必须进行夜间作业，需按要求提前向主管部门申请，并在将施工信息告知周边住户及单位。</w:t>
            </w:r>
          </w:p>
          <w:p w14:paraId="28C5991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③施工场地内可固定设备应尽量设置在设备专用房或操作间内，避免露天作业。</w:t>
            </w:r>
          </w:p>
          <w:p w14:paraId="2A3D1D4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④车辆出入现场时应低速、禁鸣。</w:t>
            </w:r>
          </w:p>
          <w:p w14:paraId="3FF5851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⑤</w:t>
            </w:r>
            <w:r>
              <w:rPr>
                <w:rFonts w:hint="default" w:ascii="Times New Roman" w:hAnsi="Times New Roman" w:eastAsia="宋体" w:cs="Times New Roman"/>
                <w:color w:val="auto"/>
                <w:kern w:val="0"/>
                <w:sz w:val="24"/>
                <w:szCs w:val="24"/>
                <w:highlight w:val="none"/>
              </w:rPr>
              <w:t>建设管理部门应加强对施工场地的噪声管理，施工企业也应对施工噪声进行自律，合理安排工期，减短施工的施工时间；加强对施工人员的管理，做到文明施工，避免人为噪声的产生文明施工，避免因施工噪声产生纠纷。</w:t>
            </w:r>
          </w:p>
          <w:p w14:paraId="5F60B4C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Cs/>
                <w:color w:val="auto"/>
                <w:kern w:val="0"/>
                <w:sz w:val="24"/>
                <w:szCs w:val="24"/>
                <w:highlight w:val="none"/>
              </w:rPr>
              <w:t>本项目在采取了上述措施后，</w:t>
            </w:r>
            <w:r>
              <w:rPr>
                <w:rFonts w:hint="default" w:ascii="Times New Roman" w:hAnsi="Times New Roman" w:eastAsia="宋体" w:cs="Times New Roman"/>
                <w:bCs/>
                <w:color w:val="auto"/>
                <w:kern w:val="0"/>
                <w:sz w:val="24"/>
                <w:szCs w:val="24"/>
                <w:highlight w:val="none"/>
                <w:lang w:val="en-US" w:eastAsia="zh-CN"/>
              </w:rPr>
              <w:t>施工期噪声</w:t>
            </w:r>
            <w:r>
              <w:rPr>
                <w:rFonts w:hint="default" w:ascii="Times New Roman" w:hAnsi="Times New Roman" w:eastAsia="宋体" w:cs="Times New Roman"/>
                <w:color w:val="auto"/>
                <w:kern w:val="0"/>
                <w:sz w:val="24"/>
                <w:szCs w:val="24"/>
                <w:highlight w:val="none"/>
              </w:rPr>
              <w:t>对周围环境影响较小。</w:t>
            </w:r>
          </w:p>
          <w:p w14:paraId="68DE70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outlineLvl w:val="9"/>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4、固体废物</w:t>
            </w:r>
          </w:p>
          <w:p w14:paraId="1DECD455">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项目施工期</w:t>
            </w:r>
            <w:r>
              <w:rPr>
                <w:rFonts w:hint="default" w:ascii="Times New Roman" w:hAnsi="Times New Roman" w:eastAsia="宋体" w:cs="Times New Roman"/>
                <w:color w:val="auto"/>
                <w:sz w:val="24"/>
                <w:szCs w:val="24"/>
                <w:lang w:eastAsia="zh-CN"/>
              </w:rPr>
              <w:t>无需动土，施工期</w:t>
            </w:r>
            <w:r>
              <w:rPr>
                <w:rFonts w:hint="default" w:ascii="Times New Roman" w:hAnsi="Times New Roman" w:eastAsia="宋体" w:cs="Times New Roman"/>
                <w:color w:val="auto"/>
                <w:sz w:val="24"/>
                <w:szCs w:val="24"/>
              </w:rPr>
              <w:t>固体废弃物主要为</w:t>
            </w:r>
            <w:r>
              <w:rPr>
                <w:rFonts w:hint="default" w:ascii="Times New Roman" w:hAnsi="Times New Roman" w:eastAsia="宋体" w:cs="Times New Roman"/>
                <w:color w:val="auto"/>
                <w:sz w:val="24"/>
                <w:szCs w:val="24"/>
                <w:lang w:val="en-US" w:eastAsia="zh-CN"/>
              </w:rPr>
              <w:t>建筑垃圾</w:t>
            </w:r>
            <w:r>
              <w:rPr>
                <w:rFonts w:hint="default" w:ascii="Times New Roman" w:hAnsi="Times New Roman" w:eastAsia="宋体" w:cs="Times New Roman"/>
                <w:color w:val="auto"/>
                <w:sz w:val="24"/>
                <w:szCs w:val="24"/>
              </w:rPr>
              <w:t>和生活垃圾。</w:t>
            </w:r>
          </w:p>
          <w:p w14:paraId="01C09B04">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en-US" w:eastAsia="zh-CN"/>
              </w:rPr>
              <w:t>①将废包装材料和废弃施工材料进行简单分类，能够回收的回收利用，不能回收利用的运至政府部门指定地点妥善处置，禁止随意丢弃。</w:t>
            </w:r>
          </w:p>
          <w:p w14:paraId="74145147">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②施工人员每天产生的生活垃圾统一收集至公共垃圾房，由</w:t>
            </w:r>
            <w:r>
              <w:rPr>
                <w:rFonts w:hint="default" w:ascii="Times New Roman" w:hAnsi="Times New Roman" w:eastAsia="宋体" w:cs="Times New Roman"/>
                <w:color w:val="auto"/>
                <w:sz w:val="24"/>
                <w:szCs w:val="24"/>
                <w:lang w:val="en-US" w:eastAsia="zh-CN"/>
              </w:rPr>
              <w:t>当地</w:t>
            </w:r>
            <w:r>
              <w:rPr>
                <w:rFonts w:hint="default" w:ascii="Times New Roman" w:hAnsi="Times New Roman" w:eastAsia="宋体" w:cs="Times New Roman"/>
                <w:color w:val="auto"/>
                <w:sz w:val="24"/>
                <w:szCs w:val="24"/>
              </w:rPr>
              <w:t>环卫部门清运、处置。</w:t>
            </w:r>
          </w:p>
          <w:p w14:paraId="6A331F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lang w:eastAsia="zh-CN"/>
              </w:rPr>
              <w:t>综上分析，</w:t>
            </w:r>
            <w:r>
              <w:rPr>
                <w:rFonts w:hint="default" w:ascii="Times New Roman" w:hAnsi="Times New Roman" w:eastAsia="宋体" w:cs="Times New Roman"/>
                <w:color w:val="auto"/>
                <w:sz w:val="24"/>
                <w:szCs w:val="24"/>
                <w:highlight w:val="none"/>
              </w:rPr>
              <w:t>施工期固体废弃物产生量较少，处置方式合理、可行，去向明确，处置率达到100%，对周围环境影响不大</w:t>
            </w:r>
            <w:r>
              <w:rPr>
                <w:rFonts w:hint="default" w:ascii="Times New Roman" w:hAnsi="Times New Roman" w:eastAsia="宋体" w:cs="Times New Roman"/>
                <w:color w:val="auto"/>
                <w:spacing w:val="2"/>
                <w:sz w:val="24"/>
                <w:szCs w:val="24"/>
                <w:highlight w:val="none"/>
              </w:rPr>
              <w:t>。</w:t>
            </w:r>
          </w:p>
        </w:tc>
      </w:tr>
      <w:tr w14:paraId="15CA5A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dxa"/>
            <w:noWrap w:val="0"/>
            <w:tcMar>
              <w:left w:w="28" w:type="dxa"/>
              <w:right w:w="28" w:type="dxa"/>
            </w:tcMar>
            <w:vAlign w:val="center"/>
          </w:tcPr>
          <w:p w14:paraId="04F951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14:paraId="63B8DE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14:paraId="6BCB7E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14:paraId="269E65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14:paraId="19DDCA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14:paraId="73DD9E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 w:val="24"/>
                <w:szCs w:val="24"/>
              </w:rPr>
              <w:t>措施</w:t>
            </w:r>
          </w:p>
        </w:tc>
        <w:tc>
          <w:tcPr>
            <w:tcW w:w="8650" w:type="dxa"/>
            <w:noWrap w:val="0"/>
            <w:vAlign w:val="center"/>
          </w:tcPr>
          <w:p w14:paraId="12D5E84C">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一、环境空气影响分析</w:t>
            </w:r>
          </w:p>
          <w:p w14:paraId="2E55715A">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（1）废气污染源分析</w:t>
            </w:r>
          </w:p>
          <w:p w14:paraId="509B96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1）有组织废气核算</w:t>
            </w:r>
          </w:p>
          <w:p w14:paraId="5EF26E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表4-1  有组织废气分析表</w:t>
            </w:r>
          </w:p>
          <w:tbl>
            <w:tblPr>
              <w:tblStyle w:val="28"/>
              <w:tblW w:w="84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1"/>
              <w:gridCol w:w="1186"/>
              <w:gridCol w:w="2332"/>
              <w:gridCol w:w="1532"/>
              <w:gridCol w:w="2163"/>
            </w:tblGrid>
            <w:tr w14:paraId="53570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14" w:hRule="atLeast"/>
                <w:jc w:val="center"/>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3DC1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有组织废气排放情况</w:t>
                  </w:r>
                </w:p>
              </w:tc>
            </w:tr>
            <w:tr w14:paraId="51797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50255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产污排污环节</w:t>
                  </w:r>
                </w:p>
              </w:tc>
              <w:tc>
                <w:tcPr>
                  <w:tcW w:w="1373" w:type="pct"/>
                  <w:tcBorders>
                    <w:top w:val="single" w:color="000000" w:sz="8" w:space="0"/>
                    <w:left w:val="nil"/>
                    <w:bottom w:val="single" w:color="000000" w:sz="8" w:space="0"/>
                    <w:right w:val="single" w:color="000000" w:sz="8" w:space="0"/>
                  </w:tcBorders>
                  <w:shd w:val="clear" w:color="auto" w:fill="auto"/>
                  <w:vAlign w:val="center"/>
                </w:tcPr>
                <w:p w14:paraId="47697D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腻子粉投料、配料、混料</w:t>
                  </w:r>
                </w:p>
              </w:tc>
              <w:tc>
                <w:tcPr>
                  <w:tcW w:w="902" w:type="pct"/>
                  <w:tcBorders>
                    <w:top w:val="single" w:color="000000" w:sz="8" w:space="0"/>
                    <w:left w:val="nil"/>
                    <w:bottom w:val="single" w:color="000000" w:sz="8" w:space="0"/>
                    <w:right w:val="single" w:color="000000" w:sz="8" w:space="0"/>
                  </w:tcBorders>
                  <w:shd w:val="clear" w:color="auto" w:fill="auto"/>
                  <w:vAlign w:val="center"/>
                </w:tcPr>
                <w:p w14:paraId="0EB38D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水性涂料生产投料</w:t>
                  </w:r>
                </w:p>
              </w:tc>
              <w:tc>
                <w:tcPr>
                  <w:tcW w:w="1270" w:type="pct"/>
                  <w:tcBorders>
                    <w:top w:val="single" w:color="000000" w:sz="8" w:space="0"/>
                    <w:left w:val="nil"/>
                    <w:bottom w:val="single" w:color="000000" w:sz="8" w:space="0"/>
                    <w:right w:val="single" w:color="000000" w:sz="8" w:space="0"/>
                  </w:tcBorders>
                  <w:shd w:val="clear" w:color="auto" w:fill="auto"/>
                  <w:vAlign w:val="center"/>
                </w:tcPr>
                <w:p w14:paraId="2FA306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包装环节有机废气挥发</w:t>
                  </w:r>
                </w:p>
              </w:tc>
            </w:tr>
            <w:tr w14:paraId="6AA34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56A164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污染物种类</w:t>
                  </w:r>
                </w:p>
              </w:tc>
              <w:tc>
                <w:tcPr>
                  <w:tcW w:w="1373" w:type="pct"/>
                  <w:tcBorders>
                    <w:top w:val="nil"/>
                    <w:left w:val="nil"/>
                    <w:bottom w:val="single" w:color="000000" w:sz="8" w:space="0"/>
                    <w:right w:val="single" w:color="000000" w:sz="8" w:space="0"/>
                  </w:tcBorders>
                  <w:shd w:val="clear" w:color="auto" w:fill="auto"/>
                  <w:vAlign w:val="center"/>
                </w:tcPr>
                <w:p w14:paraId="2815EA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902" w:type="pct"/>
                  <w:tcBorders>
                    <w:top w:val="nil"/>
                    <w:left w:val="nil"/>
                    <w:bottom w:val="single" w:color="000000" w:sz="8" w:space="0"/>
                    <w:right w:val="single" w:color="000000" w:sz="8" w:space="0"/>
                  </w:tcBorders>
                  <w:shd w:val="clear" w:color="auto" w:fill="auto"/>
                  <w:vAlign w:val="center"/>
                </w:tcPr>
                <w:p w14:paraId="7E9DD2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1270" w:type="pct"/>
                  <w:tcBorders>
                    <w:top w:val="nil"/>
                    <w:left w:val="nil"/>
                    <w:bottom w:val="single" w:color="000000" w:sz="8" w:space="0"/>
                    <w:right w:val="single" w:color="000000" w:sz="8" w:space="0"/>
                  </w:tcBorders>
                  <w:shd w:val="clear" w:color="auto" w:fill="auto"/>
                  <w:vAlign w:val="center"/>
                </w:tcPr>
                <w:p w14:paraId="070E0A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非甲烷总烃</w:t>
                  </w:r>
                </w:p>
              </w:tc>
            </w:tr>
            <w:tr w14:paraId="636C5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15809C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污染物产生量（</w:t>
                  </w:r>
                  <w:r>
                    <w:rPr>
                      <w:rFonts w:hint="default" w:ascii="Times New Roman" w:hAnsi="Times New Roman" w:eastAsia="宋体" w:cs="Times New Roman"/>
                      <w:b/>
                      <w:bCs/>
                      <w:i w:val="0"/>
                      <w:iCs w:val="0"/>
                      <w:color w:val="000000"/>
                      <w:kern w:val="0"/>
                      <w:sz w:val="21"/>
                      <w:szCs w:val="21"/>
                      <w:u w:val="none"/>
                      <w:lang w:val="en-US" w:eastAsia="zh-CN" w:bidi="ar"/>
                    </w:rPr>
                    <w:t>t/a</w:t>
                  </w:r>
                  <w:r>
                    <w:rPr>
                      <w:rFonts w:hint="eastAsia" w:ascii="宋体" w:hAnsi="宋体" w:eastAsia="宋体" w:cs="宋体"/>
                      <w:b/>
                      <w:bCs/>
                      <w:i w:val="0"/>
                      <w:iCs w:val="0"/>
                      <w:color w:val="000000"/>
                      <w:kern w:val="0"/>
                      <w:sz w:val="21"/>
                      <w:szCs w:val="21"/>
                      <w:u w:val="none"/>
                      <w:lang w:val="en-US" w:eastAsia="zh-CN" w:bidi="ar"/>
                    </w:rPr>
                    <w:t>）</w:t>
                  </w:r>
                </w:p>
              </w:tc>
              <w:tc>
                <w:tcPr>
                  <w:tcW w:w="1373" w:type="pct"/>
                  <w:tcBorders>
                    <w:top w:val="nil"/>
                    <w:left w:val="nil"/>
                    <w:bottom w:val="single" w:color="000000" w:sz="8" w:space="0"/>
                    <w:right w:val="single" w:color="000000" w:sz="8" w:space="0"/>
                  </w:tcBorders>
                  <w:shd w:val="clear" w:color="auto" w:fill="auto"/>
                  <w:vAlign w:val="center"/>
                </w:tcPr>
                <w:p w14:paraId="2E0B3A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460</w:t>
                  </w:r>
                </w:p>
              </w:tc>
              <w:tc>
                <w:tcPr>
                  <w:tcW w:w="902" w:type="pct"/>
                  <w:tcBorders>
                    <w:top w:val="nil"/>
                    <w:left w:val="nil"/>
                    <w:bottom w:val="single" w:color="000000" w:sz="8" w:space="0"/>
                    <w:right w:val="single" w:color="000000" w:sz="8" w:space="0"/>
                  </w:tcBorders>
                  <w:shd w:val="clear" w:color="auto" w:fill="auto"/>
                  <w:vAlign w:val="center"/>
                </w:tcPr>
                <w:p w14:paraId="42CA84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1270" w:type="pct"/>
                  <w:tcBorders>
                    <w:top w:val="nil"/>
                    <w:left w:val="nil"/>
                    <w:bottom w:val="single" w:color="000000" w:sz="8" w:space="0"/>
                    <w:right w:val="single" w:color="000000" w:sz="8" w:space="0"/>
                  </w:tcBorders>
                  <w:shd w:val="clear" w:color="auto" w:fill="auto"/>
                  <w:vAlign w:val="center"/>
                </w:tcPr>
                <w:p w14:paraId="4E8621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r>
            <w:tr w14:paraId="65CFF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5C6418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污染物产生浓度（</w:t>
                  </w:r>
                  <w:r>
                    <w:rPr>
                      <w:rFonts w:hint="default" w:ascii="Times New Roman" w:hAnsi="Times New Roman" w:eastAsia="宋体" w:cs="Times New Roman"/>
                      <w:b/>
                      <w:bCs/>
                      <w:i w:val="0"/>
                      <w:iCs w:val="0"/>
                      <w:color w:val="000000"/>
                      <w:kern w:val="0"/>
                      <w:sz w:val="21"/>
                      <w:szCs w:val="21"/>
                      <w:u w:val="none"/>
                      <w:lang w:val="en-US" w:eastAsia="zh-CN" w:bidi="ar"/>
                    </w:rPr>
                    <w:t>mg/m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eastAsia" w:ascii="宋体" w:hAnsi="宋体" w:eastAsia="宋体" w:cs="宋体"/>
                      <w:b/>
                      <w:bCs/>
                      <w:i w:val="0"/>
                      <w:iCs w:val="0"/>
                      <w:color w:val="000000"/>
                      <w:kern w:val="0"/>
                      <w:sz w:val="21"/>
                      <w:szCs w:val="21"/>
                      <w:u w:val="none"/>
                      <w:lang w:val="en-US" w:eastAsia="zh-CN" w:bidi="ar"/>
                    </w:rPr>
                    <w:t>）</w:t>
                  </w:r>
                </w:p>
              </w:tc>
              <w:tc>
                <w:tcPr>
                  <w:tcW w:w="1373" w:type="pct"/>
                  <w:tcBorders>
                    <w:top w:val="nil"/>
                    <w:left w:val="nil"/>
                    <w:bottom w:val="single" w:color="000000" w:sz="8" w:space="0"/>
                    <w:right w:val="single" w:color="000000" w:sz="8" w:space="0"/>
                  </w:tcBorders>
                  <w:shd w:val="clear" w:color="auto" w:fill="auto"/>
                  <w:vAlign w:val="center"/>
                </w:tcPr>
                <w:p w14:paraId="55809B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1996</w:t>
                  </w:r>
                </w:p>
              </w:tc>
              <w:tc>
                <w:tcPr>
                  <w:tcW w:w="902" w:type="pct"/>
                  <w:tcBorders>
                    <w:top w:val="nil"/>
                    <w:left w:val="nil"/>
                    <w:bottom w:val="single" w:color="000000" w:sz="8" w:space="0"/>
                    <w:right w:val="single" w:color="000000" w:sz="8" w:space="0"/>
                  </w:tcBorders>
                  <w:shd w:val="clear" w:color="auto" w:fill="auto"/>
                  <w:vAlign w:val="center"/>
                </w:tcPr>
                <w:p w14:paraId="47A614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1270" w:type="pct"/>
                  <w:tcBorders>
                    <w:top w:val="nil"/>
                    <w:left w:val="nil"/>
                    <w:bottom w:val="single" w:color="000000" w:sz="8" w:space="0"/>
                    <w:right w:val="single" w:color="000000" w:sz="8" w:space="0"/>
                  </w:tcBorders>
                  <w:shd w:val="clear" w:color="auto" w:fill="auto"/>
                  <w:vAlign w:val="center"/>
                </w:tcPr>
                <w:p w14:paraId="68AB29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r>
            <w:tr w14:paraId="20752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36E5A6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排放形式</w:t>
                  </w:r>
                </w:p>
              </w:tc>
              <w:tc>
                <w:tcPr>
                  <w:tcW w:w="3547" w:type="pct"/>
                  <w:gridSpan w:val="3"/>
                  <w:tcBorders>
                    <w:top w:val="nil"/>
                    <w:left w:val="nil"/>
                    <w:bottom w:val="single" w:color="000000" w:sz="8" w:space="0"/>
                    <w:right w:val="single" w:color="000000" w:sz="8" w:space="0"/>
                  </w:tcBorders>
                  <w:shd w:val="clear" w:color="auto" w:fill="auto"/>
                  <w:vAlign w:val="center"/>
                </w:tcPr>
                <w:p w14:paraId="3AC391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有组织</w:t>
                  </w:r>
                </w:p>
              </w:tc>
            </w:tr>
            <w:tr w14:paraId="18A61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4" w:type="pct"/>
                  <w:vMerge w:val="restart"/>
                  <w:tcBorders>
                    <w:top w:val="nil"/>
                    <w:left w:val="single" w:color="000000" w:sz="8" w:space="0"/>
                    <w:bottom w:val="single" w:color="000000" w:sz="8" w:space="0"/>
                    <w:right w:val="single" w:color="000000" w:sz="8" w:space="0"/>
                  </w:tcBorders>
                  <w:shd w:val="clear" w:color="auto" w:fill="auto"/>
                  <w:vAlign w:val="center"/>
                </w:tcPr>
                <w:p w14:paraId="7F0DB4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治理设施</w:t>
                  </w:r>
                </w:p>
              </w:tc>
              <w:tc>
                <w:tcPr>
                  <w:tcW w:w="698" w:type="pct"/>
                  <w:tcBorders>
                    <w:top w:val="nil"/>
                    <w:left w:val="nil"/>
                    <w:bottom w:val="single" w:color="000000" w:sz="8" w:space="0"/>
                    <w:right w:val="single" w:color="000000" w:sz="8" w:space="0"/>
                  </w:tcBorders>
                  <w:shd w:val="clear" w:color="auto" w:fill="auto"/>
                  <w:vAlign w:val="center"/>
                </w:tcPr>
                <w:p w14:paraId="1FEC5C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处理能力</w:t>
                  </w:r>
                </w:p>
              </w:tc>
              <w:tc>
                <w:tcPr>
                  <w:tcW w:w="1373" w:type="pct"/>
                  <w:tcBorders>
                    <w:top w:val="single" w:color="000000" w:sz="8" w:space="0"/>
                    <w:left w:val="nil"/>
                    <w:bottom w:val="single" w:color="000000" w:sz="8" w:space="0"/>
                    <w:right w:val="single" w:color="000000" w:sz="8" w:space="0"/>
                  </w:tcBorders>
                  <w:shd w:val="clear" w:color="auto" w:fill="auto"/>
                  <w:vAlign w:val="center"/>
                </w:tcPr>
                <w:p w14:paraId="3E5DF7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48000m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w:t>
                  </w:r>
                </w:p>
              </w:tc>
              <w:tc>
                <w:tcPr>
                  <w:tcW w:w="902" w:type="pct"/>
                  <w:tcBorders>
                    <w:top w:val="single" w:color="000000" w:sz="8" w:space="0"/>
                    <w:left w:val="nil"/>
                    <w:bottom w:val="single" w:color="000000" w:sz="8" w:space="0"/>
                    <w:right w:val="single" w:color="000000" w:sz="8" w:space="0"/>
                  </w:tcBorders>
                  <w:shd w:val="clear" w:color="auto" w:fill="auto"/>
                  <w:vAlign w:val="center"/>
                </w:tcPr>
                <w:p w14:paraId="328BFA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w:t>
                  </w:r>
                </w:p>
              </w:tc>
              <w:tc>
                <w:tcPr>
                  <w:tcW w:w="1270" w:type="pct"/>
                  <w:tcBorders>
                    <w:top w:val="single" w:color="000000" w:sz="8" w:space="0"/>
                    <w:left w:val="nil"/>
                    <w:bottom w:val="single" w:color="000000" w:sz="8" w:space="0"/>
                    <w:right w:val="single" w:color="000000" w:sz="8" w:space="0"/>
                  </w:tcBorders>
                  <w:shd w:val="clear" w:color="auto" w:fill="auto"/>
                  <w:vAlign w:val="center"/>
                </w:tcPr>
                <w:p w14:paraId="70C942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w:t>
                  </w:r>
                </w:p>
              </w:tc>
            </w:tr>
            <w:tr w14:paraId="11C4B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602D20F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2143E8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收集效率</w:t>
                  </w:r>
                </w:p>
              </w:tc>
              <w:tc>
                <w:tcPr>
                  <w:tcW w:w="1373" w:type="pct"/>
                  <w:tcBorders>
                    <w:top w:val="nil"/>
                    <w:left w:val="nil"/>
                    <w:bottom w:val="single" w:color="000000" w:sz="8" w:space="0"/>
                    <w:right w:val="single" w:color="000000" w:sz="8" w:space="0"/>
                  </w:tcBorders>
                  <w:shd w:val="clear" w:color="auto" w:fill="auto"/>
                  <w:vAlign w:val="center"/>
                </w:tcPr>
                <w:p w14:paraId="798137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902" w:type="pct"/>
                  <w:tcBorders>
                    <w:top w:val="nil"/>
                    <w:left w:val="nil"/>
                    <w:bottom w:val="single" w:color="000000" w:sz="8" w:space="0"/>
                    <w:right w:val="single" w:color="000000" w:sz="8" w:space="0"/>
                  </w:tcBorders>
                  <w:shd w:val="clear" w:color="auto" w:fill="auto"/>
                  <w:vAlign w:val="center"/>
                </w:tcPr>
                <w:p w14:paraId="0E511A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270" w:type="pct"/>
                  <w:tcBorders>
                    <w:top w:val="nil"/>
                    <w:left w:val="nil"/>
                    <w:bottom w:val="single" w:color="000000" w:sz="8" w:space="0"/>
                    <w:right w:val="single" w:color="000000" w:sz="8" w:space="0"/>
                  </w:tcBorders>
                  <w:shd w:val="clear" w:color="auto" w:fill="auto"/>
                  <w:vAlign w:val="center"/>
                </w:tcPr>
                <w:p w14:paraId="6A5BFA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r>
            <w:tr w14:paraId="4042D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3AC3159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3E13AC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治理工艺</w:t>
                  </w:r>
                </w:p>
              </w:tc>
              <w:tc>
                <w:tcPr>
                  <w:tcW w:w="1373" w:type="pct"/>
                  <w:tcBorders>
                    <w:top w:val="nil"/>
                    <w:left w:val="nil"/>
                    <w:bottom w:val="single" w:color="000000" w:sz="8" w:space="0"/>
                    <w:right w:val="single" w:color="000000" w:sz="8" w:space="0"/>
                  </w:tcBorders>
                  <w:shd w:val="clear" w:color="auto" w:fill="auto"/>
                  <w:vAlign w:val="center"/>
                </w:tcPr>
                <w:p w14:paraId="614F77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集中式滤筒除尘器</w:t>
                  </w:r>
                </w:p>
              </w:tc>
              <w:tc>
                <w:tcPr>
                  <w:tcW w:w="902" w:type="pct"/>
                  <w:tcBorders>
                    <w:top w:val="nil"/>
                    <w:left w:val="nil"/>
                    <w:bottom w:val="single" w:color="000000" w:sz="8" w:space="0"/>
                    <w:right w:val="single" w:color="000000" w:sz="8" w:space="0"/>
                  </w:tcBorders>
                  <w:shd w:val="clear" w:color="auto" w:fill="auto"/>
                  <w:vAlign w:val="center"/>
                </w:tcPr>
                <w:p w14:paraId="347ED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脉冲布袋除尘器</w:t>
                  </w:r>
                </w:p>
              </w:tc>
              <w:tc>
                <w:tcPr>
                  <w:tcW w:w="1270" w:type="pct"/>
                  <w:tcBorders>
                    <w:top w:val="nil"/>
                    <w:left w:val="nil"/>
                    <w:bottom w:val="single" w:color="000000" w:sz="8" w:space="0"/>
                    <w:right w:val="single" w:color="000000" w:sz="8" w:space="0"/>
                  </w:tcBorders>
                  <w:shd w:val="clear" w:color="auto" w:fill="auto"/>
                  <w:vAlign w:val="center"/>
                </w:tcPr>
                <w:p w14:paraId="3AB5CC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UV</w:t>
                  </w:r>
                  <w:r>
                    <w:rPr>
                      <w:rFonts w:hint="eastAsia" w:ascii="宋体" w:hAnsi="宋体" w:eastAsia="宋体" w:cs="宋体"/>
                      <w:i w:val="0"/>
                      <w:iCs w:val="0"/>
                      <w:color w:val="000000"/>
                      <w:kern w:val="0"/>
                      <w:sz w:val="21"/>
                      <w:szCs w:val="21"/>
                      <w:u w:val="none"/>
                      <w:lang w:val="en-US" w:eastAsia="zh-CN" w:bidi="ar"/>
                    </w:rPr>
                    <w:t>光氧</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活性炭吸附</w:t>
                  </w:r>
                </w:p>
              </w:tc>
            </w:tr>
            <w:tr w14:paraId="097C3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7139C6E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2541C6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治理工艺去除率</w:t>
                  </w:r>
                </w:p>
              </w:tc>
              <w:tc>
                <w:tcPr>
                  <w:tcW w:w="1373" w:type="pct"/>
                  <w:tcBorders>
                    <w:top w:val="nil"/>
                    <w:left w:val="nil"/>
                    <w:bottom w:val="single" w:color="000000" w:sz="8" w:space="0"/>
                    <w:right w:val="single" w:color="000000" w:sz="8" w:space="0"/>
                  </w:tcBorders>
                  <w:shd w:val="clear" w:color="auto" w:fill="auto"/>
                  <w:vAlign w:val="center"/>
                </w:tcPr>
                <w:p w14:paraId="5E6BE6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902" w:type="pct"/>
                  <w:tcBorders>
                    <w:top w:val="nil"/>
                    <w:left w:val="nil"/>
                    <w:bottom w:val="single" w:color="000000" w:sz="8" w:space="0"/>
                    <w:right w:val="single" w:color="000000" w:sz="8" w:space="0"/>
                  </w:tcBorders>
                  <w:shd w:val="clear" w:color="auto" w:fill="auto"/>
                  <w:vAlign w:val="center"/>
                </w:tcPr>
                <w:p w14:paraId="0AF6E5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270" w:type="pct"/>
                  <w:tcBorders>
                    <w:top w:val="nil"/>
                    <w:left w:val="nil"/>
                    <w:bottom w:val="single" w:color="000000" w:sz="8" w:space="0"/>
                    <w:right w:val="single" w:color="000000" w:sz="8" w:space="0"/>
                  </w:tcBorders>
                  <w:shd w:val="clear" w:color="auto" w:fill="auto"/>
                  <w:vAlign w:val="center"/>
                </w:tcPr>
                <w:p w14:paraId="014DED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r>
            <w:tr w14:paraId="0C4A3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78E5A63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5C15C8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是否为可行技术</w:t>
                  </w:r>
                </w:p>
              </w:tc>
              <w:tc>
                <w:tcPr>
                  <w:tcW w:w="1373" w:type="pct"/>
                  <w:tcBorders>
                    <w:top w:val="nil"/>
                    <w:left w:val="nil"/>
                    <w:bottom w:val="single" w:color="000000" w:sz="8" w:space="0"/>
                    <w:right w:val="single" w:color="000000" w:sz="8" w:space="0"/>
                  </w:tcBorders>
                  <w:shd w:val="clear" w:color="auto" w:fill="auto"/>
                  <w:vAlign w:val="center"/>
                </w:tcPr>
                <w:p w14:paraId="636F78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902" w:type="pct"/>
                  <w:tcBorders>
                    <w:top w:val="nil"/>
                    <w:left w:val="nil"/>
                    <w:bottom w:val="single" w:color="000000" w:sz="8" w:space="0"/>
                    <w:right w:val="single" w:color="000000" w:sz="8" w:space="0"/>
                  </w:tcBorders>
                  <w:shd w:val="clear" w:color="auto" w:fill="auto"/>
                  <w:vAlign w:val="center"/>
                </w:tcPr>
                <w:p w14:paraId="153DBA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1270" w:type="pct"/>
                  <w:tcBorders>
                    <w:top w:val="nil"/>
                    <w:left w:val="nil"/>
                    <w:bottom w:val="single" w:color="000000" w:sz="8" w:space="0"/>
                    <w:right w:val="single" w:color="000000" w:sz="8" w:space="0"/>
                  </w:tcBorders>
                  <w:shd w:val="clear" w:color="auto" w:fill="auto"/>
                  <w:vAlign w:val="center"/>
                </w:tcPr>
                <w:p w14:paraId="78F1E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r>
            <w:tr w14:paraId="78FE0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72E52F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污染物排放浓度（</w:t>
                  </w:r>
                  <w:r>
                    <w:rPr>
                      <w:rFonts w:hint="default" w:ascii="Times New Roman" w:hAnsi="Times New Roman" w:eastAsia="宋体" w:cs="Times New Roman"/>
                      <w:b/>
                      <w:bCs/>
                      <w:i w:val="0"/>
                      <w:iCs w:val="0"/>
                      <w:color w:val="000000"/>
                      <w:kern w:val="0"/>
                      <w:sz w:val="21"/>
                      <w:szCs w:val="21"/>
                      <w:u w:val="none"/>
                      <w:lang w:val="en-US" w:eastAsia="zh-CN" w:bidi="ar"/>
                    </w:rPr>
                    <w:t>mg/m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eastAsia" w:ascii="宋体" w:hAnsi="宋体" w:eastAsia="宋体" w:cs="宋体"/>
                      <w:b/>
                      <w:bCs/>
                      <w:i w:val="0"/>
                      <w:iCs w:val="0"/>
                      <w:color w:val="000000"/>
                      <w:kern w:val="0"/>
                      <w:sz w:val="21"/>
                      <w:szCs w:val="21"/>
                      <w:u w:val="none"/>
                      <w:lang w:val="en-US" w:eastAsia="zh-CN" w:bidi="ar"/>
                    </w:rPr>
                    <w:t>）</w:t>
                  </w:r>
                </w:p>
              </w:tc>
              <w:tc>
                <w:tcPr>
                  <w:tcW w:w="1373" w:type="pct"/>
                  <w:tcBorders>
                    <w:top w:val="nil"/>
                    <w:left w:val="nil"/>
                    <w:bottom w:val="single" w:color="000000" w:sz="8" w:space="0"/>
                    <w:right w:val="single" w:color="000000" w:sz="8" w:space="0"/>
                  </w:tcBorders>
                  <w:shd w:val="clear" w:color="auto" w:fill="auto"/>
                  <w:vAlign w:val="center"/>
                </w:tcPr>
                <w:p w14:paraId="07CB0C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02" w:type="pct"/>
                  <w:tcBorders>
                    <w:top w:val="nil"/>
                    <w:left w:val="nil"/>
                    <w:bottom w:val="single" w:color="000000" w:sz="8" w:space="0"/>
                    <w:right w:val="single" w:color="000000" w:sz="8" w:space="0"/>
                  </w:tcBorders>
                  <w:shd w:val="clear" w:color="auto" w:fill="auto"/>
                  <w:vAlign w:val="center"/>
                </w:tcPr>
                <w:p w14:paraId="0796F2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1270" w:type="pct"/>
                  <w:tcBorders>
                    <w:top w:val="nil"/>
                    <w:left w:val="nil"/>
                    <w:bottom w:val="single" w:color="000000" w:sz="8" w:space="0"/>
                    <w:right w:val="single" w:color="000000" w:sz="8" w:space="0"/>
                  </w:tcBorders>
                  <w:shd w:val="clear" w:color="auto" w:fill="auto"/>
                  <w:vAlign w:val="center"/>
                </w:tcPr>
                <w:p w14:paraId="366A94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14:paraId="14811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28B84B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污染物排放速率（</w:t>
                  </w:r>
                  <w:r>
                    <w:rPr>
                      <w:rFonts w:hint="default" w:ascii="Times New Roman" w:hAnsi="Times New Roman" w:eastAsia="宋体" w:cs="Times New Roman"/>
                      <w:b/>
                      <w:bCs/>
                      <w:i w:val="0"/>
                      <w:iCs w:val="0"/>
                      <w:color w:val="000000"/>
                      <w:kern w:val="0"/>
                      <w:sz w:val="21"/>
                      <w:szCs w:val="21"/>
                      <w:u w:val="none"/>
                      <w:lang w:val="en-US" w:eastAsia="zh-CN" w:bidi="ar"/>
                    </w:rPr>
                    <w:t>kg/h</w:t>
                  </w:r>
                  <w:r>
                    <w:rPr>
                      <w:rFonts w:hint="eastAsia" w:ascii="宋体" w:hAnsi="宋体" w:eastAsia="宋体" w:cs="宋体"/>
                      <w:b/>
                      <w:bCs/>
                      <w:i w:val="0"/>
                      <w:iCs w:val="0"/>
                      <w:color w:val="000000"/>
                      <w:kern w:val="0"/>
                      <w:sz w:val="21"/>
                      <w:szCs w:val="21"/>
                      <w:u w:val="none"/>
                      <w:lang w:val="en-US" w:eastAsia="zh-CN" w:bidi="ar"/>
                    </w:rPr>
                    <w:t>）</w:t>
                  </w:r>
                </w:p>
              </w:tc>
              <w:tc>
                <w:tcPr>
                  <w:tcW w:w="1373" w:type="pct"/>
                  <w:tcBorders>
                    <w:top w:val="nil"/>
                    <w:left w:val="nil"/>
                    <w:bottom w:val="single" w:color="000000" w:sz="8" w:space="0"/>
                    <w:right w:val="single" w:color="000000" w:sz="8" w:space="0"/>
                  </w:tcBorders>
                  <w:shd w:val="clear" w:color="auto" w:fill="auto"/>
                  <w:vAlign w:val="center"/>
                </w:tcPr>
                <w:p w14:paraId="79A353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0.96</w:t>
                  </w:r>
                </w:p>
              </w:tc>
              <w:tc>
                <w:tcPr>
                  <w:tcW w:w="902" w:type="pct"/>
                  <w:tcBorders>
                    <w:top w:val="nil"/>
                    <w:left w:val="nil"/>
                    <w:bottom w:val="single" w:color="000000" w:sz="8" w:space="0"/>
                    <w:right w:val="single" w:color="000000" w:sz="8" w:space="0"/>
                  </w:tcBorders>
                  <w:shd w:val="clear" w:color="auto" w:fill="auto"/>
                  <w:vAlign w:val="center"/>
                </w:tcPr>
                <w:p w14:paraId="73EA72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0.008</w:t>
                  </w:r>
                </w:p>
              </w:tc>
              <w:tc>
                <w:tcPr>
                  <w:tcW w:w="1270" w:type="pct"/>
                  <w:tcBorders>
                    <w:top w:val="nil"/>
                    <w:left w:val="nil"/>
                    <w:bottom w:val="single" w:color="000000" w:sz="8" w:space="0"/>
                    <w:right w:val="single" w:color="000000" w:sz="8" w:space="0"/>
                  </w:tcBorders>
                  <w:shd w:val="clear" w:color="auto" w:fill="auto"/>
                  <w:vAlign w:val="center"/>
                </w:tcPr>
                <w:p w14:paraId="69B070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0.077</w:t>
                  </w:r>
                </w:p>
              </w:tc>
            </w:tr>
            <w:tr w14:paraId="350C0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039DCA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污染物排放量（</w:t>
                  </w:r>
                  <w:r>
                    <w:rPr>
                      <w:rFonts w:hint="default" w:ascii="Times New Roman" w:hAnsi="Times New Roman" w:eastAsia="宋体" w:cs="Times New Roman"/>
                      <w:b/>
                      <w:bCs/>
                      <w:i w:val="0"/>
                      <w:iCs w:val="0"/>
                      <w:color w:val="000000"/>
                      <w:kern w:val="0"/>
                      <w:sz w:val="21"/>
                      <w:szCs w:val="21"/>
                      <w:u w:val="none"/>
                      <w:lang w:val="en-US" w:eastAsia="zh-CN" w:bidi="ar"/>
                    </w:rPr>
                    <w:t>t/a</w:t>
                  </w:r>
                  <w:r>
                    <w:rPr>
                      <w:rFonts w:hint="eastAsia" w:ascii="宋体" w:hAnsi="宋体" w:eastAsia="宋体" w:cs="宋体"/>
                      <w:b/>
                      <w:bCs/>
                      <w:i w:val="0"/>
                      <w:iCs w:val="0"/>
                      <w:color w:val="000000"/>
                      <w:kern w:val="0"/>
                      <w:sz w:val="21"/>
                      <w:szCs w:val="21"/>
                      <w:u w:val="none"/>
                      <w:lang w:val="en-US" w:eastAsia="zh-CN" w:bidi="ar"/>
                    </w:rPr>
                    <w:t>）</w:t>
                  </w:r>
                </w:p>
              </w:tc>
              <w:tc>
                <w:tcPr>
                  <w:tcW w:w="1373" w:type="pct"/>
                  <w:tcBorders>
                    <w:top w:val="nil"/>
                    <w:left w:val="nil"/>
                    <w:bottom w:val="single" w:color="000000" w:sz="8" w:space="0"/>
                    <w:right w:val="single" w:color="000000" w:sz="8" w:space="0"/>
                  </w:tcBorders>
                  <w:shd w:val="clear" w:color="auto" w:fill="auto"/>
                  <w:vAlign w:val="center"/>
                </w:tcPr>
                <w:p w14:paraId="1354DE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902" w:type="pct"/>
                  <w:tcBorders>
                    <w:top w:val="nil"/>
                    <w:left w:val="nil"/>
                    <w:bottom w:val="nil"/>
                    <w:right w:val="single" w:color="000000" w:sz="8" w:space="0"/>
                  </w:tcBorders>
                  <w:shd w:val="clear" w:color="auto" w:fill="auto"/>
                  <w:vAlign w:val="center"/>
                </w:tcPr>
                <w:p w14:paraId="3843C5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1270" w:type="pct"/>
                  <w:tcBorders>
                    <w:top w:val="nil"/>
                    <w:left w:val="nil"/>
                    <w:bottom w:val="nil"/>
                    <w:right w:val="single" w:color="000000" w:sz="8" w:space="0"/>
                  </w:tcBorders>
                  <w:shd w:val="clear" w:color="auto" w:fill="auto"/>
                  <w:vAlign w:val="center"/>
                </w:tcPr>
                <w:p w14:paraId="3FDB6A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0.069</w:t>
                  </w:r>
                </w:p>
              </w:tc>
            </w:tr>
            <w:tr w14:paraId="38F05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754" w:type="pct"/>
                  <w:vMerge w:val="restart"/>
                  <w:tcBorders>
                    <w:top w:val="nil"/>
                    <w:left w:val="single" w:color="000000" w:sz="8" w:space="0"/>
                    <w:bottom w:val="single" w:color="000000" w:sz="8" w:space="0"/>
                    <w:right w:val="single" w:color="000000" w:sz="8" w:space="0"/>
                  </w:tcBorders>
                  <w:shd w:val="clear" w:color="auto" w:fill="auto"/>
                  <w:vAlign w:val="center"/>
                </w:tcPr>
                <w:p w14:paraId="4AF226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排放口基本情况</w:t>
                  </w:r>
                </w:p>
              </w:tc>
              <w:tc>
                <w:tcPr>
                  <w:tcW w:w="698" w:type="pct"/>
                  <w:tcBorders>
                    <w:top w:val="nil"/>
                    <w:left w:val="nil"/>
                    <w:bottom w:val="single" w:color="000000" w:sz="8" w:space="0"/>
                    <w:right w:val="single" w:color="000000" w:sz="8" w:space="0"/>
                  </w:tcBorders>
                  <w:shd w:val="clear" w:color="auto" w:fill="auto"/>
                  <w:vAlign w:val="center"/>
                </w:tcPr>
                <w:p w14:paraId="26A081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排气筒高度</w:t>
                  </w:r>
                </w:p>
              </w:tc>
              <w:tc>
                <w:tcPr>
                  <w:tcW w:w="1373" w:type="pct"/>
                  <w:tcBorders>
                    <w:top w:val="nil"/>
                    <w:left w:val="nil"/>
                    <w:bottom w:val="single" w:color="000000" w:sz="8" w:space="0"/>
                    <w:right w:val="nil"/>
                  </w:tcBorders>
                  <w:shd w:val="clear" w:color="auto" w:fill="auto"/>
                  <w:vAlign w:val="center"/>
                </w:tcPr>
                <w:p w14:paraId="304D69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w:t>
                  </w:r>
                </w:p>
              </w:tc>
              <w:tc>
                <w:tcPr>
                  <w:tcW w:w="2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0F04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w:t>
                  </w:r>
                </w:p>
              </w:tc>
            </w:tr>
            <w:tr w14:paraId="6FBF6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0630ECE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54E9E8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排气筒内径</w:t>
                  </w:r>
                </w:p>
              </w:tc>
              <w:tc>
                <w:tcPr>
                  <w:tcW w:w="1373" w:type="pct"/>
                  <w:tcBorders>
                    <w:top w:val="nil"/>
                    <w:left w:val="nil"/>
                    <w:bottom w:val="single" w:color="000000" w:sz="8" w:space="0"/>
                    <w:right w:val="nil"/>
                  </w:tcBorders>
                  <w:shd w:val="clear" w:color="auto" w:fill="auto"/>
                  <w:vAlign w:val="center"/>
                </w:tcPr>
                <w:p w14:paraId="28A226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0.7m</w:t>
                  </w:r>
                </w:p>
              </w:tc>
              <w:tc>
                <w:tcPr>
                  <w:tcW w:w="2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C0A9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0.5m</w:t>
                  </w:r>
                </w:p>
              </w:tc>
            </w:tr>
            <w:tr w14:paraId="3EE25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642EE03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1A8F69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温度</w:t>
                  </w:r>
                </w:p>
              </w:tc>
              <w:tc>
                <w:tcPr>
                  <w:tcW w:w="1373" w:type="pct"/>
                  <w:tcBorders>
                    <w:top w:val="nil"/>
                    <w:left w:val="nil"/>
                    <w:bottom w:val="single" w:color="000000" w:sz="8" w:space="0"/>
                    <w:right w:val="single" w:color="000000" w:sz="8" w:space="0"/>
                  </w:tcBorders>
                  <w:shd w:val="clear" w:color="auto" w:fill="auto"/>
                  <w:vAlign w:val="center"/>
                </w:tcPr>
                <w:p w14:paraId="475F17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173" w:type="pct"/>
                  <w:gridSpan w:val="2"/>
                  <w:tcBorders>
                    <w:top w:val="nil"/>
                    <w:left w:val="nil"/>
                    <w:bottom w:val="single" w:color="000000" w:sz="8" w:space="0"/>
                    <w:right w:val="single" w:color="000000" w:sz="8" w:space="0"/>
                  </w:tcBorders>
                  <w:shd w:val="clear" w:color="auto" w:fill="auto"/>
                  <w:vAlign w:val="center"/>
                </w:tcPr>
                <w:p w14:paraId="592BD3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r>
            <w:tr w14:paraId="51BB2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03D5B76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138031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编号</w:t>
                  </w:r>
                </w:p>
              </w:tc>
              <w:tc>
                <w:tcPr>
                  <w:tcW w:w="1373" w:type="pct"/>
                  <w:tcBorders>
                    <w:top w:val="nil"/>
                    <w:left w:val="nil"/>
                    <w:bottom w:val="single" w:color="000000" w:sz="8" w:space="0"/>
                    <w:right w:val="single" w:color="000000" w:sz="8" w:space="0"/>
                  </w:tcBorders>
                  <w:shd w:val="clear" w:color="auto" w:fill="auto"/>
                  <w:vAlign w:val="center"/>
                </w:tcPr>
                <w:p w14:paraId="79BDAA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DA001</w:t>
                  </w:r>
                </w:p>
              </w:tc>
              <w:tc>
                <w:tcPr>
                  <w:tcW w:w="2173" w:type="pct"/>
                  <w:gridSpan w:val="2"/>
                  <w:tcBorders>
                    <w:top w:val="nil"/>
                    <w:left w:val="nil"/>
                    <w:bottom w:val="single" w:color="000000" w:sz="8" w:space="0"/>
                    <w:right w:val="single" w:color="000000" w:sz="8" w:space="0"/>
                  </w:tcBorders>
                  <w:shd w:val="clear" w:color="auto" w:fill="auto"/>
                  <w:vAlign w:val="center"/>
                </w:tcPr>
                <w:p w14:paraId="7EF06E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DA002</w:t>
                  </w:r>
                </w:p>
              </w:tc>
            </w:tr>
            <w:tr w14:paraId="14413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2076644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708846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类型</w:t>
                  </w:r>
                </w:p>
              </w:tc>
              <w:tc>
                <w:tcPr>
                  <w:tcW w:w="1373" w:type="pct"/>
                  <w:tcBorders>
                    <w:top w:val="nil"/>
                    <w:left w:val="nil"/>
                    <w:bottom w:val="single" w:color="000000" w:sz="8" w:space="0"/>
                    <w:right w:val="single" w:color="000000" w:sz="8" w:space="0"/>
                  </w:tcBorders>
                  <w:shd w:val="clear" w:color="auto" w:fill="auto"/>
                  <w:vAlign w:val="center"/>
                </w:tcPr>
                <w:p w14:paraId="7AA194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一般排放口</w:t>
                  </w:r>
                </w:p>
              </w:tc>
              <w:tc>
                <w:tcPr>
                  <w:tcW w:w="2173" w:type="pct"/>
                  <w:gridSpan w:val="2"/>
                  <w:tcBorders>
                    <w:top w:val="nil"/>
                    <w:left w:val="nil"/>
                    <w:bottom w:val="single" w:color="000000" w:sz="8" w:space="0"/>
                    <w:right w:val="single" w:color="000000" w:sz="8" w:space="0"/>
                  </w:tcBorders>
                  <w:shd w:val="clear" w:color="auto" w:fill="auto"/>
                  <w:vAlign w:val="center"/>
                </w:tcPr>
                <w:p w14:paraId="21782D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一般排放口</w:t>
                  </w:r>
                </w:p>
              </w:tc>
            </w:tr>
            <w:tr w14:paraId="3D344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7D22B0E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320DB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地理坐标</w:t>
                  </w:r>
                </w:p>
              </w:tc>
              <w:tc>
                <w:tcPr>
                  <w:tcW w:w="1373" w:type="pct"/>
                  <w:tcBorders>
                    <w:top w:val="nil"/>
                    <w:left w:val="nil"/>
                    <w:bottom w:val="single" w:color="000000" w:sz="8" w:space="0"/>
                    <w:right w:val="single" w:color="000000" w:sz="8" w:space="0"/>
                  </w:tcBorders>
                  <w:shd w:val="clear" w:color="auto" w:fill="auto"/>
                  <w:vAlign w:val="center"/>
                </w:tcPr>
                <w:p w14:paraId="49BB63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102°27′43.57″</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25°16′18.28″</w:t>
                  </w:r>
                </w:p>
              </w:tc>
              <w:tc>
                <w:tcPr>
                  <w:tcW w:w="2173" w:type="pct"/>
                  <w:gridSpan w:val="2"/>
                  <w:tcBorders>
                    <w:top w:val="nil"/>
                    <w:left w:val="nil"/>
                    <w:bottom w:val="single" w:color="000000" w:sz="8" w:space="0"/>
                    <w:right w:val="single" w:color="000000" w:sz="8" w:space="0"/>
                  </w:tcBorders>
                  <w:shd w:val="clear" w:color="auto" w:fill="auto"/>
                  <w:vAlign w:val="center"/>
                </w:tcPr>
                <w:p w14:paraId="049705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102°27′41.43″</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25°16′15.39″</w:t>
                  </w:r>
                </w:p>
              </w:tc>
            </w:tr>
            <w:tr w14:paraId="32D1C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00" w:type="pct"/>
                  <w:gridSpan w:val="5"/>
                  <w:tcBorders>
                    <w:top w:val="nil"/>
                    <w:left w:val="single" w:color="000000" w:sz="8" w:space="0"/>
                    <w:bottom w:val="single" w:color="000000" w:sz="8" w:space="0"/>
                    <w:right w:val="single" w:color="000000" w:sz="8" w:space="0"/>
                  </w:tcBorders>
                  <w:shd w:val="clear" w:color="auto" w:fill="auto"/>
                  <w:vAlign w:val="center"/>
                </w:tcPr>
                <w:p w14:paraId="3EE33E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监测要求</w:t>
                  </w:r>
                </w:p>
              </w:tc>
            </w:tr>
            <w:tr w14:paraId="41494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28ECAC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监测点位</w:t>
                  </w:r>
                </w:p>
              </w:tc>
              <w:tc>
                <w:tcPr>
                  <w:tcW w:w="1373" w:type="pct"/>
                  <w:tcBorders>
                    <w:top w:val="single" w:color="000000" w:sz="8" w:space="0"/>
                    <w:left w:val="nil"/>
                    <w:bottom w:val="single" w:color="000000" w:sz="8" w:space="0"/>
                    <w:right w:val="single" w:color="000000" w:sz="8" w:space="0"/>
                  </w:tcBorders>
                  <w:shd w:val="clear" w:color="auto" w:fill="auto"/>
                  <w:vAlign w:val="center"/>
                </w:tcPr>
                <w:p w14:paraId="63A465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排气筒出口</w:t>
                  </w:r>
                </w:p>
              </w:tc>
              <w:tc>
                <w:tcPr>
                  <w:tcW w:w="2173" w:type="pct"/>
                  <w:gridSpan w:val="2"/>
                  <w:tcBorders>
                    <w:top w:val="single" w:color="000000" w:sz="8" w:space="0"/>
                    <w:left w:val="nil"/>
                    <w:bottom w:val="single" w:color="000000" w:sz="8" w:space="0"/>
                    <w:right w:val="single" w:color="000000" w:sz="8" w:space="0"/>
                  </w:tcBorders>
                  <w:shd w:val="clear" w:color="auto" w:fill="auto"/>
                  <w:vAlign w:val="center"/>
                </w:tcPr>
                <w:p w14:paraId="685949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排气筒出口</w:t>
                  </w:r>
                </w:p>
              </w:tc>
            </w:tr>
            <w:tr w14:paraId="20A7A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3F220A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监测因子</w:t>
                  </w:r>
                </w:p>
              </w:tc>
              <w:tc>
                <w:tcPr>
                  <w:tcW w:w="1373" w:type="pct"/>
                  <w:tcBorders>
                    <w:top w:val="nil"/>
                    <w:left w:val="nil"/>
                    <w:bottom w:val="single" w:color="000000" w:sz="8" w:space="0"/>
                    <w:right w:val="single" w:color="000000" w:sz="8" w:space="0"/>
                  </w:tcBorders>
                  <w:shd w:val="clear" w:color="auto" w:fill="auto"/>
                  <w:vAlign w:val="center"/>
                </w:tcPr>
                <w:p w14:paraId="20E120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2173" w:type="pct"/>
                  <w:gridSpan w:val="2"/>
                  <w:tcBorders>
                    <w:top w:val="nil"/>
                    <w:left w:val="nil"/>
                    <w:bottom w:val="single" w:color="000000" w:sz="8" w:space="0"/>
                    <w:right w:val="single" w:color="000000" w:sz="8" w:space="0"/>
                  </w:tcBorders>
                  <w:shd w:val="clear" w:color="auto" w:fill="auto"/>
                  <w:vAlign w:val="center"/>
                </w:tcPr>
                <w:p w14:paraId="62FAAE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颗粒物、非甲烷总烃</w:t>
                  </w:r>
                </w:p>
              </w:tc>
            </w:tr>
            <w:tr w14:paraId="202CA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693F77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监测频次</w:t>
                  </w:r>
                </w:p>
              </w:tc>
              <w:tc>
                <w:tcPr>
                  <w:tcW w:w="1373" w:type="pct"/>
                  <w:tcBorders>
                    <w:top w:val="nil"/>
                    <w:left w:val="nil"/>
                    <w:bottom w:val="single" w:color="000000" w:sz="8" w:space="0"/>
                    <w:right w:val="single" w:color="000000" w:sz="8" w:space="0"/>
                  </w:tcBorders>
                  <w:shd w:val="clear" w:color="auto" w:fill="auto"/>
                  <w:vAlign w:val="center"/>
                </w:tcPr>
                <w:p w14:paraId="33A783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次</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季</w:t>
                  </w:r>
                </w:p>
              </w:tc>
              <w:tc>
                <w:tcPr>
                  <w:tcW w:w="2173" w:type="pct"/>
                  <w:gridSpan w:val="2"/>
                  <w:tcBorders>
                    <w:top w:val="nil"/>
                    <w:left w:val="nil"/>
                    <w:bottom w:val="single" w:color="000000" w:sz="8" w:space="0"/>
                    <w:right w:val="single" w:color="000000" w:sz="8" w:space="0"/>
                  </w:tcBorders>
                  <w:shd w:val="clear" w:color="auto" w:fill="auto"/>
                  <w:vAlign w:val="center"/>
                </w:tcPr>
                <w:p w14:paraId="2EBF70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次</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季</w:t>
                  </w:r>
                </w:p>
              </w:tc>
            </w:tr>
            <w:tr w14:paraId="3EBC1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74E3FE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执行标准</w:t>
                  </w:r>
                </w:p>
              </w:tc>
              <w:tc>
                <w:tcPr>
                  <w:tcW w:w="3547" w:type="pct"/>
                  <w:gridSpan w:val="3"/>
                  <w:tcBorders>
                    <w:top w:val="nil"/>
                    <w:left w:val="nil"/>
                    <w:bottom w:val="single" w:color="000000" w:sz="8" w:space="0"/>
                    <w:right w:val="single" w:color="000000" w:sz="8" w:space="0"/>
                  </w:tcBorders>
                  <w:shd w:val="clear" w:color="auto" w:fill="auto"/>
                  <w:vAlign w:val="center"/>
                </w:tcPr>
                <w:p w14:paraId="367701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《涂料、油墨、胶粘剂工业大气污染物排放标准》（</w:t>
                  </w:r>
                  <w:r>
                    <w:rPr>
                      <w:rFonts w:hint="default" w:ascii="Times New Roman" w:hAnsi="Times New Roman" w:eastAsia="宋体" w:cs="Times New Roman"/>
                      <w:i w:val="0"/>
                      <w:iCs w:val="0"/>
                      <w:color w:val="000000"/>
                      <w:kern w:val="0"/>
                      <w:sz w:val="21"/>
                      <w:szCs w:val="21"/>
                      <w:u w:val="none"/>
                      <w:lang w:val="en-US" w:eastAsia="zh-CN" w:bidi="ar"/>
                    </w:rPr>
                    <w:t>GB37824-2019</w:t>
                  </w:r>
                  <w:r>
                    <w:rPr>
                      <w:rFonts w:hint="eastAsia" w:ascii="宋体" w:hAnsi="宋体" w:eastAsia="宋体" w:cs="宋体"/>
                      <w:i w:val="0"/>
                      <w:iCs w:val="0"/>
                      <w:color w:val="000000"/>
                      <w:kern w:val="0"/>
                      <w:sz w:val="21"/>
                      <w:szCs w:val="21"/>
                      <w:u w:val="none"/>
                      <w:lang w:val="en-US" w:eastAsia="zh-CN" w:bidi="ar"/>
                    </w:rPr>
                    <w:t>）表</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中有组织最高允许排放浓度限值。</w:t>
                  </w:r>
                </w:p>
              </w:tc>
            </w:tr>
          </w:tbl>
          <w:p w14:paraId="6BF71A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①</w:t>
            </w:r>
            <w:r>
              <w:rPr>
                <w:rFonts w:hint="eastAsia" w:cs="Times New Roman"/>
                <w:b/>
                <w:bCs/>
                <w:color w:val="auto"/>
                <w:sz w:val="24"/>
                <w:szCs w:val="24"/>
                <w:lang w:val="en-US" w:eastAsia="zh-CN"/>
              </w:rPr>
              <w:t>水性涂料生产车间</w:t>
            </w:r>
          </w:p>
          <w:p w14:paraId="365FB1A5">
            <w:pPr>
              <w:keepNext w:val="0"/>
              <w:keepLines w:val="0"/>
              <w:pageBreakBefore w:val="0"/>
              <w:widowControl w:val="0"/>
              <w:numPr>
                <w:ilvl w:val="0"/>
                <w:numId w:val="4"/>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乳胶漆生产线</w:t>
            </w:r>
            <w:r>
              <w:rPr>
                <w:rFonts w:hint="default" w:ascii="Times New Roman" w:hAnsi="Times New Roman" w:eastAsia="宋体" w:cs="Times New Roman"/>
                <w:color w:val="auto"/>
                <w:sz w:val="24"/>
                <w:szCs w:val="24"/>
                <w:lang w:val="en-US" w:eastAsia="zh-CN"/>
              </w:rPr>
              <w:t>投料粉尘</w:t>
            </w:r>
          </w:p>
          <w:p w14:paraId="29FA17A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乳胶漆生产的原料</w:t>
            </w:r>
            <w:r>
              <w:rPr>
                <w:rFonts w:hint="eastAsia" w:cs="Times New Roman"/>
                <w:color w:val="auto"/>
                <w:sz w:val="24"/>
                <w:szCs w:val="24"/>
                <w:lang w:val="en-US" w:eastAsia="zh-CN"/>
              </w:rPr>
              <w:t>粉料</w:t>
            </w:r>
            <w:r>
              <w:rPr>
                <w:rFonts w:hint="default" w:ascii="Times New Roman" w:hAnsi="Times New Roman" w:eastAsia="宋体" w:cs="Times New Roman"/>
                <w:color w:val="auto"/>
                <w:sz w:val="24"/>
                <w:szCs w:val="24"/>
                <w:lang w:val="en-US" w:eastAsia="zh-CN"/>
              </w:rPr>
              <w:t>有三种，钛白粉、碳酸钙和高岭土，其料径分别为0.25-0.26μm、1－3μm 和&lt;2μm，在生产过程中，原料是通过投料槽，进入混合罐，投料槽中物质的运输在负压状况下进行，但投料会有部分的原料粉尘散发到空气中。在投料口上方设置有一个面积约为0.5m×0.5m的抽风口，</w:t>
            </w:r>
            <w:r>
              <w:rPr>
                <w:rFonts w:hint="eastAsia" w:cs="Times New Roman"/>
                <w:color w:val="auto"/>
                <w:sz w:val="24"/>
                <w:szCs w:val="24"/>
                <w:lang w:val="en-US" w:eastAsia="zh-CN"/>
              </w:rPr>
              <w:t>在抽风口设置集气罩进行收集</w:t>
            </w:r>
            <w:r>
              <w:rPr>
                <w:rFonts w:hint="default" w:ascii="Times New Roman" w:hAnsi="Times New Roman" w:eastAsia="宋体" w:cs="Times New Roman"/>
                <w:color w:val="auto"/>
                <w:sz w:val="24"/>
                <w:szCs w:val="24"/>
                <w:lang w:val="en-US" w:eastAsia="zh-CN"/>
              </w:rPr>
              <w:t>。</w:t>
            </w:r>
          </w:p>
          <w:p w14:paraId="6F851E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本项目扩建完成后，年产乳胶漆75000吨，根据《工业源产排污核算方法和系数手册》（2021年6月发布）中2641涂料制造行业系数表（续1）的水性建筑涂料产污系数颗粒物取值为2.30×10</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kg/吨-产品，粉尘产生量为1.725t/a，乳胶漆年产生时间为250天，每天8小时，故</w:t>
            </w:r>
            <w:r>
              <w:rPr>
                <w:rFonts w:hint="eastAsia" w:cs="Times New Roman"/>
                <w:color w:val="auto"/>
                <w:sz w:val="24"/>
                <w:szCs w:val="24"/>
                <w:lang w:val="en-US" w:eastAsia="zh-CN"/>
              </w:rPr>
              <w:t>粉尘</w:t>
            </w:r>
            <w:r>
              <w:rPr>
                <w:rFonts w:hint="default" w:ascii="Times New Roman" w:hAnsi="Times New Roman" w:eastAsia="宋体" w:cs="Times New Roman"/>
                <w:color w:val="auto"/>
                <w:sz w:val="24"/>
                <w:szCs w:val="24"/>
                <w:lang w:val="en-US" w:eastAsia="zh-CN"/>
              </w:rPr>
              <w:t>产生速率为0.863kg/h。</w:t>
            </w:r>
          </w:p>
          <w:p w14:paraId="32EA70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B</w:t>
            </w:r>
            <w:r>
              <w:rPr>
                <w:rFonts w:hint="default" w:ascii="Times New Roman" w:hAnsi="Times New Roman" w:eastAsia="宋体" w:cs="Times New Roman"/>
                <w:b w:val="0"/>
                <w:bCs w:val="0"/>
                <w:color w:val="auto"/>
                <w:sz w:val="24"/>
                <w:szCs w:val="24"/>
                <w:lang w:val="en-US" w:eastAsia="zh-CN"/>
              </w:rPr>
              <w:t>、砂壁</w:t>
            </w:r>
            <w:r>
              <w:rPr>
                <w:rFonts w:hint="eastAsia" w:cs="Times New Roman"/>
                <w:b w:val="0"/>
                <w:bCs w:val="0"/>
                <w:color w:val="auto"/>
                <w:sz w:val="24"/>
                <w:szCs w:val="24"/>
                <w:lang w:val="en-US" w:eastAsia="zh-CN"/>
              </w:rPr>
              <w:t>生产线</w:t>
            </w:r>
            <w:r>
              <w:rPr>
                <w:rFonts w:hint="default" w:ascii="Times New Roman" w:hAnsi="Times New Roman" w:eastAsia="宋体" w:cs="Times New Roman"/>
                <w:b w:val="0"/>
                <w:bCs w:val="0"/>
                <w:color w:val="auto"/>
                <w:sz w:val="24"/>
                <w:szCs w:val="24"/>
                <w:lang w:val="en-US" w:eastAsia="zh-CN"/>
              </w:rPr>
              <w:t>投料粉尘</w:t>
            </w:r>
          </w:p>
          <w:p w14:paraId="7B519B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砂壁产品生产线设置有专门的投料间，在投料口上方设置有1个面积约为 0.5m×0.5m的一个抽风口，</w:t>
            </w:r>
            <w:r>
              <w:rPr>
                <w:rFonts w:hint="eastAsia" w:cs="Times New Roman"/>
                <w:color w:val="auto"/>
                <w:sz w:val="24"/>
                <w:szCs w:val="24"/>
                <w:lang w:val="en-US" w:eastAsia="zh-CN"/>
              </w:rPr>
              <w:t>在抽风口设置集气罩进行收集投料粉尘</w:t>
            </w:r>
            <w:r>
              <w:rPr>
                <w:rFonts w:hint="default" w:ascii="Times New Roman" w:hAnsi="Times New Roman" w:eastAsia="宋体" w:cs="Times New Roman"/>
                <w:color w:val="auto"/>
                <w:sz w:val="24"/>
                <w:szCs w:val="24"/>
                <w:lang w:val="en-US" w:eastAsia="zh-CN"/>
              </w:rPr>
              <w:t>。</w:t>
            </w:r>
          </w:p>
          <w:p w14:paraId="106259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本项目扩建完成后，年产砂壁产品25000吨，根据《工业源产排污核算方法和系数手册》（2021年6月发布）中2641涂料制造行业系数表（续1）的水性建筑涂料产污系数，颗粒物取值为2.30×10</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kg/吨-产品，粉尘产生量为0.575t/a，砂壁产品年产生时间为275天，每天两班、每班为8小时，故产生速率为0.13kg/h。</w:t>
            </w:r>
          </w:p>
          <w:p w14:paraId="52BC12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本项目水性涂料生产车间乳胶漆、砂壁产品生产投料口粉尘经集气罩收集后汇集到同一套布带除尘器进行处理。因此、水性涂料生产车间粉尘产生量为2.3t/a，乳胶漆及砂壁产品同时生产时粉尘产生最大速率为0.993</w:t>
            </w:r>
            <w:r>
              <w:rPr>
                <w:rFonts w:hint="default"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，产生浓度为165.5</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。集气罩收集效率为80%，设置的总风机风量为600</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r>
              <w:rPr>
                <w:rFonts w:hint="eastAsia" w:cs="Times New Roman"/>
                <w:color w:val="auto"/>
                <w:sz w:val="24"/>
                <w:szCs w:val="24"/>
                <w:lang w:val="en-US" w:eastAsia="zh-CN"/>
              </w:rPr>
              <w:t>，布袋除尘器去除效率取值99%，有组织粉尘产生量为1.84t/a，产生最大速率为0.794</w:t>
            </w:r>
            <w:r>
              <w:rPr>
                <w:rFonts w:hint="default"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，产生浓度为132.4</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；有组织</w:t>
            </w:r>
            <w:r>
              <w:rPr>
                <w:rFonts w:hint="default" w:ascii="Times New Roman" w:hAnsi="Times New Roman" w:eastAsia="宋体" w:cs="Times New Roman"/>
                <w:color w:val="auto"/>
                <w:sz w:val="24"/>
                <w:szCs w:val="24"/>
                <w:lang w:val="en-US" w:eastAsia="zh-CN"/>
              </w:rPr>
              <w:t>排放量</w:t>
            </w:r>
            <w:r>
              <w:rPr>
                <w:rFonts w:hint="eastAsia" w:cs="Times New Roman"/>
                <w:color w:val="auto"/>
                <w:sz w:val="24"/>
                <w:szCs w:val="24"/>
                <w:lang w:val="en-US" w:eastAsia="zh-CN"/>
              </w:rPr>
              <w:t>0.018</w:t>
            </w:r>
            <w:r>
              <w:rPr>
                <w:rFonts w:hint="default" w:ascii="Times New Roman" w:hAnsi="Times New Roman" w:eastAsia="宋体" w:cs="Times New Roman"/>
                <w:color w:val="auto"/>
                <w:sz w:val="24"/>
                <w:szCs w:val="24"/>
                <w:lang w:val="en-US" w:eastAsia="zh-CN"/>
              </w:rPr>
              <w:t>t/a，排放速率</w:t>
            </w:r>
            <w:r>
              <w:rPr>
                <w:rFonts w:hint="eastAsia" w:cs="Times New Roman"/>
                <w:color w:val="auto"/>
                <w:sz w:val="24"/>
                <w:szCs w:val="24"/>
                <w:lang w:val="en-US" w:eastAsia="zh-CN"/>
              </w:rPr>
              <w:t>0.0079</w:t>
            </w:r>
            <w:r>
              <w:rPr>
                <w:rFonts w:hint="default" w:ascii="Times New Roman" w:hAnsi="Times New Roman" w:eastAsia="宋体" w:cs="Times New Roman"/>
                <w:color w:val="auto"/>
                <w:sz w:val="24"/>
                <w:szCs w:val="24"/>
                <w:lang w:val="en-US" w:eastAsia="zh-CN"/>
              </w:rPr>
              <w:t>kg/h，排放浓度</w:t>
            </w:r>
            <w:r>
              <w:rPr>
                <w:rFonts w:hint="eastAsia" w:cs="Times New Roman"/>
                <w:color w:val="auto"/>
                <w:sz w:val="24"/>
                <w:szCs w:val="24"/>
                <w:lang w:val="en-US" w:eastAsia="zh-CN"/>
              </w:rPr>
              <w:t>1.32</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。无组织粉尘产生量为</w:t>
            </w:r>
            <w:r>
              <w:rPr>
                <w:rFonts w:hint="eastAsia" w:cs="Times New Roman"/>
                <w:color w:val="auto"/>
                <w:sz w:val="24"/>
                <w:szCs w:val="24"/>
                <w:lang w:val="en-US" w:eastAsia="zh-CN"/>
              </w:rPr>
              <w:t>0.46</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最大</w:t>
            </w:r>
            <w:r>
              <w:rPr>
                <w:rFonts w:hint="default" w:ascii="Times New Roman" w:hAnsi="Times New Roman" w:eastAsia="宋体" w:cs="Times New Roman"/>
                <w:color w:val="auto"/>
                <w:sz w:val="24"/>
                <w:szCs w:val="24"/>
                <w:lang w:val="en-US" w:eastAsia="zh-CN"/>
              </w:rPr>
              <w:t>产生速率</w:t>
            </w:r>
            <w:r>
              <w:rPr>
                <w:rFonts w:hint="eastAsia" w:cs="Times New Roman"/>
                <w:color w:val="auto"/>
                <w:sz w:val="24"/>
                <w:szCs w:val="24"/>
                <w:lang w:val="en-US" w:eastAsia="zh-CN"/>
              </w:rPr>
              <w:t>0.2</w:t>
            </w:r>
            <w:r>
              <w:rPr>
                <w:rFonts w:hint="default" w:ascii="Times New Roman" w:hAnsi="Times New Roman" w:eastAsia="宋体" w:cs="Times New Roman"/>
                <w:color w:val="auto"/>
                <w:sz w:val="24"/>
                <w:szCs w:val="24"/>
                <w:lang w:val="en-US" w:eastAsia="zh-CN"/>
              </w:rPr>
              <w:t>kg/h。</w:t>
            </w:r>
          </w:p>
          <w:p w14:paraId="2E48C30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kern w:val="2"/>
                <w:sz w:val="24"/>
                <w:szCs w:val="24"/>
                <w:lang w:val="en-US" w:eastAsia="zh-CN"/>
              </w:rPr>
              <w:t>C、</w:t>
            </w:r>
            <w:r>
              <w:rPr>
                <w:rFonts w:hint="default" w:ascii="Times New Roman" w:hAnsi="Times New Roman" w:eastAsia="宋体" w:cs="Times New Roman"/>
                <w:b w:val="0"/>
                <w:bCs w:val="0"/>
                <w:color w:val="auto"/>
                <w:sz w:val="24"/>
                <w:szCs w:val="24"/>
                <w:lang w:val="en-US" w:eastAsia="zh-CN"/>
              </w:rPr>
              <w:t>挥发性有机废气</w:t>
            </w:r>
          </w:p>
          <w:p w14:paraId="1A7440B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水性涂料生产使用多种助剂，</w:t>
            </w:r>
            <w:r>
              <w:rPr>
                <w:rFonts w:hint="eastAsia" w:cs="Times New Roman"/>
                <w:color w:val="auto"/>
                <w:sz w:val="24"/>
                <w:szCs w:val="24"/>
                <w:lang w:val="en-US" w:eastAsia="zh-CN"/>
              </w:rPr>
              <w:t xml:space="preserve">主要有丙二醇易挥发有机废气。生产时液态助剂通过密闭管道输送至生产罐，大部分助剂包含丙二醇存放在储罐内，输送管道直接连接生产罐，仅有用量较小的部分助剂直接存储在包装瓶内，需要开盖投放。  </w:t>
            </w:r>
          </w:p>
          <w:p w14:paraId="6FAC3AD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在输送、</w:t>
            </w:r>
            <w:r>
              <w:rPr>
                <w:rFonts w:hint="default" w:ascii="Times New Roman" w:hAnsi="Times New Roman" w:eastAsia="宋体" w:cs="Times New Roman"/>
                <w:color w:val="auto"/>
                <w:sz w:val="24"/>
                <w:szCs w:val="24"/>
                <w:lang w:val="en-US" w:eastAsia="zh-CN"/>
              </w:rPr>
              <w:t>搅拌混合会产生挥发性有机废气</w:t>
            </w:r>
            <w:r>
              <w:rPr>
                <w:rFonts w:hint="eastAsia" w:cs="Times New Roman"/>
                <w:color w:val="auto"/>
                <w:sz w:val="24"/>
                <w:szCs w:val="24"/>
                <w:lang w:val="en-US" w:eastAsia="zh-CN"/>
              </w:rPr>
              <w:t>（以非甲烷总烃计），但由于在输送、搅拌环节均在密闭的设备内进行，废气无法向外环境挥发，仅在开盖投放及包装环节有废气扩散。其中开盖投放在密闭的投料间进行，且与空气密接时间极短，废气产生量较小，不易收集，呈无组织排放；在包装口设置集气罩收集。</w:t>
            </w:r>
          </w:p>
          <w:p w14:paraId="5840389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水性涂料包装环节非甲烷总烃有组织废气产生量参照《立邦新型材料（福建）有限公司年产水性乳胶漆10万吨、真石漆20万吨建设项目竣工环境保护验收监测报告》中有组织废气进口监测值计算。据了解，《立邦新型材料（福建）有限公司年产水性乳胶漆10万吨、真石漆20万吨建设项目》的水性涂料产品类型、生产线设置、生产工艺，废气收集方式（集气罩收集）均一致，因此废气的产生量具有参考性。该项目竣工环境保护验收监测报告检测出的平均有组织产生速率为0.163kg/h，检测期间工况为85%，该项目年运营300天，每天工作12小时，则非甲烷总烃废气产生总量为0.59吨/年；本项目水性涂料生产量为该项目检测期间工况的39.2%。因此本项目有组织废气产生量为0.23吨/年，乳胶漆线、砂壁产品同时生产时产生速率为0.255kg/h，产生浓度为42.5mg/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。本项目非甲烷总烃采用“UV光氧+活性炭吸附”进行处置，废气去除效率取70%，设置风量为6000m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r>
              <w:rPr>
                <w:rFonts w:hint="eastAsia" w:cs="Times New Roman"/>
                <w:color w:val="auto"/>
                <w:sz w:val="24"/>
                <w:szCs w:val="24"/>
                <w:lang w:val="en-US" w:eastAsia="zh-CN"/>
              </w:rPr>
              <w:t>，因此废气排放量为0.069吨/年，排放速率为0.077kg/h，排放浓度为11.5mg/m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。集气罩收集效率以80%计，则非甲烷总烃</w:t>
            </w:r>
            <w:r>
              <w:rPr>
                <w:rFonts w:hint="default" w:ascii="Times New Roman" w:hAnsi="Times New Roman" w:eastAsia="宋体" w:cs="Times New Roman"/>
                <w:color w:val="auto"/>
                <w:sz w:val="24"/>
                <w:szCs w:val="24"/>
                <w:lang w:val="en-US" w:eastAsia="zh-CN"/>
              </w:rPr>
              <w:t>无组织排放量</w:t>
            </w:r>
            <w:r>
              <w:rPr>
                <w:rFonts w:hint="eastAsia" w:cs="Times New Roman"/>
                <w:color w:val="auto"/>
                <w:sz w:val="24"/>
                <w:szCs w:val="24"/>
                <w:lang w:val="en-US" w:eastAsia="zh-CN"/>
              </w:rPr>
              <w:t>0.058</w:t>
            </w:r>
            <w:r>
              <w:rPr>
                <w:rFonts w:hint="default" w:ascii="Times New Roman" w:hAnsi="Times New Roman" w:eastAsia="宋体" w:cs="Times New Roman"/>
                <w:color w:val="auto"/>
                <w:sz w:val="24"/>
                <w:szCs w:val="24"/>
                <w:lang w:val="en-US" w:eastAsia="zh-CN"/>
              </w:rPr>
              <w:t>t/a，排放速率</w:t>
            </w:r>
            <w:r>
              <w:rPr>
                <w:rFonts w:hint="eastAsia" w:cs="Times New Roman"/>
                <w:color w:val="auto"/>
                <w:sz w:val="24"/>
                <w:szCs w:val="24"/>
                <w:lang w:val="en-US" w:eastAsia="zh-CN"/>
              </w:rPr>
              <w:t>0.064</w:t>
            </w:r>
            <w:r>
              <w:rPr>
                <w:rFonts w:hint="default" w:ascii="Times New Roman" w:hAnsi="Times New Roman" w:eastAsia="宋体" w:cs="Times New Roman"/>
                <w:color w:val="auto"/>
                <w:sz w:val="24"/>
                <w:szCs w:val="24"/>
                <w:lang w:val="en-US" w:eastAsia="zh-CN"/>
              </w:rPr>
              <w:t>kg/h。</w:t>
            </w:r>
          </w:p>
          <w:p w14:paraId="733B952F">
            <w:pPr>
              <w:pStyle w:val="2"/>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本项目水性涂料生产车间投料粉尘、包装口产生的挥发性有机废气采用一套“5个集气罩+UV光氧+活性炭吸附装置”处理后通过1根15m高的排气筒排放（DA002）。</w:t>
            </w:r>
          </w:p>
          <w:p w14:paraId="2616F79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D、</w:t>
            </w:r>
            <w:r>
              <w:rPr>
                <w:rFonts w:hint="default" w:ascii="Times New Roman" w:hAnsi="Times New Roman" w:eastAsia="宋体" w:cs="Times New Roman"/>
                <w:color w:val="auto"/>
                <w:sz w:val="24"/>
                <w:szCs w:val="24"/>
                <w:lang w:val="en-US" w:eastAsia="zh-CN"/>
              </w:rPr>
              <w:t>氨</w:t>
            </w:r>
          </w:p>
          <w:p w14:paraId="2ECEB3E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由于砂壁产品的辅料中添加了氨水（25%）作为水分散性涂料的阻聚剂，防止涂料在储存/运输/使用过程中过早成膜，也可以看成是一种乳化体系稳定剂。在砂壁产品生产过程，为常温，</w:t>
            </w:r>
            <w:r>
              <w:rPr>
                <w:rFonts w:hint="eastAsia" w:cs="Times New Roman"/>
                <w:color w:val="auto"/>
                <w:sz w:val="24"/>
                <w:szCs w:val="24"/>
                <w:lang w:val="en-US" w:eastAsia="zh-CN"/>
              </w:rPr>
              <w:t>氨水直接存放在包装桶中，仅在投放时开盖，接触空气，其他输送、搅拌等环节在密闭设备内可抑制氨挥发，因此氨的挥发量较小，</w:t>
            </w:r>
            <w:r>
              <w:rPr>
                <w:rFonts w:hint="default" w:ascii="Times New Roman" w:hAnsi="Times New Roman" w:eastAsia="宋体" w:cs="Times New Roman"/>
                <w:color w:val="auto"/>
                <w:sz w:val="24"/>
                <w:szCs w:val="24"/>
                <w:lang w:val="en-US" w:eastAsia="zh-CN"/>
              </w:rPr>
              <w:t>本项目使用的氨水量为17.5t/a，</w:t>
            </w:r>
            <w:r>
              <w:rPr>
                <w:rFonts w:hint="eastAsia" w:cs="Times New Roman"/>
                <w:color w:val="auto"/>
                <w:sz w:val="24"/>
                <w:szCs w:val="24"/>
                <w:lang w:val="en-US" w:eastAsia="zh-CN"/>
              </w:rPr>
              <w:t>类比同类型项目，</w:t>
            </w:r>
            <w:r>
              <w:rPr>
                <w:rFonts w:hint="default" w:ascii="Times New Roman" w:hAnsi="Times New Roman" w:eastAsia="宋体" w:cs="Times New Roman"/>
                <w:color w:val="auto"/>
                <w:sz w:val="24"/>
                <w:szCs w:val="24"/>
                <w:lang w:val="en-US" w:eastAsia="zh-CN"/>
              </w:rPr>
              <w:t>挥发量按其用量的4%计，全年挥发量为0.175 t/a，排放速率为0.08kg/h，呈无组织排放。</w:t>
            </w:r>
          </w:p>
          <w:p w14:paraId="426540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E、</w:t>
            </w:r>
            <w:r>
              <w:rPr>
                <w:rFonts w:hint="eastAsia" w:ascii="Times New Roman" w:hAnsi="Times New Roman" w:eastAsia="宋体" w:cs="Times New Roman"/>
                <w:b w:val="0"/>
                <w:bCs w:val="0"/>
                <w:color w:val="auto"/>
                <w:sz w:val="24"/>
                <w:szCs w:val="24"/>
                <w:lang w:val="en-US" w:eastAsia="zh-CN"/>
              </w:rPr>
              <w:t>水性涂料生产</w:t>
            </w:r>
            <w:r>
              <w:rPr>
                <w:rFonts w:hint="eastAsia" w:cs="Times New Roman"/>
                <w:b w:val="0"/>
                <w:bCs w:val="0"/>
                <w:color w:val="auto"/>
                <w:sz w:val="24"/>
                <w:szCs w:val="24"/>
                <w:lang w:val="en-US" w:eastAsia="zh-CN"/>
              </w:rPr>
              <w:t>车间</w:t>
            </w:r>
            <w:r>
              <w:rPr>
                <w:rFonts w:hint="eastAsia" w:ascii="Times New Roman" w:hAnsi="Times New Roman" w:eastAsia="宋体" w:cs="Times New Roman"/>
                <w:b w:val="0"/>
                <w:bCs w:val="0"/>
                <w:color w:val="auto"/>
                <w:sz w:val="24"/>
                <w:szCs w:val="24"/>
                <w:lang w:val="en-US" w:eastAsia="zh-CN"/>
              </w:rPr>
              <w:t>卸料</w:t>
            </w:r>
            <w:r>
              <w:rPr>
                <w:rFonts w:hint="eastAsia" w:cs="Times New Roman"/>
                <w:b w:val="0"/>
                <w:bCs w:val="0"/>
                <w:color w:val="auto"/>
                <w:sz w:val="24"/>
                <w:szCs w:val="24"/>
                <w:lang w:val="en-US" w:eastAsia="zh-CN"/>
              </w:rPr>
              <w:t>粉尘</w:t>
            </w:r>
          </w:p>
          <w:p w14:paraId="60FA048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生产车间设置有</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个</w:t>
            </w:r>
            <w:r>
              <w:rPr>
                <w:rFonts w:hint="eastAsia" w:cs="Times New Roman"/>
                <w:color w:val="auto"/>
                <w:sz w:val="24"/>
                <w:szCs w:val="24"/>
                <w:lang w:val="en-US" w:eastAsia="zh-CN"/>
              </w:rPr>
              <w:t>粉料</w:t>
            </w:r>
            <w:r>
              <w:rPr>
                <w:rFonts w:hint="default" w:ascii="Times New Roman" w:hAnsi="Times New Roman" w:eastAsia="宋体" w:cs="Times New Roman"/>
                <w:color w:val="auto"/>
                <w:sz w:val="24"/>
                <w:szCs w:val="24"/>
                <w:lang w:val="en-US" w:eastAsia="zh-CN"/>
              </w:rPr>
              <w:t>储料罐（存储钛白粉、重质碳酸钙、高岭土</w:t>
            </w:r>
            <w:r>
              <w:rPr>
                <w:rFonts w:hint="eastAsia" w:ascii="Times New Roman" w:hAnsi="Times New Roman" w:eastAsia="宋体" w:cs="Times New Roman"/>
                <w:color w:val="auto"/>
                <w:sz w:val="24"/>
                <w:szCs w:val="24"/>
                <w:lang w:val="en-US" w:eastAsia="zh-CN"/>
              </w:rPr>
              <w:t>、白砂</w:t>
            </w:r>
            <w:r>
              <w:rPr>
                <w:rFonts w:hint="default" w:ascii="Times New Roman" w:hAnsi="Times New Roman" w:eastAsia="宋体" w:cs="Times New Roman"/>
                <w:color w:val="auto"/>
                <w:sz w:val="24"/>
                <w:szCs w:val="24"/>
                <w:lang w:val="en-US" w:eastAsia="zh-CN"/>
              </w:rPr>
              <w:t>），卸料至粉料罐期间会产生粉尘，在储罐顶部设置脉冲布袋除尘装置，抑制储罐呼吸口粉尘外排。粉尘产生量</w:t>
            </w:r>
            <w:r>
              <w:rPr>
                <w:rFonts w:hint="default" w:ascii="Times New Roman" w:hAnsi="Times New Roman" w:eastAsia="宋体" w:cs="Times New Roman"/>
                <w:kern w:val="2"/>
                <w:sz w:val="24"/>
                <w:szCs w:val="24"/>
                <w:lang w:val="en-US" w:eastAsia="zh-CN"/>
              </w:rPr>
              <w:t>参考《北京市混凝土搅拌站扬尘排放因子及排放清单》（中国环境科学 2017.37（10）：3699-3707）表 3 混凝土搅拌站水泥卸料至筒仓无控制措施扬尘排放因子进行核算扬尘产生源强</w:t>
            </w:r>
            <w:r>
              <w:rPr>
                <w:rFonts w:hint="eastAsia" w:cs="Times New Roman"/>
                <w:kern w:val="2"/>
                <w:sz w:val="24"/>
                <w:szCs w:val="24"/>
                <w:lang w:val="en-US" w:eastAsia="zh-CN"/>
              </w:rPr>
              <w:t>，</w:t>
            </w:r>
            <w:r>
              <w:rPr>
                <w:rFonts w:hint="default" w:ascii="Times New Roman" w:hAnsi="Times New Roman" w:eastAsia="宋体" w:cs="Times New Roman"/>
                <w:kern w:val="2"/>
                <w:sz w:val="24"/>
                <w:szCs w:val="24"/>
                <w:lang w:val="en-US" w:eastAsia="zh-CN"/>
              </w:rPr>
              <w:t>卸料至筒仓扬尘产生系数为0.36</w:t>
            </w:r>
            <w:r>
              <w:rPr>
                <w:rFonts w:hint="default" w:ascii="Times New Roman" w:hAnsi="Times New Roman" w:eastAsia="宋体" w:cs="Times New Roman"/>
                <w:sz w:val="24"/>
                <w:szCs w:val="24"/>
                <w:lang w:eastAsia="zh-CN"/>
              </w:rPr>
              <w:t>kg/t（</w:t>
            </w:r>
            <w:r>
              <w:rPr>
                <w:rFonts w:hint="default" w:ascii="Times New Roman" w:hAnsi="Times New Roman" w:eastAsia="宋体" w:cs="Times New Roman"/>
                <w:sz w:val="24"/>
                <w:szCs w:val="24"/>
                <w:lang w:val="en-US" w:eastAsia="zh-CN"/>
              </w:rPr>
              <w:t>原料</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auto"/>
                <w:sz w:val="24"/>
                <w:szCs w:val="24"/>
                <w:lang w:val="en-US" w:eastAsia="zh-CN"/>
              </w:rPr>
              <w:t>，进料时间约为</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h/d，则粉尘产生量为</w:t>
            </w:r>
            <w:r>
              <w:rPr>
                <w:rFonts w:hint="eastAsia" w:ascii="Times New Roman" w:hAnsi="Times New Roman" w:eastAsia="宋体" w:cs="Times New Roman"/>
                <w:color w:val="auto"/>
                <w:sz w:val="24"/>
                <w:szCs w:val="24"/>
                <w:lang w:val="en-US" w:eastAsia="zh-CN"/>
              </w:rPr>
              <w:t>19.55</w:t>
            </w:r>
            <w:r>
              <w:rPr>
                <w:rFonts w:hint="default" w:ascii="Times New Roman" w:hAnsi="Times New Roman" w:eastAsia="宋体" w:cs="Times New Roman"/>
                <w:color w:val="auto"/>
                <w:sz w:val="24"/>
                <w:szCs w:val="24"/>
                <w:lang w:val="en-US" w:eastAsia="zh-CN"/>
              </w:rPr>
              <w:t>t/a，产生速率为</w:t>
            </w:r>
            <w:r>
              <w:rPr>
                <w:rFonts w:hint="eastAsia" w:ascii="Times New Roman" w:hAnsi="Times New Roman" w:eastAsia="宋体" w:cs="Times New Roman"/>
                <w:color w:val="auto"/>
                <w:sz w:val="24"/>
                <w:szCs w:val="24"/>
                <w:lang w:val="en-US" w:eastAsia="zh-CN"/>
              </w:rPr>
              <w:t>28.4</w:t>
            </w:r>
            <w:r>
              <w:rPr>
                <w:rFonts w:hint="default" w:ascii="Times New Roman" w:hAnsi="Times New Roman" w:eastAsia="宋体" w:cs="Times New Roman"/>
                <w:sz w:val="24"/>
                <w:szCs w:val="24"/>
                <w:lang w:eastAsia="zh-CN"/>
              </w:rPr>
              <w:t>kg/</w:t>
            </w:r>
            <w:r>
              <w:rPr>
                <w:rFonts w:hint="default" w:ascii="Times New Roman" w:hAnsi="Times New Roman" w:eastAsia="宋体" w:cs="Times New Roman"/>
                <w:sz w:val="24"/>
                <w:szCs w:val="24"/>
                <w:lang w:val="en-US" w:eastAsia="zh-CN"/>
              </w:rPr>
              <w:t>h。</w:t>
            </w:r>
            <w:r>
              <w:rPr>
                <w:rFonts w:hint="default" w:ascii="Times New Roman" w:hAnsi="Times New Roman" w:eastAsia="宋体" w:cs="Times New Roman"/>
                <w:color w:val="auto"/>
                <w:sz w:val="24"/>
                <w:szCs w:val="24"/>
                <w:lang w:val="en-US" w:eastAsia="zh-CN"/>
              </w:rPr>
              <w:t>脉冲布袋除尘装置去除效率为99%，则外排的粉尘约为</w:t>
            </w:r>
            <w:r>
              <w:rPr>
                <w:rFonts w:hint="eastAsia" w:ascii="Times New Roman" w:hAnsi="Times New Roman" w:eastAsia="宋体" w:cs="Times New Roman"/>
                <w:color w:val="auto"/>
                <w:sz w:val="24"/>
                <w:szCs w:val="24"/>
                <w:lang w:val="en-US" w:eastAsia="zh-CN"/>
              </w:rPr>
              <w:t>0.2</w:t>
            </w:r>
            <w:r>
              <w:rPr>
                <w:rFonts w:hint="default" w:ascii="Times New Roman" w:hAnsi="Times New Roman" w:eastAsia="宋体" w:cs="Times New Roman"/>
                <w:color w:val="auto"/>
                <w:sz w:val="24"/>
                <w:szCs w:val="24"/>
                <w:lang w:val="en-US" w:eastAsia="zh-CN"/>
              </w:rPr>
              <w:t>t/a，外排速率为</w:t>
            </w:r>
            <w:r>
              <w:rPr>
                <w:rFonts w:hint="eastAsia" w:ascii="Times New Roman" w:hAnsi="Times New Roman" w:eastAsia="宋体" w:cs="Times New Roman"/>
                <w:color w:val="auto"/>
                <w:sz w:val="24"/>
                <w:szCs w:val="24"/>
                <w:lang w:val="en-US" w:eastAsia="zh-CN"/>
              </w:rPr>
              <w:t>0.28</w:t>
            </w:r>
            <w:r>
              <w:rPr>
                <w:rFonts w:hint="default" w:ascii="Times New Roman" w:hAnsi="Times New Roman" w:eastAsia="宋体" w:cs="Times New Roman"/>
                <w:sz w:val="24"/>
                <w:szCs w:val="24"/>
                <w:lang w:eastAsia="zh-CN"/>
              </w:rPr>
              <w:t>kg/</w:t>
            </w:r>
            <w:r>
              <w:rPr>
                <w:rFonts w:hint="default" w:ascii="Times New Roman" w:hAnsi="Times New Roman" w:eastAsia="宋体" w:cs="Times New Roman"/>
                <w:sz w:val="24"/>
                <w:szCs w:val="24"/>
                <w:lang w:val="en-US" w:eastAsia="zh-CN"/>
              </w:rPr>
              <w:t>h。</w:t>
            </w:r>
          </w:p>
          <w:p w14:paraId="24C38EEB">
            <w:pPr>
              <w:pStyle w:val="2"/>
              <w:keepNext w:val="0"/>
              <w:keepLines w:val="0"/>
              <w:suppressLineNumbers w:val="0"/>
              <w:spacing w:before="0" w:beforeAutospacing="0" w:after="0" w:afterAutospacing="0"/>
              <w:ind w:left="0" w:right="0" w:firstLine="480" w:firstLineChars="200"/>
              <w:rPr>
                <w:rFonts w:hint="default"/>
                <w:lang w:val="en-US" w:eastAsia="zh-CN"/>
              </w:rPr>
            </w:pPr>
            <w:r>
              <w:rPr>
                <w:rFonts w:hint="eastAsia" w:cs="Times New Roman"/>
                <w:sz w:val="24"/>
                <w:szCs w:val="24"/>
                <w:lang w:val="en-US" w:eastAsia="zh-CN"/>
              </w:rPr>
              <w:t>综上分析，水性涂料生产车间废气产排情况见下表。</w:t>
            </w:r>
          </w:p>
          <w:p w14:paraId="4F5A3ABC">
            <w:pPr>
              <w:pStyle w:val="2"/>
              <w:keepNext w:val="0"/>
              <w:keepLines w:val="0"/>
              <w:suppressLineNumbers w:val="0"/>
              <w:spacing w:before="0" w:beforeAutospacing="0" w:after="0" w:afterAutospacing="0"/>
              <w:ind w:left="0" w:right="0"/>
              <w:jc w:val="center"/>
              <w:rPr>
                <w:rFonts w:hint="eastAsia"/>
                <w:b/>
                <w:bCs/>
                <w:sz w:val="21"/>
                <w:szCs w:val="21"/>
                <w:lang w:val="en-US" w:eastAsia="zh-CN"/>
              </w:rPr>
            </w:pPr>
          </w:p>
          <w:p w14:paraId="671327F1">
            <w:pPr>
              <w:pStyle w:val="2"/>
              <w:keepNext w:val="0"/>
              <w:keepLines w:val="0"/>
              <w:suppressLineNumbers w:val="0"/>
              <w:spacing w:before="0" w:beforeAutospacing="0" w:after="0" w:afterAutospacing="0"/>
              <w:ind w:left="0" w:right="0"/>
              <w:jc w:val="center"/>
              <w:rPr>
                <w:rFonts w:hint="eastAsia"/>
                <w:b/>
                <w:bCs/>
                <w:sz w:val="21"/>
                <w:szCs w:val="21"/>
                <w:lang w:val="en-US" w:eastAsia="zh-CN"/>
              </w:rPr>
            </w:pPr>
          </w:p>
          <w:p w14:paraId="0F7E1F70">
            <w:pPr>
              <w:pStyle w:val="2"/>
              <w:keepNext w:val="0"/>
              <w:keepLines w:val="0"/>
              <w:suppressLineNumbers w:val="0"/>
              <w:spacing w:before="0" w:beforeAutospacing="0" w:after="0" w:afterAutospacing="0"/>
              <w:ind w:left="0" w:right="0"/>
              <w:jc w:val="center"/>
              <w:rPr>
                <w:rFonts w:hint="default"/>
                <w:b/>
                <w:bCs/>
                <w:sz w:val="21"/>
                <w:szCs w:val="21"/>
                <w:lang w:val="en-US" w:eastAsia="zh-CN"/>
              </w:rPr>
            </w:pPr>
            <w:r>
              <w:rPr>
                <w:rFonts w:hint="eastAsia"/>
                <w:b/>
                <w:bCs/>
                <w:sz w:val="21"/>
                <w:szCs w:val="21"/>
                <w:lang w:val="en-US" w:eastAsia="zh-CN"/>
              </w:rPr>
              <w:t>表4-2  水性涂料生产车间废气产排情况一览表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644"/>
              <w:gridCol w:w="729"/>
              <w:gridCol w:w="943"/>
              <w:gridCol w:w="996"/>
              <w:gridCol w:w="1136"/>
              <w:gridCol w:w="857"/>
              <w:gridCol w:w="804"/>
              <w:gridCol w:w="959"/>
              <w:gridCol w:w="929"/>
            </w:tblGrid>
            <w:tr w14:paraId="784C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57B4B53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产污环节</w:t>
                  </w:r>
                </w:p>
              </w:tc>
              <w:tc>
                <w:tcPr>
                  <w:tcW w:w="382" w:type="pct"/>
                  <w:vAlign w:val="center"/>
                </w:tcPr>
                <w:p w14:paraId="60C2C6B5">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排放形式</w:t>
                  </w:r>
                </w:p>
              </w:tc>
              <w:tc>
                <w:tcPr>
                  <w:tcW w:w="432" w:type="pct"/>
                  <w:vAlign w:val="center"/>
                </w:tcPr>
                <w:p w14:paraId="09515DF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污染因子</w:t>
                  </w:r>
                </w:p>
              </w:tc>
              <w:tc>
                <w:tcPr>
                  <w:tcW w:w="560" w:type="pct"/>
                  <w:vAlign w:val="center"/>
                </w:tcPr>
                <w:p w14:paraId="722F2E7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产生量（t/a）</w:t>
                  </w:r>
                </w:p>
              </w:tc>
              <w:tc>
                <w:tcPr>
                  <w:tcW w:w="591" w:type="pct"/>
                  <w:vAlign w:val="center"/>
                </w:tcPr>
                <w:p w14:paraId="444DB11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产生速率（kg/h）</w:t>
                  </w:r>
                </w:p>
              </w:tc>
              <w:tc>
                <w:tcPr>
                  <w:tcW w:w="674" w:type="pct"/>
                  <w:vAlign w:val="center"/>
                </w:tcPr>
                <w:p w14:paraId="5949CFE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产生浓度（mg/m</w:t>
                  </w:r>
                  <w:r>
                    <w:rPr>
                      <w:rFonts w:hint="eastAsia"/>
                      <w:b/>
                      <w:bCs/>
                      <w:sz w:val="21"/>
                      <w:szCs w:val="21"/>
                      <w:vertAlign w:val="superscript"/>
                      <w:lang w:val="en-US" w:eastAsia="zh-CN"/>
                    </w:rPr>
                    <w:t>3</w:t>
                  </w:r>
                  <w:r>
                    <w:rPr>
                      <w:rFonts w:hint="eastAsia"/>
                      <w:b/>
                      <w:bCs/>
                      <w:sz w:val="21"/>
                      <w:szCs w:val="21"/>
                      <w:vertAlign w:val="baseline"/>
                      <w:lang w:val="en-US" w:eastAsia="zh-CN"/>
                    </w:rPr>
                    <w:t>）</w:t>
                  </w:r>
                </w:p>
              </w:tc>
              <w:tc>
                <w:tcPr>
                  <w:tcW w:w="508" w:type="pct"/>
                  <w:vAlign w:val="center"/>
                </w:tcPr>
                <w:p w14:paraId="236BCD8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处置措施</w:t>
                  </w:r>
                </w:p>
              </w:tc>
              <w:tc>
                <w:tcPr>
                  <w:tcW w:w="477" w:type="pct"/>
                  <w:vAlign w:val="center"/>
                </w:tcPr>
                <w:p w14:paraId="7B2A6B6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排放量（t/a）</w:t>
                  </w:r>
                </w:p>
              </w:tc>
              <w:tc>
                <w:tcPr>
                  <w:tcW w:w="569" w:type="pct"/>
                  <w:vAlign w:val="center"/>
                </w:tcPr>
                <w:p w14:paraId="7393633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排放速率（kg/h）</w:t>
                  </w:r>
                </w:p>
              </w:tc>
              <w:tc>
                <w:tcPr>
                  <w:tcW w:w="551" w:type="pct"/>
                  <w:vAlign w:val="center"/>
                </w:tcPr>
                <w:p w14:paraId="18255049">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排放浓度（mg/m</w:t>
                  </w:r>
                  <w:r>
                    <w:rPr>
                      <w:rFonts w:hint="eastAsia"/>
                      <w:b/>
                      <w:bCs/>
                      <w:sz w:val="21"/>
                      <w:szCs w:val="21"/>
                      <w:vertAlign w:val="superscript"/>
                      <w:lang w:val="en-US" w:eastAsia="zh-CN"/>
                    </w:rPr>
                    <w:t>3</w:t>
                  </w:r>
                  <w:r>
                    <w:rPr>
                      <w:rFonts w:hint="eastAsia"/>
                      <w:b/>
                      <w:bCs/>
                      <w:sz w:val="21"/>
                      <w:szCs w:val="21"/>
                      <w:vertAlign w:val="baseline"/>
                      <w:lang w:val="en-US" w:eastAsia="zh-CN"/>
                    </w:rPr>
                    <w:t>）</w:t>
                  </w:r>
                </w:p>
              </w:tc>
            </w:tr>
            <w:tr w14:paraId="4ADA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vAlign w:val="center"/>
                </w:tcPr>
                <w:p w14:paraId="456E34C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投料</w:t>
                  </w:r>
                </w:p>
              </w:tc>
              <w:tc>
                <w:tcPr>
                  <w:tcW w:w="382" w:type="pct"/>
                  <w:vAlign w:val="center"/>
                </w:tcPr>
                <w:p w14:paraId="5D69930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有组织</w:t>
                  </w:r>
                </w:p>
              </w:tc>
              <w:tc>
                <w:tcPr>
                  <w:tcW w:w="432" w:type="pct"/>
                  <w:vAlign w:val="center"/>
                </w:tcPr>
                <w:p w14:paraId="788224F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TSP</w:t>
                  </w:r>
                </w:p>
              </w:tc>
              <w:tc>
                <w:tcPr>
                  <w:tcW w:w="560" w:type="pct"/>
                  <w:vAlign w:val="center"/>
                </w:tcPr>
                <w:p w14:paraId="7AF9AAC9">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1.84</w:t>
                  </w:r>
                </w:p>
              </w:tc>
              <w:tc>
                <w:tcPr>
                  <w:tcW w:w="591" w:type="pct"/>
                  <w:vAlign w:val="center"/>
                </w:tcPr>
                <w:p w14:paraId="552F416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0.794</w:t>
                  </w:r>
                </w:p>
              </w:tc>
              <w:tc>
                <w:tcPr>
                  <w:tcW w:w="674" w:type="pct"/>
                  <w:vAlign w:val="center"/>
                </w:tcPr>
                <w:p w14:paraId="475CD4A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132</w:t>
                  </w:r>
                </w:p>
              </w:tc>
              <w:tc>
                <w:tcPr>
                  <w:tcW w:w="508" w:type="pct"/>
                  <w:vMerge w:val="restart"/>
                  <w:vAlign w:val="center"/>
                </w:tcPr>
                <w:p w14:paraId="3DA873D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布袋除尘+</w:t>
                  </w:r>
                  <w:r>
                    <w:rPr>
                      <w:rFonts w:hint="eastAsia" w:cs="Times New Roman"/>
                      <w:color w:val="auto"/>
                      <w:sz w:val="21"/>
                      <w:szCs w:val="21"/>
                      <w:lang w:val="en-US" w:eastAsia="zh-CN"/>
                    </w:rPr>
                    <w:t>UV光氧+活性炭吸附装置</w:t>
                  </w:r>
                </w:p>
              </w:tc>
              <w:tc>
                <w:tcPr>
                  <w:tcW w:w="477" w:type="pct"/>
                  <w:vAlign w:val="center"/>
                </w:tcPr>
                <w:p w14:paraId="0F3FE98D">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0.018</w:t>
                  </w:r>
                </w:p>
              </w:tc>
              <w:tc>
                <w:tcPr>
                  <w:tcW w:w="569" w:type="pct"/>
                  <w:vAlign w:val="center"/>
                </w:tcPr>
                <w:p w14:paraId="6BC70B3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0.008</w:t>
                  </w:r>
                </w:p>
              </w:tc>
              <w:tc>
                <w:tcPr>
                  <w:tcW w:w="551" w:type="pct"/>
                  <w:vAlign w:val="center"/>
                </w:tcPr>
                <w:p w14:paraId="2F267A7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1.32</w:t>
                  </w:r>
                </w:p>
              </w:tc>
            </w:tr>
            <w:tr w14:paraId="28AD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vAlign w:val="center"/>
                </w:tcPr>
                <w:p w14:paraId="7E3518D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p>
              </w:tc>
              <w:tc>
                <w:tcPr>
                  <w:tcW w:w="382" w:type="pct"/>
                  <w:vAlign w:val="center"/>
                </w:tcPr>
                <w:p w14:paraId="0D04378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无组织</w:t>
                  </w:r>
                </w:p>
              </w:tc>
              <w:tc>
                <w:tcPr>
                  <w:tcW w:w="432" w:type="pct"/>
                  <w:vAlign w:val="center"/>
                </w:tcPr>
                <w:p w14:paraId="4868B07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TSP</w:t>
                  </w:r>
                </w:p>
              </w:tc>
              <w:tc>
                <w:tcPr>
                  <w:tcW w:w="560" w:type="pct"/>
                  <w:vAlign w:val="center"/>
                </w:tcPr>
                <w:p w14:paraId="276CF1C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0.46</w:t>
                  </w:r>
                </w:p>
              </w:tc>
              <w:tc>
                <w:tcPr>
                  <w:tcW w:w="591" w:type="pct"/>
                  <w:vAlign w:val="center"/>
                </w:tcPr>
                <w:p w14:paraId="67105F3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0.2</w:t>
                  </w:r>
                </w:p>
              </w:tc>
              <w:tc>
                <w:tcPr>
                  <w:tcW w:w="674" w:type="pct"/>
                  <w:vAlign w:val="center"/>
                </w:tcPr>
                <w:p w14:paraId="1EF4138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508" w:type="pct"/>
                  <w:vMerge w:val="continue"/>
                  <w:vAlign w:val="center"/>
                </w:tcPr>
                <w:p w14:paraId="3E1FCF1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p>
              </w:tc>
              <w:tc>
                <w:tcPr>
                  <w:tcW w:w="477" w:type="pct"/>
                  <w:vAlign w:val="center"/>
                </w:tcPr>
                <w:p w14:paraId="03B0D1B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0.46</w:t>
                  </w:r>
                </w:p>
              </w:tc>
              <w:tc>
                <w:tcPr>
                  <w:tcW w:w="569" w:type="pct"/>
                  <w:vAlign w:val="center"/>
                </w:tcPr>
                <w:p w14:paraId="39D3846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0.2</w:t>
                  </w:r>
                </w:p>
              </w:tc>
              <w:tc>
                <w:tcPr>
                  <w:tcW w:w="551" w:type="pct"/>
                  <w:vAlign w:val="center"/>
                </w:tcPr>
                <w:p w14:paraId="0DE7AF4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328D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0" w:type="pct"/>
                  <w:vMerge w:val="restart"/>
                  <w:vAlign w:val="center"/>
                </w:tcPr>
                <w:p w14:paraId="3BF714C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包装</w:t>
                  </w:r>
                </w:p>
              </w:tc>
              <w:tc>
                <w:tcPr>
                  <w:tcW w:w="382" w:type="pct"/>
                  <w:vAlign w:val="center"/>
                </w:tcPr>
                <w:p w14:paraId="707B6CD0">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有组织</w:t>
                  </w:r>
                </w:p>
              </w:tc>
              <w:tc>
                <w:tcPr>
                  <w:tcW w:w="432" w:type="pct"/>
                  <w:vAlign w:val="center"/>
                </w:tcPr>
                <w:p w14:paraId="6EB2AC8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非甲烷总烃</w:t>
                  </w:r>
                </w:p>
              </w:tc>
              <w:tc>
                <w:tcPr>
                  <w:tcW w:w="560" w:type="pct"/>
                  <w:vAlign w:val="center"/>
                </w:tcPr>
                <w:p w14:paraId="2E2A7F9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0.23</w:t>
                  </w:r>
                </w:p>
              </w:tc>
              <w:tc>
                <w:tcPr>
                  <w:tcW w:w="591" w:type="pct"/>
                  <w:vAlign w:val="center"/>
                </w:tcPr>
                <w:p w14:paraId="4DC749C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0.255</w:t>
                  </w:r>
                </w:p>
              </w:tc>
              <w:tc>
                <w:tcPr>
                  <w:tcW w:w="674" w:type="pct"/>
                  <w:vAlign w:val="center"/>
                </w:tcPr>
                <w:p w14:paraId="7B12FA10">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42.5</w:t>
                  </w:r>
                </w:p>
              </w:tc>
              <w:tc>
                <w:tcPr>
                  <w:tcW w:w="508" w:type="pct"/>
                  <w:vMerge w:val="continue"/>
                  <w:vAlign w:val="center"/>
                </w:tcPr>
                <w:p w14:paraId="79BA72D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p>
              </w:tc>
              <w:tc>
                <w:tcPr>
                  <w:tcW w:w="477" w:type="pct"/>
                  <w:vAlign w:val="center"/>
                </w:tcPr>
                <w:p w14:paraId="2814071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0.069</w:t>
                  </w:r>
                </w:p>
              </w:tc>
              <w:tc>
                <w:tcPr>
                  <w:tcW w:w="569" w:type="pct"/>
                  <w:vAlign w:val="center"/>
                </w:tcPr>
                <w:p w14:paraId="20C92015">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0.077</w:t>
                  </w:r>
                </w:p>
              </w:tc>
              <w:tc>
                <w:tcPr>
                  <w:tcW w:w="551" w:type="pct"/>
                  <w:vAlign w:val="center"/>
                </w:tcPr>
                <w:p w14:paraId="220ABF3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11.5</w:t>
                  </w:r>
                </w:p>
              </w:tc>
            </w:tr>
            <w:tr w14:paraId="6A84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0" w:type="pct"/>
                  <w:vMerge w:val="continue"/>
                  <w:vAlign w:val="center"/>
                </w:tcPr>
                <w:p w14:paraId="369E2E55">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p>
              </w:tc>
              <w:tc>
                <w:tcPr>
                  <w:tcW w:w="382" w:type="pct"/>
                  <w:vAlign w:val="center"/>
                </w:tcPr>
                <w:p w14:paraId="0D38301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无组织</w:t>
                  </w:r>
                </w:p>
              </w:tc>
              <w:tc>
                <w:tcPr>
                  <w:tcW w:w="432" w:type="pct"/>
                  <w:vAlign w:val="center"/>
                </w:tcPr>
                <w:p w14:paraId="42F45328">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非甲烷总烃</w:t>
                  </w:r>
                </w:p>
              </w:tc>
              <w:tc>
                <w:tcPr>
                  <w:tcW w:w="560" w:type="pct"/>
                  <w:vAlign w:val="center"/>
                </w:tcPr>
                <w:p w14:paraId="5A4F267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0.058</w:t>
                  </w:r>
                </w:p>
              </w:tc>
              <w:tc>
                <w:tcPr>
                  <w:tcW w:w="591" w:type="pct"/>
                  <w:vAlign w:val="center"/>
                </w:tcPr>
                <w:p w14:paraId="6340458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0.064</w:t>
                  </w:r>
                </w:p>
              </w:tc>
              <w:tc>
                <w:tcPr>
                  <w:tcW w:w="674" w:type="pct"/>
                  <w:vAlign w:val="center"/>
                </w:tcPr>
                <w:p w14:paraId="6BFD1D50">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508" w:type="pct"/>
                  <w:vMerge w:val="continue"/>
                  <w:vAlign w:val="center"/>
                </w:tcPr>
                <w:p w14:paraId="042999F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p>
              </w:tc>
              <w:tc>
                <w:tcPr>
                  <w:tcW w:w="477" w:type="pct"/>
                  <w:vAlign w:val="center"/>
                </w:tcPr>
                <w:p w14:paraId="3A31C07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0.058</w:t>
                  </w:r>
                </w:p>
              </w:tc>
              <w:tc>
                <w:tcPr>
                  <w:tcW w:w="569" w:type="pct"/>
                  <w:vAlign w:val="center"/>
                </w:tcPr>
                <w:p w14:paraId="07D5DC7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0.064</w:t>
                  </w:r>
                </w:p>
              </w:tc>
              <w:tc>
                <w:tcPr>
                  <w:tcW w:w="551" w:type="pct"/>
                  <w:vAlign w:val="center"/>
                </w:tcPr>
                <w:p w14:paraId="3AD1548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5B42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5BD8C54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氨挥发</w:t>
                  </w:r>
                </w:p>
              </w:tc>
              <w:tc>
                <w:tcPr>
                  <w:tcW w:w="382" w:type="pct"/>
                  <w:vAlign w:val="center"/>
                </w:tcPr>
                <w:p w14:paraId="629498B0">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无组织</w:t>
                  </w:r>
                </w:p>
              </w:tc>
              <w:tc>
                <w:tcPr>
                  <w:tcW w:w="432" w:type="pct"/>
                  <w:vAlign w:val="center"/>
                </w:tcPr>
                <w:p w14:paraId="40417D8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氨</w:t>
                  </w:r>
                </w:p>
              </w:tc>
              <w:tc>
                <w:tcPr>
                  <w:tcW w:w="560" w:type="pct"/>
                  <w:vAlign w:val="center"/>
                </w:tcPr>
                <w:p w14:paraId="52CED65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0.175</w:t>
                  </w:r>
                </w:p>
              </w:tc>
              <w:tc>
                <w:tcPr>
                  <w:tcW w:w="591" w:type="pct"/>
                  <w:vAlign w:val="center"/>
                </w:tcPr>
                <w:p w14:paraId="5925433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0.08</w:t>
                  </w:r>
                </w:p>
              </w:tc>
              <w:tc>
                <w:tcPr>
                  <w:tcW w:w="674" w:type="pct"/>
                  <w:vAlign w:val="center"/>
                </w:tcPr>
                <w:p w14:paraId="1B16B70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508" w:type="pct"/>
                  <w:vAlign w:val="center"/>
                </w:tcPr>
                <w:p w14:paraId="083DB21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477" w:type="pct"/>
                  <w:vAlign w:val="center"/>
                </w:tcPr>
                <w:p w14:paraId="35865EA9">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0.175</w:t>
                  </w:r>
                </w:p>
              </w:tc>
              <w:tc>
                <w:tcPr>
                  <w:tcW w:w="569" w:type="pct"/>
                  <w:vAlign w:val="center"/>
                </w:tcPr>
                <w:p w14:paraId="5B552119">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0.08</w:t>
                  </w:r>
                </w:p>
              </w:tc>
              <w:tc>
                <w:tcPr>
                  <w:tcW w:w="551" w:type="pct"/>
                  <w:vAlign w:val="center"/>
                </w:tcPr>
                <w:p w14:paraId="7975394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r w14:paraId="01AE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2A3C6CB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卸料至粉料罐</w:t>
                  </w:r>
                </w:p>
              </w:tc>
              <w:tc>
                <w:tcPr>
                  <w:tcW w:w="382" w:type="pct"/>
                  <w:vAlign w:val="center"/>
                </w:tcPr>
                <w:p w14:paraId="561FEA7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无组织</w:t>
                  </w:r>
                </w:p>
              </w:tc>
              <w:tc>
                <w:tcPr>
                  <w:tcW w:w="432" w:type="pct"/>
                  <w:vAlign w:val="center"/>
                </w:tcPr>
                <w:p w14:paraId="6CC684B8">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粉尘</w:t>
                  </w:r>
                </w:p>
              </w:tc>
              <w:tc>
                <w:tcPr>
                  <w:tcW w:w="560" w:type="pct"/>
                  <w:vAlign w:val="center"/>
                </w:tcPr>
                <w:p w14:paraId="62D1F7C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19.55</w:t>
                  </w:r>
                </w:p>
              </w:tc>
              <w:tc>
                <w:tcPr>
                  <w:tcW w:w="591" w:type="pct"/>
                  <w:vAlign w:val="center"/>
                </w:tcPr>
                <w:p w14:paraId="63EC0B9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28.4</w:t>
                  </w:r>
                </w:p>
              </w:tc>
              <w:tc>
                <w:tcPr>
                  <w:tcW w:w="674" w:type="pct"/>
                  <w:vAlign w:val="center"/>
                </w:tcPr>
                <w:p w14:paraId="5C45E5F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508" w:type="pct"/>
                  <w:vAlign w:val="center"/>
                </w:tcPr>
                <w:p w14:paraId="7A499238">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脉冲布袋除尘装置收集效率99%</w:t>
                  </w:r>
                </w:p>
              </w:tc>
              <w:tc>
                <w:tcPr>
                  <w:tcW w:w="477" w:type="pct"/>
                  <w:vAlign w:val="center"/>
                </w:tcPr>
                <w:p w14:paraId="6A3019C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w:t>
                  </w:r>
                </w:p>
              </w:tc>
              <w:tc>
                <w:tcPr>
                  <w:tcW w:w="569" w:type="pct"/>
                  <w:vAlign w:val="center"/>
                </w:tcPr>
                <w:p w14:paraId="2EFCE4C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0.28</w:t>
                  </w:r>
                </w:p>
              </w:tc>
              <w:tc>
                <w:tcPr>
                  <w:tcW w:w="551" w:type="pct"/>
                  <w:vAlign w:val="center"/>
                </w:tcPr>
                <w:p w14:paraId="49BC701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bl>
          <w:p w14:paraId="5DFD90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②</w:t>
            </w:r>
            <w:r>
              <w:rPr>
                <w:rFonts w:hint="default" w:ascii="Times New Roman" w:hAnsi="Times New Roman" w:eastAsia="宋体" w:cs="Times New Roman"/>
                <w:b/>
                <w:bCs/>
                <w:color w:val="auto"/>
                <w:sz w:val="24"/>
                <w:szCs w:val="24"/>
                <w:lang w:val="en-US" w:eastAsia="zh-CN"/>
              </w:rPr>
              <w:t>腻子粉生产</w:t>
            </w:r>
            <w:r>
              <w:rPr>
                <w:rFonts w:hint="eastAsia" w:cs="Times New Roman"/>
                <w:b/>
                <w:bCs/>
                <w:color w:val="auto"/>
                <w:sz w:val="24"/>
                <w:szCs w:val="24"/>
                <w:lang w:val="en-US" w:eastAsia="zh-CN"/>
              </w:rPr>
              <w:t>车间</w:t>
            </w:r>
            <w:r>
              <w:rPr>
                <w:rFonts w:hint="default" w:ascii="Times New Roman" w:hAnsi="Times New Roman" w:eastAsia="宋体" w:cs="Times New Roman"/>
                <w:b/>
                <w:bCs/>
                <w:color w:val="auto"/>
                <w:sz w:val="24"/>
                <w:szCs w:val="24"/>
                <w:lang w:val="en-US" w:eastAsia="zh-CN"/>
              </w:rPr>
              <w:t>废气</w:t>
            </w:r>
          </w:p>
          <w:p w14:paraId="7EC7896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腻子粉生产线生产过程中是将生产所需的水泥、白砂、碳酸钙和纤维素通过干式搅拌混合后成为产品；该生产线的物料输送为气流输送，设施内为负压；生产车间厂房封闭，设置有单独的投料间。在投料口、配料口、</w:t>
            </w:r>
            <w:r>
              <w:rPr>
                <w:rFonts w:hint="eastAsia" w:cs="Times New Roman"/>
                <w:color w:val="auto"/>
                <w:sz w:val="24"/>
                <w:szCs w:val="24"/>
                <w:lang w:val="en-US" w:eastAsia="zh-CN"/>
              </w:rPr>
              <w:t>混料槽</w:t>
            </w:r>
            <w:r>
              <w:rPr>
                <w:rFonts w:hint="default" w:ascii="Times New Roman" w:hAnsi="Times New Roman" w:eastAsia="宋体" w:cs="Times New Roman"/>
                <w:color w:val="auto"/>
                <w:sz w:val="24"/>
                <w:szCs w:val="24"/>
                <w:lang w:val="en-US" w:eastAsia="zh-CN"/>
              </w:rPr>
              <w:t>设置抽风口，产生的粉尘经24个集气罩收集后进入1套集中式滤筒除尘器处理后，通过15m高的排气筒排放（DA001）；包装机包装粉尘采用旋风除尘器处理后，无组织排放。粉料罐顶部设置脉冲布袋除尘装置，抑制粉尘外排。</w:t>
            </w:r>
          </w:p>
          <w:p w14:paraId="0DF5B224">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投料、配料、</w:t>
            </w:r>
            <w:r>
              <w:rPr>
                <w:rFonts w:hint="eastAsia" w:cs="Times New Roman"/>
                <w:color w:val="auto"/>
                <w:sz w:val="24"/>
                <w:szCs w:val="24"/>
                <w:lang w:val="en-US" w:eastAsia="zh-CN"/>
              </w:rPr>
              <w:t>混料</w:t>
            </w:r>
            <w:r>
              <w:rPr>
                <w:rFonts w:hint="default" w:ascii="Times New Roman" w:hAnsi="Times New Roman" w:eastAsia="宋体" w:cs="Times New Roman"/>
                <w:color w:val="auto"/>
                <w:sz w:val="24"/>
                <w:szCs w:val="24"/>
                <w:lang w:val="en-US" w:eastAsia="zh-CN"/>
              </w:rPr>
              <w:t>粉尘</w:t>
            </w:r>
          </w:p>
          <w:p w14:paraId="5BE7F3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本项目扩建完成后，年产腻子粉120000吨</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投料、配料、</w:t>
            </w:r>
            <w:r>
              <w:rPr>
                <w:rFonts w:hint="eastAsia" w:cs="Times New Roman"/>
                <w:color w:val="auto"/>
                <w:sz w:val="24"/>
                <w:szCs w:val="24"/>
                <w:lang w:val="en-US" w:eastAsia="zh-CN"/>
              </w:rPr>
              <w:t>混料</w:t>
            </w:r>
            <w:r>
              <w:rPr>
                <w:rFonts w:hint="default" w:ascii="Times New Roman" w:hAnsi="Times New Roman" w:eastAsia="宋体"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产生量类比原项目，本次扩建项目生产线、废气收集</w:t>
            </w:r>
            <w:r>
              <w:rPr>
                <w:rFonts w:hint="eastAsia" w:cs="Times New Roman"/>
                <w:color w:val="auto"/>
                <w:sz w:val="24"/>
                <w:szCs w:val="24"/>
                <w:lang w:val="en-US" w:eastAsia="zh-CN"/>
              </w:rPr>
              <w:t>措施、废气处置措施</w:t>
            </w:r>
            <w:r>
              <w:rPr>
                <w:rFonts w:hint="eastAsia" w:ascii="Times New Roman" w:hAnsi="Times New Roman" w:eastAsia="宋体" w:cs="Times New Roman"/>
                <w:color w:val="auto"/>
                <w:sz w:val="24"/>
                <w:szCs w:val="24"/>
                <w:lang w:val="en-US" w:eastAsia="zh-CN"/>
              </w:rPr>
              <w:t>与原项目保持一致，因此具有类比性。</w:t>
            </w:r>
          </w:p>
          <w:p w14:paraId="056839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原项目年产18500t腻子粉，根据原项目2022年第四季度的检测报告，腻子粉车间</w:t>
            </w:r>
            <w:r>
              <w:rPr>
                <w:rFonts w:hint="eastAsia" w:cs="Times New Roman"/>
                <w:color w:val="auto"/>
                <w:sz w:val="24"/>
                <w:szCs w:val="24"/>
                <w:lang w:val="en-US" w:eastAsia="zh-CN"/>
              </w:rPr>
              <w:t>有组废气</w:t>
            </w:r>
            <w:r>
              <w:rPr>
                <w:rFonts w:hint="eastAsia" w:ascii="Times New Roman" w:hAnsi="Times New Roman" w:eastAsia="宋体" w:cs="Times New Roman"/>
                <w:color w:val="auto"/>
                <w:sz w:val="24"/>
                <w:szCs w:val="24"/>
                <w:lang w:val="en-US" w:eastAsia="zh-CN"/>
              </w:rPr>
              <w:t>排放口颗粒物排放</w:t>
            </w:r>
            <w:r>
              <w:rPr>
                <w:rFonts w:hint="eastAsia" w:cs="Times New Roman"/>
                <w:color w:val="auto"/>
                <w:sz w:val="24"/>
                <w:szCs w:val="24"/>
                <w:lang w:val="en-US" w:eastAsia="zh-CN"/>
              </w:rPr>
              <w:t>平均</w:t>
            </w:r>
            <w:r>
              <w:rPr>
                <w:rFonts w:hint="eastAsia" w:ascii="Times New Roman" w:hAnsi="Times New Roman" w:eastAsia="宋体" w:cs="Times New Roman"/>
                <w:color w:val="auto"/>
                <w:sz w:val="24"/>
                <w:szCs w:val="24"/>
                <w:lang w:val="en-US" w:eastAsia="zh-CN"/>
              </w:rPr>
              <w:t>速率为0.355kg/h，产生量为</w:t>
            </w:r>
            <w:r>
              <w:rPr>
                <w:rFonts w:hint="eastAsia" w:cs="Times New Roman"/>
                <w:color w:val="auto"/>
                <w:sz w:val="24"/>
                <w:szCs w:val="24"/>
                <w:lang w:val="en-US" w:eastAsia="zh-CN"/>
              </w:rPr>
              <w:t>0.71t/a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本项目扩建完成后，</w:t>
            </w:r>
            <w:r>
              <w:rPr>
                <w:rFonts w:hint="eastAsia" w:cs="Times New Roman"/>
                <w:color w:val="auto"/>
                <w:sz w:val="24"/>
                <w:szCs w:val="24"/>
                <w:lang w:val="en-US" w:eastAsia="zh-CN"/>
              </w:rPr>
              <w:t>产量为原项目的6.48倍，在废气处置措施正产运行的情况下，有组织颗粒物排放量为4.6t/a、腻子粉年生产300天，</w:t>
            </w:r>
            <w:r>
              <w:rPr>
                <w:rFonts w:hint="default" w:ascii="Times New Roman" w:hAnsi="Times New Roman" w:eastAsia="宋体" w:cs="Times New Roman"/>
                <w:color w:val="auto"/>
                <w:sz w:val="24"/>
                <w:szCs w:val="24"/>
                <w:lang w:val="en-US" w:eastAsia="zh-CN"/>
              </w:rPr>
              <w:t>每天</w:t>
            </w:r>
            <w:r>
              <w:rPr>
                <w:rFonts w:hint="eastAsia" w:cs="Times New Roman"/>
                <w:color w:val="auto"/>
                <w:sz w:val="24"/>
                <w:szCs w:val="24"/>
                <w:lang w:val="en-US" w:eastAsia="zh-CN"/>
              </w:rPr>
              <w:t>两</w:t>
            </w:r>
            <w:r>
              <w:rPr>
                <w:rFonts w:hint="default" w:ascii="Times New Roman" w:hAnsi="Times New Roman" w:eastAsia="宋体" w:cs="Times New Roman"/>
                <w:color w:val="auto"/>
                <w:sz w:val="24"/>
                <w:szCs w:val="24"/>
                <w:lang w:val="en-US" w:eastAsia="zh-CN"/>
              </w:rPr>
              <w:t>班，每班8小时</w:t>
            </w:r>
            <w:r>
              <w:rPr>
                <w:rFonts w:hint="eastAsia" w:cs="Times New Roman"/>
                <w:color w:val="auto"/>
                <w:sz w:val="24"/>
                <w:szCs w:val="24"/>
                <w:lang w:val="en-US" w:eastAsia="zh-CN"/>
              </w:rPr>
              <w:t>，则排放速率0.96</w:t>
            </w:r>
            <w:r>
              <w:rPr>
                <w:rFonts w:hint="eastAsia" w:ascii="Times New Roman" w:hAnsi="Times New Roman" w:eastAsia="宋体" w:cs="Times New Roman"/>
                <w:color w:val="auto"/>
                <w:sz w:val="24"/>
                <w:szCs w:val="24"/>
                <w:lang w:val="en-US" w:eastAsia="zh-CN"/>
              </w:rPr>
              <w:t>kg/h、颗粒物排放浓度为</w:t>
            </w:r>
            <w:r>
              <w:rPr>
                <w:rFonts w:hint="eastAsia"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。颗粒物采用</w:t>
            </w:r>
            <w:r>
              <w:rPr>
                <w:rFonts w:hint="eastAsia" w:cs="Times New Roman"/>
                <w:color w:val="auto"/>
                <w:sz w:val="24"/>
                <w:szCs w:val="24"/>
                <w:lang w:val="en-US" w:eastAsia="zh-CN"/>
              </w:rPr>
              <w:t>24个</w:t>
            </w:r>
            <w:r>
              <w:rPr>
                <w:rFonts w:hint="eastAsia" w:ascii="Times New Roman" w:hAnsi="Times New Roman" w:eastAsia="宋体" w:cs="Times New Roman"/>
                <w:color w:val="auto"/>
                <w:sz w:val="24"/>
                <w:szCs w:val="24"/>
                <w:lang w:val="en-US" w:eastAsia="zh-CN"/>
              </w:rPr>
              <w:t>集气罩收集+</w:t>
            </w:r>
            <w:r>
              <w:rPr>
                <w:rFonts w:hint="eastAsia" w:cs="Times New Roman"/>
                <w:color w:val="auto"/>
                <w:sz w:val="24"/>
                <w:szCs w:val="24"/>
                <w:lang w:val="en-US" w:eastAsia="zh-CN"/>
              </w:rPr>
              <w:t>集中式滤筒除尘器除尘</w:t>
            </w:r>
            <w:r>
              <w:rPr>
                <w:rFonts w:hint="eastAsia" w:ascii="Times New Roman" w:hAnsi="Times New Roman" w:eastAsia="宋体" w:cs="Times New Roman"/>
                <w:color w:val="auto"/>
                <w:sz w:val="24"/>
                <w:szCs w:val="24"/>
                <w:lang w:val="en-US" w:eastAsia="zh-CN"/>
              </w:rPr>
              <w:t>后，15m的排气筒排放</w:t>
            </w:r>
            <w:r>
              <w:rPr>
                <w:rFonts w:hint="eastAsia" w:cs="Times New Roman"/>
                <w:color w:val="auto"/>
                <w:sz w:val="24"/>
                <w:szCs w:val="24"/>
                <w:lang w:val="en-US" w:eastAsia="zh-CN"/>
              </w:rPr>
              <w:t>（DA001）</w:t>
            </w:r>
            <w:r>
              <w:rPr>
                <w:rFonts w:hint="eastAsia" w:ascii="Times New Roman" w:hAnsi="Times New Roman" w:eastAsia="宋体" w:cs="Times New Roman"/>
                <w:color w:val="auto"/>
                <w:sz w:val="24"/>
                <w:szCs w:val="24"/>
                <w:lang w:val="en-US" w:eastAsia="zh-CN"/>
              </w:rPr>
              <w:t>。废气的收集效率为80%，去除效率为99%</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风机风量为</w:t>
            </w:r>
            <w:r>
              <w:rPr>
                <w:rFonts w:hint="eastAsia" w:cs="Times New Roman"/>
                <w:color w:val="auto"/>
                <w:sz w:val="24"/>
                <w:szCs w:val="24"/>
                <w:lang w:val="en-US" w:eastAsia="zh-CN"/>
              </w:rPr>
              <w:t>48</w:t>
            </w:r>
            <w:r>
              <w:rPr>
                <w:rFonts w:hint="eastAsia" w:ascii="Times New Roman" w:hAnsi="Times New Roman" w:eastAsia="宋体" w:cs="Times New Roman"/>
                <w:color w:val="auto"/>
                <w:sz w:val="24"/>
                <w:szCs w:val="24"/>
                <w:lang w:val="en-US" w:eastAsia="zh-CN"/>
              </w:rPr>
              <w:t>000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/h。则有组织粉尘产生量为</w:t>
            </w:r>
            <w:r>
              <w:rPr>
                <w:rFonts w:hint="eastAsia" w:cs="Times New Roman"/>
                <w:color w:val="auto"/>
                <w:sz w:val="24"/>
                <w:szCs w:val="24"/>
                <w:lang w:val="en-US" w:eastAsia="zh-CN"/>
              </w:rPr>
              <w:t>460</w:t>
            </w:r>
            <w:r>
              <w:rPr>
                <w:rFonts w:hint="eastAsia" w:ascii="Times New Roman" w:hAnsi="Times New Roman" w:eastAsia="宋体" w:cs="Times New Roman"/>
                <w:color w:val="auto"/>
                <w:sz w:val="24"/>
                <w:szCs w:val="24"/>
                <w:lang w:val="en-US" w:eastAsia="zh-CN"/>
              </w:rPr>
              <w:t>吨/年，产生速率为</w:t>
            </w:r>
            <w:r>
              <w:rPr>
                <w:rFonts w:hint="eastAsia" w:cs="Times New Roman"/>
                <w:color w:val="auto"/>
                <w:sz w:val="24"/>
                <w:szCs w:val="24"/>
                <w:lang w:val="en-US" w:eastAsia="zh-CN"/>
              </w:rPr>
              <w:t>95.8</w:t>
            </w:r>
            <w:r>
              <w:rPr>
                <w:rFonts w:hint="eastAsia" w:ascii="Times New Roman" w:hAnsi="Times New Roman" w:eastAsia="宋体" w:cs="Times New Roman"/>
                <w:color w:val="auto"/>
                <w:sz w:val="24"/>
                <w:szCs w:val="24"/>
                <w:lang w:val="en-US" w:eastAsia="zh-CN"/>
              </w:rPr>
              <w:t>kg/h，产生浓度为199</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。无组织产生量为</w:t>
            </w:r>
            <w:r>
              <w:rPr>
                <w:rFonts w:hint="eastAsia" w:cs="Times New Roman"/>
                <w:color w:val="auto"/>
                <w:sz w:val="24"/>
                <w:szCs w:val="24"/>
                <w:lang w:val="en-US" w:eastAsia="zh-CN"/>
              </w:rPr>
              <w:t>115t/a，产生速率为23.96</w:t>
            </w:r>
            <w:r>
              <w:rPr>
                <w:rFonts w:hint="eastAsia" w:ascii="Times New Roman" w:hAnsi="Times New Roman" w:eastAsia="宋体" w:cs="Times New Roman"/>
                <w:color w:val="auto"/>
                <w:sz w:val="24"/>
                <w:szCs w:val="24"/>
                <w:lang w:val="en-US" w:eastAsia="zh-CN"/>
              </w:rPr>
              <w:t>kg/h。</w:t>
            </w:r>
          </w:p>
          <w:p w14:paraId="6857F5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项目腻子粉生产线在密闭车间内，</w:t>
            </w:r>
            <w:r>
              <w:rPr>
                <w:rFonts w:hint="eastAsia" w:cs="Times New Roman"/>
                <w:color w:val="auto"/>
                <w:sz w:val="24"/>
                <w:szCs w:val="24"/>
                <w:lang w:val="en-US" w:eastAsia="zh-CN"/>
              </w:rPr>
              <w:t>大部分粉尘在车间内自然沉降，</w:t>
            </w:r>
            <w:r>
              <w:rPr>
                <w:rFonts w:hint="default" w:ascii="Times New Roman" w:hAnsi="Times New Roman" w:eastAsia="宋体" w:cs="Times New Roman"/>
                <w:color w:val="auto"/>
                <w:sz w:val="24"/>
                <w:szCs w:val="24"/>
                <w:lang w:val="en-US" w:eastAsia="zh-CN"/>
              </w:rPr>
              <w:t>仅在员工进出开关门期间向厂房外扩散，扩散量较小，约占无组织粉尘排放的1%，排放量为</w:t>
            </w:r>
            <w:r>
              <w:rPr>
                <w:rFonts w:hint="eastAsia" w:cs="Times New Roman"/>
                <w:color w:val="auto"/>
                <w:sz w:val="24"/>
                <w:szCs w:val="24"/>
                <w:lang w:val="en-US" w:eastAsia="zh-CN"/>
              </w:rPr>
              <w:t>1.15</w:t>
            </w:r>
            <w:r>
              <w:rPr>
                <w:rFonts w:hint="default" w:ascii="Times New Roman" w:hAnsi="Times New Roman" w:eastAsia="宋体" w:cs="Times New Roman"/>
                <w:color w:val="auto"/>
                <w:sz w:val="24"/>
                <w:szCs w:val="24"/>
                <w:lang w:val="en-US" w:eastAsia="zh-CN"/>
              </w:rPr>
              <w:t>t/a，排放速率为</w:t>
            </w:r>
            <w:r>
              <w:rPr>
                <w:rFonts w:hint="eastAsia" w:cs="Times New Roman"/>
                <w:color w:val="auto"/>
                <w:sz w:val="24"/>
                <w:szCs w:val="24"/>
                <w:lang w:val="en-US" w:eastAsia="zh-CN"/>
              </w:rPr>
              <w:t>0.24</w:t>
            </w:r>
            <w:r>
              <w:rPr>
                <w:rFonts w:hint="default" w:ascii="Times New Roman" w:hAnsi="Times New Roman" w:eastAsia="宋体" w:cs="Times New Roman"/>
                <w:color w:val="auto"/>
                <w:sz w:val="24"/>
                <w:szCs w:val="24"/>
                <w:lang w:val="en-US" w:eastAsia="zh-CN"/>
              </w:rPr>
              <w:t>kg/h。</w:t>
            </w:r>
          </w:p>
          <w:p w14:paraId="6F26F1E9">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包装口粉尘</w:t>
            </w:r>
          </w:p>
          <w:p w14:paraId="057FF0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腻子粉粒径较小，包装环节易扩散，环评提出在包装时包装袋须与包装机口紧密相接，减少其扩散量。粉尘产尘系数参照中国环境科学出版社出版的《逸散性工业粉尘控制技术》中水泥生产，袋装排放因子0.005kg/h</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本项目年产120000t腻子粉，则粉尘产生量为</w:t>
            </w:r>
            <w:r>
              <w:rPr>
                <w:rFonts w:hint="eastAsia" w:cs="Times New Roman"/>
                <w:color w:val="auto"/>
                <w:sz w:val="24"/>
                <w:szCs w:val="24"/>
                <w:vertAlign w:val="baseline"/>
                <w:lang w:val="en-US" w:eastAsia="zh-CN"/>
              </w:rPr>
              <w:t>0.6</w:t>
            </w:r>
            <w:r>
              <w:rPr>
                <w:rFonts w:hint="default" w:ascii="Times New Roman" w:hAnsi="Times New Roman" w:eastAsia="宋体" w:cs="Times New Roman"/>
                <w:color w:val="auto"/>
                <w:sz w:val="24"/>
                <w:szCs w:val="24"/>
                <w:vertAlign w:val="baseline"/>
                <w:lang w:val="en-US" w:eastAsia="zh-CN"/>
              </w:rPr>
              <w:t>t</w:t>
            </w:r>
            <w:r>
              <w:rPr>
                <w:rFonts w:hint="default" w:ascii="Times New Roman" w:hAnsi="Times New Roman" w:eastAsia="宋体" w:cs="Times New Roman"/>
                <w:color w:val="auto"/>
                <w:sz w:val="24"/>
                <w:szCs w:val="24"/>
                <w:lang w:val="en-US" w:eastAsia="zh-CN"/>
              </w:rPr>
              <w:t>/a，产生速率为</w:t>
            </w:r>
            <w:r>
              <w:rPr>
                <w:rFonts w:hint="eastAsia" w:cs="Times New Roman"/>
                <w:color w:val="auto"/>
                <w:sz w:val="24"/>
                <w:szCs w:val="24"/>
                <w:lang w:val="en-US" w:eastAsia="zh-CN"/>
              </w:rPr>
              <w:t>0.125</w:t>
            </w:r>
            <w:r>
              <w:rPr>
                <w:rFonts w:hint="default" w:ascii="Times New Roman" w:hAnsi="Times New Roman" w:eastAsia="宋体" w:cs="Times New Roman"/>
                <w:color w:val="auto"/>
                <w:sz w:val="24"/>
                <w:szCs w:val="24"/>
                <w:lang w:val="en-US" w:eastAsia="zh-CN"/>
              </w:rPr>
              <w:t>kg/h。包装粉尘经收集后进入旋风除尘器进行处理后无组织排放，集气罩收集效率约80%，除尘效率约为</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0%，旋风除尘器排口无组织颗粒物排放量</w:t>
            </w:r>
            <w:r>
              <w:rPr>
                <w:rFonts w:hint="eastAsia" w:cs="Times New Roman"/>
                <w:color w:val="auto"/>
                <w:sz w:val="24"/>
                <w:szCs w:val="24"/>
                <w:lang w:val="en-US" w:eastAsia="zh-CN"/>
              </w:rPr>
              <w:t>0.192</w:t>
            </w:r>
            <w:r>
              <w:rPr>
                <w:rFonts w:hint="default" w:ascii="Times New Roman" w:hAnsi="Times New Roman" w:eastAsia="宋体" w:cs="Times New Roman"/>
                <w:color w:val="auto"/>
                <w:sz w:val="24"/>
                <w:szCs w:val="24"/>
                <w:lang w:val="en-US" w:eastAsia="zh-CN"/>
              </w:rPr>
              <w:t>t/a。未收集部分为</w:t>
            </w:r>
            <w:r>
              <w:rPr>
                <w:rFonts w:hint="eastAsia" w:cs="Times New Roman"/>
                <w:color w:val="auto"/>
                <w:sz w:val="24"/>
                <w:szCs w:val="24"/>
                <w:lang w:val="en-US" w:eastAsia="zh-CN"/>
              </w:rPr>
              <w:t>0.12</w:t>
            </w:r>
            <w:r>
              <w:rPr>
                <w:rFonts w:hint="default" w:ascii="Times New Roman" w:hAnsi="Times New Roman" w:eastAsia="宋体" w:cs="Times New Roman"/>
                <w:color w:val="auto"/>
                <w:sz w:val="24"/>
                <w:szCs w:val="24"/>
                <w:vertAlign w:val="baseline"/>
                <w:lang w:val="en-US" w:eastAsia="zh-CN"/>
              </w:rPr>
              <w:t>t</w:t>
            </w:r>
            <w:r>
              <w:rPr>
                <w:rFonts w:hint="default" w:ascii="Times New Roman" w:hAnsi="Times New Roman" w:eastAsia="宋体" w:cs="Times New Roman"/>
                <w:color w:val="auto"/>
                <w:sz w:val="24"/>
                <w:szCs w:val="24"/>
                <w:lang w:val="en-US" w:eastAsia="zh-CN"/>
              </w:rPr>
              <w:t>/a，因此包装环节无组织颗粒物产生量为</w:t>
            </w:r>
            <w:r>
              <w:rPr>
                <w:rFonts w:hint="eastAsia" w:cs="Times New Roman"/>
                <w:color w:val="auto"/>
                <w:sz w:val="24"/>
                <w:szCs w:val="24"/>
                <w:lang w:val="en-US" w:eastAsia="zh-CN"/>
              </w:rPr>
              <w:t>0.312</w:t>
            </w:r>
            <w:r>
              <w:rPr>
                <w:rFonts w:hint="default" w:ascii="Times New Roman" w:hAnsi="Times New Roman" w:eastAsia="宋体" w:cs="Times New Roman"/>
                <w:color w:val="auto"/>
                <w:sz w:val="24"/>
                <w:szCs w:val="24"/>
                <w:vertAlign w:val="baseline"/>
                <w:lang w:val="en-US" w:eastAsia="zh-CN"/>
              </w:rPr>
              <w:t>t</w:t>
            </w:r>
            <w:r>
              <w:rPr>
                <w:rFonts w:hint="default" w:ascii="Times New Roman" w:hAnsi="Times New Roman" w:eastAsia="宋体" w:cs="Times New Roman"/>
                <w:color w:val="auto"/>
                <w:sz w:val="24"/>
                <w:szCs w:val="24"/>
                <w:lang w:val="en-US" w:eastAsia="zh-CN"/>
              </w:rPr>
              <w:t>/a，速率为</w:t>
            </w:r>
            <w:r>
              <w:rPr>
                <w:rFonts w:hint="eastAsia" w:cs="Times New Roman"/>
                <w:color w:val="auto"/>
                <w:sz w:val="24"/>
                <w:szCs w:val="24"/>
                <w:lang w:val="en-US" w:eastAsia="zh-CN"/>
              </w:rPr>
              <w:t>0.065</w:t>
            </w:r>
            <w:r>
              <w:rPr>
                <w:rFonts w:hint="default" w:ascii="Times New Roman" w:hAnsi="Times New Roman" w:eastAsia="宋体" w:cs="Times New Roman"/>
                <w:color w:val="auto"/>
                <w:sz w:val="24"/>
                <w:szCs w:val="24"/>
                <w:lang w:val="en-US" w:eastAsia="zh-CN"/>
              </w:rPr>
              <w:t>kg/h。项目腻子粉生产线在密闭车间内生产，仅在员工进出开关门期间向厂房外扩散，扩散量较小，约占无组织粉尘产生量的1%，排放量为</w:t>
            </w:r>
            <w:r>
              <w:rPr>
                <w:rFonts w:hint="eastAsia" w:cs="Times New Roman"/>
                <w:color w:val="auto"/>
                <w:sz w:val="24"/>
                <w:szCs w:val="24"/>
                <w:lang w:val="en-US" w:eastAsia="zh-CN"/>
              </w:rPr>
              <w:t>0.003</w:t>
            </w:r>
            <w:r>
              <w:rPr>
                <w:rFonts w:hint="default" w:ascii="Times New Roman" w:hAnsi="Times New Roman" w:eastAsia="宋体" w:cs="Times New Roman"/>
                <w:color w:val="auto"/>
                <w:sz w:val="24"/>
                <w:szCs w:val="24"/>
                <w:lang w:val="en-US" w:eastAsia="zh-CN"/>
              </w:rPr>
              <w:t>t/a，排放速率为</w:t>
            </w:r>
            <w:r>
              <w:rPr>
                <w:rFonts w:hint="eastAsia" w:cs="Times New Roman"/>
                <w:color w:val="auto"/>
                <w:sz w:val="24"/>
                <w:szCs w:val="24"/>
                <w:lang w:val="en-US" w:eastAsia="zh-CN"/>
              </w:rPr>
              <w:t>0.0007</w:t>
            </w:r>
            <w:r>
              <w:rPr>
                <w:rFonts w:hint="default" w:ascii="Times New Roman" w:hAnsi="Times New Roman" w:eastAsia="宋体" w:cs="Times New Roman"/>
                <w:color w:val="auto"/>
                <w:sz w:val="24"/>
                <w:szCs w:val="24"/>
                <w:lang w:val="en-US" w:eastAsia="zh-CN"/>
              </w:rPr>
              <w:t>kg/h。</w:t>
            </w:r>
          </w:p>
          <w:p w14:paraId="5C5AE70B">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腻子粉生产车间</w:t>
            </w:r>
            <w:r>
              <w:rPr>
                <w:rFonts w:hint="default" w:ascii="Times New Roman" w:hAnsi="Times New Roman" w:eastAsia="宋体" w:cs="Times New Roman"/>
                <w:color w:val="auto"/>
                <w:sz w:val="24"/>
                <w:szCs w:val="24"/>
                <w:lang w:val="en-US" w:eastAsia="zh-CN"/>
              </w:rPr>
              <w:t>卸料粉尘</w:t>
            </w:r>
          </w:p>
          <w:p w14:paraId="53E6CD1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腻子粉生产车间设置有3个储量为60m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的储料罐（分别存储水泥、白砂、碳酸钙），卸料至粉料罐期间会产生粉尘，在储罐顶部设置脉冲布袋除尘装置，抑制储罐呼吸口粉尘外排。粉尘产生量</w:t>
            </w:r>
            <w:r>
              <w:rPr>
                <w:rFonts w:hint="default" w:ascii="Times New Roman" w:hAnsi="Times New Roman" w:eastAsia="宋体" w:cs="Times New Roman"/>
                <w:kern w:val="2"/>
                <w:sz w:val="24"/>
                <w:szCs w:val="24"/>
                <w:lang w:val="en-US" w:eastAsia="zh-CN"/>
              </w:rPr>
              <w:t>参考《北京市混凝土搅拌站扬尘排放因子及排放清单》（中国环境科学 2017.37（10）：3699-3707）表 3 混凝土搅拌站水泥卸料至筒仓无控制措施扬尘排放因子进行核算扬尘产生源强</w:t>
            </w:r>
            <w:r>
              <w:rPr>
                <w:rFonts w:hint="eastAsia" w:cs="Times New Roman"/>
                <w:kern w:val="2"/>
                <w:sz w:val="24"/>
                <w:szCs w:val="24"/>
                <w:lang w:val="en-US" w:eastAsia="zh-CN"/>
              </w:rPr>
              <w:t>，</w:t>
            </w:r>
            <w:r>
              <w:rPr>
                <w:rFonts w:hint="default" w:ascii="Times New Roman" w:hAnsi="Times New Roman" w:eastAsia="宋体" w:cs="Times New Roman"/>
                <w:kern w:val="2"/>
                <w:sz w:val="24"/>
                <w:szCs w:val="24"/>
                <w:lang w:val="en-US" w:eastAsia="zh-CN"/>
              </w:rPr>
              <w:t>卸料至筒仓扬尘产生系数为0.36</w:t>
            </w:r>
            <w:r>
              <w:rPr>
                <w:rFonts w:hint="default" w:ascii="Times New Roman" w:hAnsi="Times New Roman" w:eastAsia="宋体" w:cs="Times New Roman"/>
                <w:sz w:val="24"/>
                <w:szCs w:val="24"/>
                <w:lang w:eastAsia="zh-CN"/>
              </w:rPr>
              <w:t>kg/t（</w:t>
            </w:r>
            <w:r>
              <w:rPr>
                <w:rFonts w:hint="default" w:ascii="Times New Roman" w:hAnsi="Times New Roman" w:eastAsia="宋体" w:cs="Times New Roman"/>
                <w:sz w:val="24"/>
                <w:szCs w:val="24"/>
                <w:lang w:val="en-US" w:eastAsia="zh-CN"/>
              </w:rPr>
              <w:t>原料</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auto"/>
                <w:sz w:val="24"/>
                <w:szCs w:val="24"/>
                <w:lang w:val="en-US" w:eastAsia="zh-CN"/>
              </w:rPr>
              <w:t>，进料时间约为3h/d，则粉尘产生量为42.38t/a，产生速率为47.09</w:t>
            </w:r>
            <w:r>
              <w:rPr>
                <w:rFonts w:hint="default" w:ascii="Times New Roman" w:hAnsi="Times New Roman" w:eastAsia="宋体" w:cs="Times New Roman"/>
                <w:sz w:val="24"/>
                <w:szCs w:val="24"/>
                <w:lang w:eastAsia="zh-CN"/>
              </w:rPr>
              <w:t>kg/</w:t>
            </w:r>
            <w:r>
              <w:rPr>
                <w:rFonts w:hint="default" w:ascii="Times New Roman" w:hAnsi="Times New Roman" w:eastAsia="宋体" w:cs="Times New Roman"/>
                <w:sz w:val="24"/>
                <w:szCs w:val="24"/>
                <w:lang w:val="en-US" w:eastAsia="zh-CN"/>
              </w:rPr>
              <w:t>h。</w:t>
            </w:r>
            <w:r>
              <w:rPr>
                <w:rFonts w:hint="default" w:ascii="Times New Roman" w:hAnsi="Times New Roman" w:eastAsia="宋体" w:cs="Times New Roman"/>
                <w:color w:val="auto"/>
                <w:sz w:val="24"/>
                <w:szCs w:val="24"/>
                <w:lang w:val="en-US" w:eastAsia="zh-CN"/>
              </w:rPr>
              <w:t>脉冲布袋除尘装置去除效率为99%，则外排的粉尘约为0.42t/a，外排速率为0.47</w:t>
            </w:r>
            <w:r>
              <w:rPr>
                <w:rFonts w:hint="default" w:ascii="Times New Roman" w:hAnsi="Times New Roman" w:eastAsia="宋体" w:cs="Times New Roman"/>
                <w:sz w:val="24"/>
                <w:szCs w:val="24"/>
                <w:lang w:eastAsia="zh-CN"/>
              </w:rPr>
              <w:t>kg/</w:t>
            </w:r>
            <w:r>
              <w:rPr>
                <w:rFonts w:hint="default" w:ascii="Times New Roman" w:hAnsi="Times New Roman" w:eastAsia="宋体" w:cs="Times New Roman"/>
                <w:sz w:val="24"/>
                <w:szCs w:val="24"/>
                <w:lang w:val="en-US" w:eastAsia="zh-CN"/>
              </w:rPr>
              <w:t>h。</w:t>
            </w:r>
          </w:p>
          <w:p w14:paraId="475298A2">
            <w:pPr>
              <w:pStyle w:val="2"/>
              <w:keepNext w:val="0"/>
              <w:keepLines w:val="0"/>
              <w:suppressLineNumbers w:val="0"/>
              <w:spacing w:before="0" w:beforeAutospacing="0" w:after="0" w:afterAutospacing="0" w:line="360" w:lineRule="auto"/>
              <w:ind w:left="0" w:right="0" w:firstLine="480" w:firstLineChars="200"/>
              <w:rPr>
                <w:rFonts w:hint="eastAsia" w:cs="Times New Roman"/>
                <w:sz w:val="24"/>
                <w:szCs w:val="24"/>
                <w:lang w:val="en-US" w:eastAsia="zh-CN"/>
              </w:rPr>
            </w:pPr>
            <w:r>
              <w:rPr>
                <w:rFonts w:hint="eastAsia" w:cs="Times New Roman"/>
                <w:sz w:val="24"/>
                <w:szCs w:val="24"/>
                <w:lang w:val="en-US" w:eastAsia="zh-CN"/>
              </w:rPr>
              <w:t>综上分析，腻子粉生产车间废气产排情况见下表。</w:t>
            </w:r>
          </w:p>
          <w:p w14:paraId="7366D67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lang w:val="en-US" w:eastAsia="zh-CN"/>
              </w:rPr>
            </w:pPr>
            <w:r>
              <w:rPr>
                <w:rFonts w:hint="eastAsia" w:cs="Times New Roman"/>
                <w:b/>
                <w:bCs/>
                <w:sz w:val="21"/>
                <w:szCs w:val="21"/>
                <w:lang w:val="en-US" w:eastAsia="zh-CN"/>
              </w:rPr>
              <w:t>表4-3 水性涂料生产车间废气产排情况一览表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634"/>
              <w:gridCol w:w="592"/>
              <w:gridCol w:w="794"/>
              <w:gridCol w:w="1028"/>
              <w:gridCol w:w="1111"/>
              <w:gridCol w:w="733"/>
              <w:gridCol w:w="865"/>
              <w:gridCol w:w="1028"/>
              <w:gridCol w:w="1213"/>
            </w:tblGrid>
            <w:tr w14:paraId="4BB0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3CA92AF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产污环节</w:t>
                  </w:r>
                </w:p>
              </w:tc>
              <w:tc>
                <w:tcPr>
                  <w:tcW w:w="376" w:type="pct"/>
                  <w:vAlign w:val="center"/>
                </w:tcPr>
                <w:p w14:paraId="0436570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排放形式</w:t>
                  </w:r>
                </w:p>
              </w:tc>
              <w:tc>
                <w:tcPr>
                  <w:tcW w:w="351" w:type="pct"/>
                  <w:vAlign w:val="center"/>
                </w:tcPr>
                <w:p w14:paraId="5CE9309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污染因子</w:t>
                  </w:r>
                </w:p>
              </w:tc>
              <w:tc>
                <w:tcPr>
                  <w:tcW w:w="471" w:type="pct"/>
                  <w:vAlign w:val="center"/>
                </w:tcPr>
                <w:p w14:paraId="3259F71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产生量（t/a）</w:t>
                  </w:r>
                </w:p>
              </w:tc>
              <w:tc>
                <w:tcPr>
                  <w:tcW w:w="610" w:type="pct"/>
                  <w:vAlign w:val="center"/>
                </w:tcPr>
                <w:p w14:paraId="3F2166D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产生速率（kg/h）</w:t>
                  </w:r>
                </w:p>
              </w:tc>
              <w:tc>
                <w:tcPr>
                  <w:tcW w:w="659" w:type="pct"/>
                  <w:vAlign w:val="center"/>
                </w:tcPr>
                <w:p w14:paraId="2967BD85">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产生浓度（mg/m</w:t>
                  </w:r>
                  <w:r>
                    <w:rPr>
                      <w:rFonts w:hint="eastAsia"/>
                      <w:b/>
                      <w:bCs/>
                      <w:sz w:val="21"/>
                      <w:szCs w:val="21"/>
                      <w:vertAlign w:val="superscript"/>
                      <w:lang w:val="en-US" w:eastAsia="zh-CN"/>
                    </w:rPr>
                    <w:t>3</w:t>
                  </w:r>
                  <w:r>
                    <w:rPr>
                      <w:rFonts w:hint="eastAsia"/>
                      <w:b/>
                      <w:bCs/>
                      <w:sz w:val="21"/>
                      <w:szCs w:val="21"/>
                      <w:vertAlign w:val="baseline"/>
                      <w:lang w:val="en-US" w:eastAsia="zh-CN"/>
                    </w:rPr>
                    <w:t>）</w:t>
                  </w:r>
                </w:p>
              </w:tc>
              <w:tc>
                <w:tcPr>
                  <w:tcW w:w="435" w:type="pct"/>
                  <w:vAlign w:val="center"/>
                </w:tcPr>
                <w:p w14:paraId="5B6D5C5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处置措施</w:t>
                  </w:r>
                </w:p>
              </w:tc>
              <w:tc>
                <w:tcPr>
                  <w:tcW w:w="513" w:type="pct"/>
                  <w:vAlign w:val="center"/>
                </w:tcPr>
                <w:p w14:paraId="1E9C23C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排放量（t/a）</w:t>
                  </w:r>
                </w:p>
              </w:tc>
              <w:tc>
                <w:tcPr>
                  <w:tcW w:w="610" w:type="pct"/>
                  <w:vAlign w:val="center"/>
                </w:tcPr>
                <w:p w14:paraId="5E58D99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排放速率（kg/h）</w:t>
                  </w:r>
                </w:p>
              </w:tc>
              <w:tc>
                <w:tcPr>
                  <w:tcW w:w="719" w:type="pct"/>
                  <w:vAlign w:val="center"/>
                </w:tcPr>
                <w:p w14:paraId="1EB9D93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排放浓度（mg/m</w:t>
                  </w:r>
                  <w:r>
                    <w:rPr>
                      <w:rFonts w:hint="eastAsia"/>
                      <w:b/>
                      <w:bCs/>
                      <w:sz w:val="21"/>
                      <w:szCs w:val="21"/>
                      <w:vertAlign w:val="superscript"/>
                      <w:lang w:val="en-US" w:eastAsia="zh-CN"/>
                    </w:rPr>
                    <w:t>3</w:t>
                  </w:r>
                  <w:r>
                    <w:rPr>
                      <w:rFonts w:hint="eastAsia"/>
                      <w:b/>
                      <w:bCs/>
                      <w:sz w:val="21"/>
                      <w:szCs w:val="21"/>
                      <w:vertAlign w:val="baseline"/>
                      <w:lang w:val="en-US" w:eastAsia="zh-CN"/>
                    </w:rPr>
                    <w:t>）</w:t>
                  </w:r>
                </w:p>
              </w:tc>
            </w:tr>
            <w:tr w14:paraId="096F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vAlign w:val="center"/>
                </w:tcPr>
                <w:p w14:paraId="7AC1EB85">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投料、配料、混料</w:t>
                  </w:r>
                </w:p>
              </w:tc>
              <w:tc>
                <w:tcPr>
                  <w:tcW w:w="376" w:type="pct"/>
                  <w:vAlign w:val="center"/>
                </w:tcPr>
                <w:p w14:paraId="39646165">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有组织</w:t>
                  </w:r>
                </w:p>
              </w:tc>
              <w:tc>
                <w:tcPr>
                  <w:tcW w:w="351" w:type="pct"/>
                  <w:vAlign w:val="center"/>
                </w:tcPr>
                <w:p w14:paraId="1E7BB12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TSP</w:t>
                  </w:r>
                </w:p>
              </w:tc>
              <w:tc>
                <w:tcPr>
                  <w:tcW w:w="471" w:type="pct"/>
                  <w:vAlign w:val="center"/>
                </w:tcPr>
                <w:p w14:paraId="190A3530">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460</w:t>
                  </w:r>
                </w:p>
              </w:tc>
              <w:tc>
                <w:tcPr>
                  <w:tcW w:w="610" w:type="pct"/>
                  <w:vAlign w:val="center"/>
                </w:tcPr>
                <w:p w14:paraId="71A4CE4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95.8</w:t>
                  </w:r>
                </w:p>
              </w:tc>
              <w:tc>
                <w:tcPr>
                  <w:tcW w:w="659" w:type="pct"/>
                  <w:vAlign w:val="center"/>
                </w:tcPr>
                <w:p w14:paraId="1A1DBDA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1996</w:t>
                  </w:r>
                </w:p>
              </w:tc>
              <w:tc>
                <w:tcPr>
                  <w:tcW w:w="435" w:type="pct"/>
                  <w:vMerge w:val="restart"/>
                  <w:vAlign w:val="center"/>
                </w:tcPr>
                <w:p w14:paraId="75F83FC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集中式滤筒除尘，车间封闭</w:t>
                  </w:r>
                </w:p>
              </w:tc>
              <w:tc>
                <w:tcPr>
                  <w:tcW w:w="513" w:type="pct"/>
                  <w:vAlign w:val="center"/>
                </w:tcPr>
                <w:p w14:paraId="2DFEE4F9">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4.6</w:t>
                  </w:r>
                </w:p>
              </w:tc>
              <w:tc>
                <w:tcPr>
                  <w:tcW w:w="610" w:type="pct"/>
                  <w:vAlign w:val="center"/>
                </w:tcPr>
                <w:p w14:paraId="440C9BF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0.96</w:t>
                  </w:r>
                </w:p>
              </w:tc>
              <w:tc>
                <w:tcPr>
                  <w:tcW w:w="719" w:type="pct"/>
                  <w:vAlign w:val="center"/>
                </w:tcPr>
                <w:p w14:paraId="402D666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w:t>
                  </w:r>
                </w:p>
              </w:tc>
            </w:tr>
            <w:tr w14:paraId="1A1A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250" w:type="pct"/>
                  <w:vMerge w:val="continue"/>
                  <w:vAlign w:val="center"/>
                </w:tcPr>
                <w:p w14:paraId="7166AF5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p>
              </w:tc>
              <w:tc>
                <w:tcPr>
                  <w:tcW w:w="376" w:type="pct"/>
                  <w:vAlign w:val="center"/>
                </w:tcPr>
                <w:p w14:paraId="2CDE7AE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无组织</w:t>
                  </w:r>
                </w:p>
              </w:tc>
              <w:tc>
                <w:tcPr>
                  <w:tcW w:w="351" w:type="pct"/>
                  <w:vAlign w:val="center"/>
                </w:tcPr>
                <w:p w14:paraId="4B5F1199">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TSP</w:t>
                  </w:r>
                </w:p>
              </w:tc>
              <w:tc>
                <w:tcPr>
                  <w:tcW w:w="471" w:type="pct"/>
                  <w:vAlign w:val="center"/>
                </w:tcPr>
                <w:p w14:paraId="196A922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115</w:t>
                  </w:r>
                </w:p>
              </w:tc>
              <w:tc>
                <w:tcPr>
                  <w:tcW w:w="610" w:type="pct"/>
                  <w:vAlign w:val="center"/>
                </w:tcPr>
                <w:p w14:paraId="58022A5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23.96</w:t>
                  </w:r>
                </w:p>
              </w:tc>
              <w:tc>
                <w:tcPr>
                  <w:tcW w:w="659" w:type="pct"/>
                  <w:vAlign w:val="center"/>
                </w:tcPr>
                <w:p w14:paraId="436C705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435" w:type="pct"/>
                  <w:vMerge w:val="continue"/>
                  <w:vAlign w:val="center"/>
                </w:tcPr>
                <w:p w14:paraId="0CCA3B5D">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p>
              </w:tc>
              <w:tc>
                <w:tcPr>
                  <w:tcW w:w="513" w:type="pct"/>
                  <w:vAlign w:val="center"/>
                </w:tcPr>
                <w:p w14:paraId="1B99FF4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1.15</w:t>
                  </w:r>
                </w:p>
              </w:tc>
              <w:tc>
                <w:tcPr>
                  <w:tcW w:w="610" w:type="pct"/>
                  <w:vAlign w:val="center"/>
                </w:tcPr>
                <w:p w14:paraId="64E4820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0.24</w:t>
                  </w:r>
                </w:p>
              </w:tc>
              <w:tc>
                <w:tcPr>
                  <w:tcW w:w="719" w:type="pct"/>
                  <w:vAlign w:val="center"/>
                </w:tcPr>
                <w:p w14:paraId="1D964818">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4F3A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0" w:type="pct"/>
                  <w:vAlign w:val="center"/>
                </w:tcPr>
                <w:p w14:paraId="253820C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包装</w:t>
                  </w:r>
                </w:p>
              </w:tc>
              <w:tc>
                <w:tcPr>
                  <w:tcW w:w="376" w:type="pct"/>
                  <w:vAlign w:val="center"/>
                </w:tcPr>
                <w:p w14:paraId="6DA2E5A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无组织</w:t>
                  </w:r>
                </w:p>
              </w:tc>
              <w:tc>
                <w:tcPr>
                  <w:tcW w:w="351" w:type="pct"/>
                  <w:vAlign w:val="center"/>
                </w:tcPr>
                <w:p w14:paraId="24978F3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TSP</w:t>
                  </w:r>
                </w:p>
              </w:tc>
              <w:tc>
                <w:tcPr>
                  <w:tcW w:w="471" w:type="pct"/>
                  <w:vAlign w:val="center"/>
                </w:tcPr>
                <w:p w14:paraId="1D2FF62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0.6</w:t>
                  </w:r>
                </w:p>
              </w:tc>
              <w:tc>
                <w:tcPr>
                  <w:tcW w:w="610" w:type="pct"/>
                  <w:vAlign w:val="center"/>
                </w:tcPr>
                <w:p w14:paraId="1F15A37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0.125</w:t>
                  </w:r>
                </w:p>
              </w:tc>
              <w:tc>
                <w:tcPr>
                  <w:tcW w:w="659" w:type="pct"/>
                  <w:vAlign w:val="center"/>
                </w:tcPr>
                <w:p w14:paraId="74E4CE8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435" w:type="pct"/>
                  <w:vAlign w:val="center"/>
                </w:tcPr>
                <w:p w14:paraId="463706A0">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旋风除尘器除尘</w:t>
                  </w:r>
                </w:p>
              </w:tc>
              <w:tc>
                <w:tcPr>
                  <w:tcW w:w="513" w:type="pct"/>
                  <w:vAlign w:val="center"/>
                </w:tcPr>
                <w:p w14:paraId="14CA93E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0.003</w:t>
                  </w:r>
                </w:p>
              </w:tc>
              <w:tc>
                <w:tcPr>
                  <w:tcW w:w="610" w:type="pct"/>
                  <w:vAlign w:val="center"/>
                </w:tcPr>
                <w:p w14:paraId="5AE943E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0.0007</w:t>
                  </w:r>
                </w:p>
              </w:tc>
              <w:tc>
                <w:tcPr>
                  <w:tcW w:w="719" w:type="pct"/>
                  <w:vAlign w:val="center"/>
                </w:tcPr>
                <w:p w14:paraId="2B223DC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r w14:paraId="0F25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0" w:type="pct"/>
                  <w:vAlign w:val="center"/>
                </w:tcPr>
                <w:p w14:paraId="5DFD838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卸料</w:t>
                  </w:r>
                </w:p>
              </w:tc>
              <w:tc>
                <w:tcPr>
                  <w:tcW w:w="376" w:type="pct"/>
                  <w:vAlign w:val="center"/>
                </w:tcPr>
                <w:p w14:paraId="62CC5ED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无组织</w:t>
                  </w:r>
                </w:p>
              </w:tc>
              <w:tc>
                <w:tcPr>
                  <w:tcW w:w="351" w:type="pct"/>
                  <w:vAlign w:val="center"/>
                </w:tcPr>
                <w:p w14:paraId="7A7CF81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TSP</w:t>
                  </w:r>
                </w:p>
              </w:tc>
              <w:tc>
                <w:tcPr>
                  <w:tcW w:w="471" w:type="pct"/>
                  <w:vAlign w:val="center"/>
                </w:tcPr>
                <w:p w14:paraId="46862BE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42.38</w:t>
                  </w:r>
                </w:p>
              </w:tc>
              <w:tc>
                <w:tcPr>
                  <w:tcW w:w="610" w:type="pct"/>
                  <w:vAlign w:val="center"/>
                </w:tcPr>
                <w:p w14:paraId="5D9C021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47.09</w:t>
                  </w:r>
                </w:p>
              </w:tc>
              <w:tc>
                <w:tcPr>
                  <w:tcW w:w="659" w:type="pct"/>
                  <w:vAlign w:val="center"/>
                </w:tcPr>
                <w:p w14:paraId="4BFEF26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435" w:type="pct"/>
                  <w:vAlign w:val="center"/>
                </w:tcPr>
                <w:p w14:paraId="78D857A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脉冲布袋除尘装置</w:t>
                  </w:r>
                </w:p>
              </w:tc>
              <w:tc>
                <w:tcPr>
                  <w:tcW w:w="513" w:type="pct"/>
                  <w:vAlign w:val="center"/>
                </w:tcPr>
                <w:p w14:paraId="18EB0DA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0.42</w:t>
                  </w:r>
                </w:p>
              </w:tc>
              <w:tc>
                <w:tcPr>
                  <w:tcW w:w="610" w:type="pct"/>
                  <w:vAlign w:val="center"/>
                </w:tcPr>
                <w:p w14:paraId="01CA488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0.47</w:t>
                  </w:r>
                </w:p>
              </w:tc>
              <w:tc>
                <w:tcPr>
                  <w:tcW w:w="719" w:type="pct"/>
                  <w:vAlign w:val="center"/>
                </w:tcPr>
                <w:p w14:paraId="3801E0E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bl>
          <w:p w14:paraId="0C0683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③</w:t>
            </w:r>
            <w:r>
              <w:rPr>
                <w:rFonts w:hint="default" w:ascii="Times New Roman" w:hAnsi="Times New Roman" w:eastAsia="宋体" w:cs="Times New Roman"/>
                <w:b/>
                <w:bCs/>
                <w:color w:val="auto"/>
                <w:sz w:val="24"/>
                <w:szCs w:val="24"/>
                <w:lang w:val="en-US" w:eastAsia="zh-CN"/>
              </w:rPr>
              <w:t>食堂油烟</w:t>
            </w:r>
          </w:p>
          <w:p w14:paraId="747EE7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项目设有食堂，食堂设有1个灶头，每日就餐人数为150人。食堂采用清洁燃料，因此食堂仅产生少量食堂油烟。按平衡膳食推荐的以每人每天食用30g食用油计，则用油量为4500g/d。油的平均挥发量为总耗油量的2.83%，经估算，本项目食堂产生油烟量为12.74g/d，46kg/a，每天平均烹调作业6小时计，则油烟产生速率为27.88g/h。食堂安装油烟净化器，油烟净化器的风量为4000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/h，油烟去除效率为60%，则食堂油烟的排放浓度为1.86mg/m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。食堂油烟经</w:t>
            </w:r>
            <w:r>
              <w:rPr>
                <w:rFonts w:hint="default" w:ascii="Times New Roman" w:hAnsi="Times New Roman" w:eastAsia="宋体" w:cs="Times New Roman"/>
                <w:color w:val="auto"/>
                <w:sz w:val="24"/>
                <w:szCs w:val="24"/>
                <w:lang w:val="zh-CN" w:eastAsia="zh-CN"/>
              </w:rPr>
              <w:t>油烟净化器</w:t>
            </w:r>
            <w:r>
              <w:rPr>
                <w:rFonts w:hint="default" w:ascii="Times New Roman" w:hAnsi="Times New Roman" w:eastAsia="宋体" w:cs="Times New Roman"/>
                <w:color w:val="auto"/>
                <w:sz w:val="24"/>
                <w:szCs w:val="24"/>
                <w:lang w:val="en-US" w:eastAsia="zh-CN"/>
              </w:rPr>
              <w:t>处理后</w:t>
            </w:r>
            <w:r>
              <w:rPr>
                <w:rFonts w:hint="default" w:ascii="Times New Roman" w:hAnsi="Times New Roman" w:eastAsia="宋体" w:cs="Times New Roman"/>
                <w:color w:val="auto"/>
                <w:sz w:val="24"/>
              </w:rPr>
              <w:t>满足GB18483-2001《饮食业油烟排放标准》中最高允许排放浓度≤2mg/m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的要求，对周边环境空气影响较小。</w:t>
            </w:r>
          </w:p>
          <w:p w14:paraId="72BB48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④</w:t>
            </w:r>
            <w:r>
              <w:rPr>
                <w:rFonts w:hint="default" w:ascii="Times New Roman" w:hAnsi="Times New Roman" w:eastAsia="宋体" w:cs="Times New Roman"/>
                <w:b/>
                <w:bCs/>
                <w:color w:val="auto"/>
                <w:sz w:val="24"/>
                <w:szCs w:val="24"/>
                <w:lang w:val="en-US" w:eastAsia="zh-CN"/>
              </w:rPr>
              <w:t>污水处理系统恶臭</w:t>
            </w:r>
          </w:p>
          <w:p w14:paraId="08E2C29A">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right="0" w:firstLine="464" w:firstLineChars="200"/>
              <w:textAlignment w:val="auto"/>
              <w:rPr>
                <w:rFonts w:hint="default" w:ascii="Times New Roman" w:hAnsi="Times New Roman" w:eastAsia="宋体" w:cs="Times New Roman"/>
                <w:color w:val="auto"/>
                <w:position w:val="2"/>
                <w:lang w:val="en-US" w:eastAsia="zh-CN"/>
              </w:rPr>
            </w:pPr>
            <w:r>
              <w:rPr>
                <w:rFonts w:hint="default" w:ascii="Times New Roman" w:hAnsi="Times New Roman" w:eastAsia="宋体" w:cs="Times New Roman"/>
                <w:color w:val="auto"/>
                <w:spacing w:val="-4"/>
              </w:rPr>
              <w:t>污水处理系统采用了混凝沉淀</w:t>
            </w:r>
            <w:r>
              <w:rPr>
                <w:rFonts w:hint="default" w:ascii="Times New Roman" w:hAnsi="Times New Roman" w:eastAsia="宋体" w:cs="Times New Roman"/>
                <w:color w:val="auto"/>
              </w:rPr>
              <w:t>+UASB+缺氧+MBR 膜过</w:t>
            </w:r>
            <w:r>
              <w:rPr>
                <w:rFonts w:hint="default" w:ascii="Times New Roman" w:hAnsi="Times New Roman" w:eastAsia="宋体" w:cs="Times New Roman"/>
                <w:color w:val="auto"/>
                <w:spacing w:val="-2"/>
              </w:rPr>
              <w:t>滤工艺，</w:t>
            </w:r>
            <w:r>
              <w:rPr>
                <w:rFonts w:hint="default" w:ascii="Times New Roman" w:hAnsi="Times New Roman" w:eastAsia="宋体" w:cs="Times New Roman"/>
                <w:color w:val="auto"/>
                <w:spacing w:val="-8"/>
              </w:rPr>
              <w:t xml:space="preserve">UASB </w:t>
            </w:r>
            <w:r>
              <w:rPr>
                <w:rFonts w:hint="default" w:ascii="Times New Roman" w:hAnsi="Times New Roman" w:eastAsia="宋体" w:cs="Times New Roman"/>
                <w:color w:val="auto"/>
                <w:spacing w:val="-4"/>
              </w:rPr>
              <w:t>为活性污泥处理方法，在厌氧反应发生在废水和污泥颗粒接触的</w:t>
            </w:r>
            <w:r>
              <w:rPr>
                <w:rFonts w:hint="default" w:ascii="Times New Roman" w:hAnsi="Times New Roman" w:eastAsia="宋体" w:cs="Times New Roman"/>
                <w:color w:val="auto"/>
                <w:spacing w:val="-8"/>
              </w:rPr>
              <w:t>过程，在厌氧状态下产生</w:t>
            </w:r>
            <w:r>
              <w:rPr>
                <w:rFonts w:hint="default" w:ascii="Times New Roman" w:hAnsi="Times New Roman" w:eastAsia="宋体" w:cs="Times New Roman"/>
                <w:color w:val="auto"/>
                <w:spacing w:val="-2"/>
              </w:rPr>
              <w:t>一定的恶</w:t>
            </w:r>
            <w:r>
              <w:rPr>
                <w:rFonts w:hint="default" w:ascii="Times New Roman" w:hAnsi="Times New Roman" w:eastAsia="宋体" w:cs="Times New Roman"/>
                <w:color w:val="auto"/>
                <w:spacing w:val="-4"/>
              </w:rPr>
              <w:t>臭物质，</w:t>
            </w:r>
            <w:r>
              <w:rPr>
                <w:rFonts w:hint="default" w:ascii="Times New Roman" w:hAnsi="Times New Roman" w:eastAsia="宋体" w:cs="Times New Roman"/>
                <w:color w:val="auto"/>
                <w:spacing w:val="-4"/>
                <w:lang w:eastAsia="zh-CN"/>
              </w:rPr>
              <w:t>以</w:t>
            </w:r>
            <w:r>
              <w:rPr>
                <w:rFonts w:hint="default" w:ascii="Times New Roman" w:hAnsi="Times New Roman" w:eastAsia="宋体" w:cs="Times New Roman"/>
                <w:color w:val="auto"/>
                <w:position w:val="2"/>
                <w:lang w:eastAsia="zh-CN"/>
              </w:rPr>
              <w:t>臭气浓度表征</w:t>
            </w:r>
            <w:r>
              <w:rPr>
                <w:rFonts w:hint="default" w:ascii="Times New Roman" w:hAnsi="Times New Roman" w:eastAsia="宋体" w:cs="Times New Roman"/>
                <w:color w:val="auto"/>
                <w:spacing w:val="-7"/>
                <w:position w:val="2"/>
                <w:vertAlign w:val="baseline"/>
                <w:lang w:eastAsia="zh-CN"/>
              </w:rPr>
              <w:t>，产生的恶臭呈无组织排放，污水处理系统周边较为开阔，对周围大气环境影响较小。</w:t>
            </w:r>
          </w:p>
          <w:p w14:paraId="68744800">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2）无组织废气核算</w:t>
            </w:r>
          </w:p>
          <w:p w14:paraId="752D39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i w:val="0"/>
                <w:iCs w:val="0"/>
                <w:color w:val="auto"/>
                <w:kern w:val="0"/>
                <w:sz w:val="21"/>
                <w:szCs w:val="21"/>
                <w:u w:val="none"/>
                <w:lang w:val="en-US" w:eastAsia="zh-CN" w:bidi="ar"/>
              </w:rPr>
              <w:t>无组织废气排放情况</w:t>
            </w:r>
          </w:p>
          <w:tbl>
            <w:tblPr>
              <w:tblStyle w:val="28"/>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0"/>
              <w:gridCol w:w="930"/>
              <w:gridCol w:w="956"/>
              <w:gridCol w:w="931"/>
              <w:gridCol w:w="931"/>
              <w:gridCol w:w="931"/>
              <w:gridCol w:w="931"/>
              <w:gridCol w:w="958"/>
              <w:gridCol w:w="931"/>
            </w:tblGrid>
            <w:tr w14:paraId="47B8A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E770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产污排污环节</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CE1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水性涂料生产投料</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9FB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包装口挥发性有机废气挥发</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F16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水性涂料粉料卸料</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C1E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砂壁生产氨水挥发</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840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腻子粉投料、配料、混料</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57E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腻子粉生产包装</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BE3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腻子粉车间卸料粉尘</w:t>
                  </w:r>
                </w:p>
              </w:tc>
            </w:tr>
            <w:tr w14:paraId="6FB9D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F5E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污染物种类</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7CC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粉尘</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C4B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5C3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029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C50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14B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B3E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r>
            <w:tr w14:paraId="4F6D6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FF1A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污染物产生量（t/a）</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941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0.46</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297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0.058</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E14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19.55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1B3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F3D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1D7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589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42.38</w:t>
                  </w:r>
                </w:p>
              </w:tc>
            </w:tr>
            <w:tr w14:paraId="763D6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D464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污染物产生速率（mg/m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8F1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0.2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71F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0.064</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692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791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860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23.96</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1E6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0.125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D04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47.09</w:t>
                  </w:r>
                </w:p>
              </w:tc>
            </w:tr>
            <w:tr w14:paraId="77D64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699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排放形式</w:t>
                  </w:r>
                </w:p>
              </w:tc>
              <w:tc>
                <w:tcPr>
                  <w:tcW w:w="334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7FA76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无组织</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B5F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37D7F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07C9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治理设施</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F0C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处理能力</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942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1C7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4CF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E22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226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07B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3FE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7217C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AD8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AA7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收集效率</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02E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2AE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D78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C35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331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500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26B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511EA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A4D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F82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治理工艺</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A90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5F3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A38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脉冲布袋除尘装置</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FF8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171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生产厂房封闭</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0E1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旋风除尘</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F59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脉冲布袋除尘装置</w:t>
                  </w:r>
                </w:p>
              </w:tc>
            </w:tr>
            <w:tr w14:paraId="58674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2ED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B3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治理工艺去除率</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58B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F38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F9A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7D1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198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2EE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486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r>
            <w:tr w14:paraId="381DF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77E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F22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是否为可行技术</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FF3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D64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287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B5A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8D8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86B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E29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r>
            <w:tr w14:paraId="7954C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92D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污染物排放浓度（mg/m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46C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67C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03B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94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DFD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3C7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607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04F1E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7572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污染物排放速率（kg/h）</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DBD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0.2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12E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0.064</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3E2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0.28</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3ED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1A3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0.24</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C87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0.0007</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3F3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0.47</w:t>
                  </w:r>
                </w:p>
              </w:tc>
            </w:tr>
            <w:tr w14:paraId="45D0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D975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污染物排放量（t/a）</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68A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0.46</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12D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0.058</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E35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544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830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E56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92D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0.42</w:t>
                  </w:r>
                </w:p>
              </w:tc>
            </w:tr>
            <w:tr w14:paraId="7BBC4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516F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排放口基本情况</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3AD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04F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00E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274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30A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475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0F1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3C188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BF8B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排气筒高度</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D7D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152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303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3E5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C9A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E37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177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2F2D0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0FB5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排气筒内径</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7E4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7A8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B7F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FF0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71A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817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FE8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44F80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B6F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温度</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7E4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FEB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165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6A4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AB7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71C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25B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D022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00F1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编号</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11D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2A3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2A1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804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0DB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CEB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C35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C1D1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F53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类型</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9D0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90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A48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3D1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6AC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D54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712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6CE05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4185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地理坐标</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EAF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C4C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39D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13C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520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A60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632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159F9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95A5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监测要求</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A0B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1BC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019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E4D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A5D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A8B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C3E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7A8E5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E522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监测点位</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BDE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8E5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4E8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D12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FE3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401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429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r>
            <w:tr w14:paraId="227BD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14D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监测因子</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A90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224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28E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F73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9EF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E4E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9C6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r>
            <w:tr w14:paraId="6025A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EFD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监测频次</w:t>
                  </w:r>
                </w:p>
              </w:tc>
              <w:tc>
                <w:tcPr>
                  <w:tcW w:w="389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7EF98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1次/半年</w:t>
                  </w:r>
                </w:p>
              </w:tc>
            </w:tr>
            <w:tr w14:paraId="12079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E2B5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执行标准</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A46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3327"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72F40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颗粒物、非甲烷总烃排放浓度执行《大气污染物综合排放标准》（GB16297-1996）表2中无组织标准限值要求。厂区内：非甲烷总烃执行《涂料、油墨、胶粘剂工业大气污染物排放标准》（GB37824-2019）表B.1厂区内VOCs无组织排放限值。氨排放执行《恶臭污染物排放标准》（GB14554-93）中表1二级标准</w:t>
                  </w:r>
                </w:p>
              </w:tc>
            </w:tr>
          </w:tbl>
          <w:p w14:paraId="78CB4AA0">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（2）有组织废气达标排放分析</w:t>
            </w:r>
          </w:p>
          <w:p w14:paraId="11295009">
            <w:pPr>
              <w:pStyle w:val="39"/>
              <w:jc w:val="both"/>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产生</w:t>
            </w:r>
            <w:r>
              <w:rPr>
                <w:rFonts w:hint="eastAsia" w:ascii="Times New Roman" w:hAnsi="Times New Roman" w:cs="Times New Roman"/>
                <w:color w:val="auto"/>
                <w:sz w:val="24"/>
                <w:szCs w:val="24"/>
                <w:lang w:val="en-US" w:eastAsia="zh-CN"/>
              </w:rPr>
              <w:t>车间产生</w:t>
            </w:r>
            <w:r>
              <w:rPr>
                <w:rFonts w:hint="default" w:ascii="Times New Roman" w:hAnsi="Times New Roman" w:eastAsia="宋体" w:cs="Times New Roman"/>
                <w:color w:val="auto"/>
                <w:sz w:val="24"/>
                <w:szCs w:val="24"/>
                <w:lang w:val="en-US" w:eastAsia="zh-CN"/>
              </w:rPr>
              <w:t>的投料粉</w:t>
            </w:r>
            <w:r>
              <w:rPr>
                <w:rFonts w:hint="eastAsia" w:ascii="Times New Roman" w:hAnsi="Times New Roman" w:cs="Times New Roman"/>
                <w:color w:val="auto"/>
                <w:sz w:val="24"/>
                <w:szCs w:val="24"/>
                <w:lang w:val="en-US" w:eastAsia="zh-CN"/>
              </w:rPr>
              <w:t>、及包装环节产生非甲烷总烃</w:t>
            </w:r>
            <w:r>
              <w:rPr>
                <w:rFonts w:hint="default" w:ascii="Times New Roman" w:hAnsi="Times New Roman" w:eastAsia="宋体" w:cs="Times New Roman"/>
                <w:color w:val="auto"/>
                <w:sz w:val="24"/>
                <w:szCs w:val="24"/>
                <w:lang w:val="en-US" w:eastAsia="zh-CN"/>
              </w:rPr>
              <w:t>尘经布袋除尘器</w:t>
            </w:r>
            <w:r>
              <w:rPr>
                <w:rFonts w:hint="eastAsia" w:ascii="Times New Roman" w:hAnsi="Times New Roman" w:cs="Times New Roman"/>
                <w:color w:val="auto"/>
                <w:sz w:val="24"/>
                <w:szCs w:val="24"/>
                <w:lang w:val="en-US" w:eastAsia="zh-CN"/>
              </w:rPr>
              <w:t>+uv光氧+活性炭吸附装置处理，</w:t>
            </w:r>
            <w:r>
              <w:rPr>
                <w:rFonts w:hint="default" w:ascii="Times New Roman" w:hAnsi="Times New Roman" w:eastAsia="宋体" w:cs="Times New Roman"/>
                <w:color w:val="auto"/>
                <w:sz w:val="24"/>
                <w:szCs w:val="24"/>
                <w:lang w:val="en-US" w:eastAsia="zh-CN"/>
              </w:rPr>
              <w:t>后通过15m高的DA002排气筒排放放；腻子粉生产线产生的投料、配料、</w:t>
            </w:r>
            <w:r>
              <w:rPr>
                <w:rFonts w:hint="eastAsia" w:ascii="Times New Roman" w:hAnsi="Times New Roman" w:cs="Times New Roman"/>
                <w:color w:val="auto"/>
                <w:sz w:val="24"/>
                <w:szCs w:val="24"/>
                <w:lang w:val="en-US" w:eastAsia="zh-CN"/>
              </w:rPr>
              <w:t>混料</w:t>
            </w:r>
            <w:r>
              <w:rPr>
                <w:rFonts w:hint="default" w:ascii="Times New Roman" w:hAnsi="Times New Roman" w:eastAsia="宋体" w:cs="Times New Roman"/>
                <w:color w:val="auto"/>
                <w:sz w:val="24"/>
                <w:szCs w:val="24"/>
                <w:lang w:val="en-US" w:eastAsia="zh-CN"/>
              </w:rPr>
              <w:t>粉尘经1套集中式滤筒除尘器除尘后，通过15m高的DA001排气筒排放。</w:t>
            </w:r>
            <w:r>
              <w:rPr>
                <w:rFonts w:hint="default" w:ascii="Times New Roman" w:hAnsi="Times New Roman" w:eastAsia="宋体" w:cs="Times New Roman"/>
                <w:color w:val="auto"/>
                <w:sz w:val="24"/>
                <w:szCs w:val="24"/>
                <w:highlight w:val="none"/>
              </w:rPr>
              <w:t>正常工况下达标情况详见下表。</w:t>
            </w:r>
          </w:p>
          <w:p w14:paraId="0BBD18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有组织废气产排情况一览表</w:t>
            </w:r>
          </w:p>
          <w:tbl>
            <w:tblPr>
              <w:tblStyle w:val="2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9"/>
              <w:gridCol w:w="950"/>
              <w:gridCol w:w="871"/>
              <w:gridCol w:w="929"/>
              <w:gridCol w:w="856"/>
              <w:gridCol w:w="844"/>
              <w:gridCol w:w="880"/>
              <w:gridCol w:w="822"/>
              <w:gridCol w:w="789"/>
              <w:gridCol w:w="651"/>
            </w:tblGrid>
            <w:tr w14:paraId="19662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92" w:type="pct"/>
                  <w:vAlign w:val="center"/>
                </w:tcPr>
                <w:p w14:paraId="6582391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val="en-US" w:eastAsia="zh-CN"/>
                    </w:rPr>
                    <w:t>排放源</w:t>
                  </w:r>
                </w:p>
              </w:tc>
              <w:tc>
                <w:tcPr>
                  <w:tcW w:w="564" w:type="pct"/>
                  <w:vAlign w:val="center"/>
                </w:tcPr>
                <w:p w14:paraId="39C78D7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产污环节</w:t>
                  </w:r>
                </w:p>
              </w:tc>
              <w:tc>
                <w:tcPr>
                  <w:tcW w:w="517" w:type="pct"/>
                  <w:vAlign w:val="center"/>
                </w:tcPr>
                <w:p w14:paraId="5B086B2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lang w:val="en-US" w:eastAsia="zh-CN"/>
                    </w:rPr>
                    <w:t>污染物</w:t>
                  </w:r>
                </w:p>
              </w:tc>
              <w:tc>
                <w:tcPr>
                  <w:tcW w:w="551" w:type="pct"/>
                  <w:vAlign w:val="center"/>
                </w:tcPr>
                <w:p w14:paraId="0D733E1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lang w:val="en-US" w:eastAsia="zh-CN"/>
                    </w:rPr>
                    <w:t>产生浓度</w:t>
                  </w:r>
                  <w:r>
                    <w:rPr>
                      <w:rFonts w:hint="default" w:ascii="Times New Roman" w:hAnsi="Times New Roman" w:eastAsia="宋体" w:cs="Times New Roman"/>
                      <w:b/>
                      <w:bCs w:val="0"/>
                      <w:color w:val="auto"/>
                      <w:kern w:val="0"/>
                      <w:sz w:val="21"/>
                      <w:szCs w:val="21"/>
                    </w:rPr>
                    <w:t>mg/m</w:t>
                  </w:r>
                  <w:r>
                    <w:rPr>
                      <w:rFonts w:hint="default" w:ascii="Times New Roman" w:hAnsi="Times New Roman" w:eastAsia="宋体" w:cs="Times New Roman"/>
                      <w:b/>
                      <w:bCs w:val="0"/>
                      <w:color w:val="auto"/>
                      <w:kern w:val="0"/>
                      <w:sz w:val="21"/>
                      <w:szCs w:val="21"/>
                      <w:vertAlign w:val="superscript"/>
                    </w:rPr>
                    <w:t>3</w:t>
                  </w:r>
                </w:p>
              </w:tc>
              <w:tc>
                <w:tcPr>
                  <w:tcW w:w="508" w:type="pct"/>
                  <w:vAlign w:val="center"/>
                </w:tcPr>
                <w:p w14:paraId="68783D7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产生速率</w:t>
                  </w:r>
                </w:p>
                <w:p w14:paraId="2837507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kg/h</w:t>
                  </w:r>
                </w:p>
              </w:tc>
              <w:tc>
                <w:tcPr>
                  <w:tcW w:w="501" w:type="pct"/>
                  <w:vAlign w:val="center"/>
                </w:tcPr>
                <w:p w14:paraId="463643F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产生量</w:t>
                  </w:r>
                </w:p>
                <w:p w14:paraId="33058C0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t/a</w:t>
                  </w:r>
                </w:p>
              </w:tc>
              <w:tc>
                <w:tcPr>
                  <w:tcW w:w="522" w:type="pct"/>
                  <w:vAlign w:val="center"/>
                </w:tcPr>
                <w:p w14:paraId="7EBFAD8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排放浓度</w:t>
                  </w:r>
                </w:p>
                <w:p w14:paraId="12BC65E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mg/m</w:t>
                  </w:r>
                  <w:r>
                    <w:rPr>
                      <w:rFonts w:hint="default" w:ascii="Times New Roman" w:hAnsi="Times New Roman" w:eastAsia="宋体" w:cs="Times New Roman"/>
                      <w:b/>
                      <w:bCs w:val="0"/>
                      <w:color w:val="auto"/>
                      <w:kern w:val="0"/>
                      <w:sz w:val="21"/>
                      <w:szCs w:val="21"/>
                      <w:vertAlign w:val="superscript"/>
                    </w:rPr>
                    <w:t>3</w:t>
                  </w:r>
                </w:p>
              </w:tc>
              <w:tc>
                <w:tcPr>
                  <w:tcW w:w="488" w:type="pct"/>
                  <w:vAlign w:val="center"/>
                </w:tcPr>
                <w:p w14:paraId="42BBC06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排放速率</w:t>
                  </w:r>
                </w:p>
                <w:p w14:paraId="215E33B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kg/h</w:t>
                  </w:r>
                </w:p>
              </w:tc>
              <w:tc>
                <w:tcPr>
                  <w:tcW w:w="468" w:type="pct"/>
                  <w:vAlign w:val="center"/>
                </w:tcPr>
                <w:p w14:paraId="39D462C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排放量</w:t>
                  </w:r>
                </w:p>
                <w:p w14:paraId="4264B98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t/a</w:t>
                  </w:r>
                </w:p>
              </w:tc>
              <w:tc>
                <w:tcPr>
                  <w:tcW w:w="386" w:type="pct"/>
                  <w:vAlign w:val="center"/>
                </w:tcPr>
                <w:p w14:paraId="4869EBF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lang w:val="en-US" w:eastAsia="zh-CN"/>
                    </w:rPr>
                    <w:t>达标判定</w:t>
                  </w:r>
                </w:p>
              </w:tc>
            </w:tr>
            <w:tr w14:paraId="0FA06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92" w:type="pct"/>
                  <w:vAlign w:val="center"/>
                </w:tcPr>
                <w:p w14:paraId="2C3E867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DA001排气筒</w:t>
                  </w:r>
                </w:p>
              </w:tc>
              <w:tc>
                <w:tcPr>
                  <w:tcW w:w="564" w:type="pct"/>
                  <w:vAlign w:val="center"/>
                </w:tcPr>
                <w:p w14:paraId="2116C5A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腻子粉投料</w:t>
                  </w:r>
                </w:p>
              </w:tc>
              <w:tc>
                <w:tcPr>
                  <w:tcW w:w="517" w:type="pct"/>
                  <w:vAlign w:val="center"/>
                </w:tcPr>
                <w:p w14:paraId="6E2B074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颗粒物</w:t>
                  </w:r>
                </w:p>
              </w:tc>
              <w:tc>
                <w:tcPr>
                  <w:tcW w:w="551" w:type="pct"/>
                  <w:vAlign w:val="center"/>
                </w:tcPr>
                <w:p w14:paraId="6DFF2A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bCs/>
                      <w:color w:val="auto"/>
                      <w:kern w:val="0"/>
                      <w:sz w:val="21"/>
                      <w:szCs w:val="21"/>
                      <w:lang w:val="en-US" w:eastAsia="zh-CN"/>
                    </w:rPr>
                    <w:t>1996</w:t>
                  </w:r>
                </w:p>
              </w:tc>
              <w:tc>
                <w:tcPr>
                  <w:tcW w:w="508" w:type="pct"/>
                  <w:vAlign w:val="center"/>
                </w:tcPr>
                <w:p w14:paraId="4F269BC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95.8</w:t>
                  </w:r>
                </w:p>
              </w:tc>
              <w:tc>
                <w:tcPr>
                  <w:tcW w:w="501" w:type="pct"/>
                  <w:vAlign w:val="center"/>
                </w:tcPr>
                <w:p w14:paraId="76BF56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i w:val="0"/>
                      <w:iCs w:val="0"/>
                      <w:color w:val="auto"/>
                      <w:kern w:val="0"/>
                      <w:sz w:val="21"/>
                      <w:szCs w:val="21"/>
                      <w:u w:val="none"/>
                      <w:lang w:val="en-US" w:eastAsia="zh-CN" w:bidi="ar"/>
                    </w:rPr>
                    <w:t>460</w:t>
                  </w:r>
                </w:p>
              </w:tc>
              <w:tc>
                <w:tcPr>
                  <w:tcW w:w="522" w:type="pct"/>
                  <w:vAlign w:val="center"/>
                </w:tcPr>
                <w:p w14:paraId="4F57505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20</w:t>
                  </w:r>
                </w:p>
              </w:tc>
              <w:tc>
                <w:tcPr>
                  <w:tcW w:w="488" w:type="pct"/>
                  <w:vAlign w:val="center"/>
                </w:tcPr>
                <w:p w14:paraId="0AE6D76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0.96</w:t>
                  </w:r>
                </w:p>
              </w:tc>
              <w:tc>
                <w:tcPr>
                  <w:tcW w:w="468" w:type="pct"/>
                  <w:vAlign w:val="center"/>
                </w:tcPr>
                <w:p w14:paraId="760EBCD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4.6</w:t>
                  </w:r>
                </w:p>
              </w:tc>
              <w:tc>
                <w:tcPr>
                  <w:tcW w:w="386" w:type="pct"/>
                  <w:vAlign w:val="center"/>
                </w:tcPr>
                <w:p w14:paraId="6A8BBAA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达标排放</w:t>
                  </w:r>
                </w:p>
              </w:tc>
            </w:tr>
            <w:tr w14:paraId="546C4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92" w:type="pct"/>
                  <w:vMerge w:val="restart"/>
                  <w:vAlign w:val="center"/>
                </w:tcPr>
                <w:p w14:paraId="0E54C0F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DA002排气筒</w:t>
                  </w:r>
                </w:p>
              </w:tc>
              <w:tc>
                <w:tcPr>
                  <w:tcW w:w="564" w:type="pct"/>
                  <w:vAlign w:val="center"/>
                </w:tcPr>
                <w:p w14:paraId="4A96EE2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水性涂料生产投料</w:t>
                  </w:r>
                </w:p>
              </w:tc>
              <w:tc>
                <w:tcPr>
                  <w:tcW w:w="517" w:type="pct"/>
                  <w:vAlign w:val="center"/>
                </w:tcPr>
                <w:p w14:paraId="45808E0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vertAlign w:val="subscript"/>
                      <w:lang w:val="en-US" w:eastAsia="zh-CN" w:bidi="ar-SA"/>
                    </w:rPr>
                  </w:pPr>
                  <w:r>
                    <w:rPr>
                      <w:rFonts w:hint="default" w:ascii="Times New Roman" w:hAnsi="Times New Roman" w:eastAsia="宋体" w:cs="Times New Roman"/>
                      <w:bCs/>
                      <w:color w:val="auto"/>
                      <w:kern w:val="0"/>
                      <w:sz w:val="21"/>
                      <w:szCs w:val="21"/>
                      <w:vertAlign w:val="baseline"/>
                      <w:lang w:val="en-US" w:eastAsia="zh-CN"/>
                    </w:rPr>
                    <w:t>颗粒物</w:t>
                  </w:r>
                </w:p>
              </w:tc>
              <w:tc>
                <w:tcPr>
                  <w:tcW w:w="551" w:type="pct"/>
                  <w:vAlign w:val="center"/>
                </w:tcPr>
                <w:p w14:paraId="26F45B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i w:val="0"/>
                      <w:iCs w:val="0"/>
                      <w:color w:val="auto"/>
                      <w:kern w:val="0"/>
                      <w:sz w:val="21"/>
                      <w:szCs w:val="21"/>
                      <w:u w:val="none"/>
                      <w:lang w:val="en-US" w:eastAsia="zh-CN" w:bidi="ar"/>
                    </w:rPr>
                    <w:t>132</w:t>
                  </w:r>
                </w:p>
              </w:tc>
              <w:tc>
                <w:tcPr>
                  <w:tcW w:w="508" w:type="pct"/>
                  <w:vAlign w:val="center"/>
                </w:tcPr>
                <w:p w14:paraId="67C77CA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0.794</w:t>
                  </w:r>
                </w:p>
              </w:tc>
              <w:tc>
                <w:tcPr>
                  <w:tcW w:w="501" w:type="pct"/>
                  <w:vAlign w:val="center"/>
                </w:tcPr>
                <w:p w14:paraId="5350BC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i w:val="0"/>
                      <w:iCs w:val="0"/>
                      <w:color w:val="auto"/>
                      <w:kern w:val="0"/>
                      <w:sz w:val="21"/>
                      <w:szCs w:val="21"/>
                      <w:u w:val="none"/>
                      <w:lang w:val="en-US" w:eastAsia="zh-CN" w:bidi="ar"/>
                    </w:rPr>
                    <w:t>1.84</w:t>
                  </w:r>
                </w:p>
              </w:tc>
              <w:tc>
                <w:tcPr>
                  <w:tcW w:w="522" w:type="pct"/>
                  <w:vAlign w:val="center"/>
                </w:tcPr>
                <w:p w14:paraId="5334F36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1.32</w:t>
                  </w:r>
                </w:p>
              </w:tc>
              <w:tc>
                <w:tcPr>
                  <w:tcW w:w="488" w:type="pct"/>
                  <w:vAlign w:val="center"/>
                </w:tcPr>
                <w:p w14:paraId="677D7E1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0.00</w:t>
                  </w:r>
                  <w:r>
                    <w:rPr>
                      <w:rFonts w:hint="eastAsia" w:cs="Times New Roman"/>
                      <w:bCs/>
                      <w:color w:val="auto"/>
                      <w:kern w:val="0"/>
                      <w:sz w:val="21"/>
                      <w:szCs w:val="21"/>
                      <w:lang w:val="en-US" w:eastAsia="zh-CN"/>
                    </w:rPr>
                    <w:t>8</w:t>
                  </w:r>
                </w:p>
              </w:tc>
              <w:tc>
                <w:tcPr>
                  <w:tcW w:w="468" w:type="pct"/>
                  <w:vAlign w:val="center"/>
                </w:tcPr>
                <w:p w14:paraId="0B42A7F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0.01</w:t>
                  </w:r>
                  <w:r>
                    <w:rPr>
                      <w:rFonts w:hint="eastAsia" w:cs="Times New Roman"/>
                      <w:bCs/>
                      <w:color w:val="auto"/>
                      <w:kern w:val="0"/>
                      <w:sz w:val="21"/>
                      <w:szCs w:val="21"/>
                      <w:lang w:val="en-US" w:eastAsia="zh-CN"/>
                    </w:rPr>
                    <w:t>8</w:t>
                  </w:r>
                </w:p>
              </w:tc>
              <w:tc>
                <w:tcPr>
                  <w:tcW w:w="386" w:type="pct"/>
                  <w:vAlign w:val="center"/>
                </w:tcPr>
                <w:p w14:paraId="087349A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达标排放</w:t>
                  </w:r>
                </w:p>
              </w:tc>
            </w:tr>
            <w:tr w14:paraId="1A524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92" w:type="pct"/>
                  <w:vMerge w:val="continue"/>
                  <w:vAlign w:val="center"/>
                </w:tcPr>
                <w:p w14:paraId="2CF4FE3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p>
              </w:tc>
              <w:tc>
                <w:tcPr>
                  <w:tcW w:w="564" w:type="pct"/>
                  <w:vAlign w:val="center"/>
                </w:tcPr>
                <w:p w14:paraId="3F7FFC0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包装</w:t>
                  </w:r>
                </w:p>
              </w:tc>
              <w:tc>
                <w:tcPr>
                  <w:tcW w:w="517" w:type="pct"/>
                  <w:vAlign w:val="center"/>
                </w:tcPr>
                <w:p w14:paraId="674E3DC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非甲烷总烃</w:t>
                  </w:r>
                </w:p>
              </w:tc>
              <w:tc>
                <w:tcPr>
                  <w:tcW w:w="551" w:type="pct"/>
                  <w:vAlign w:val="center"/>
                </w:tcPr>
                <w:p w14:paraId="255D95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i w:val="0"/>
                      <w:iCs w:val="0"/>
                      <w:color w:val="auto"/>
                      <w:kern w:val="0"/>
                      <w:sz w:val="21"/>
                      <w:szCs w:val="21"/>
                      <w:u w:val="none"/>
                      <w:lang w:val="en-US" w:eastAsia="zh-CN" w:bidi="ar"/>
                    </w:rPr>
                    <w:t>42.5</w:t>
                  </w:r>
                </w:p>
              </w:tc>
              <w:tc>
                <w:tcPr>
                  <w:tcW w:w="508" w:type="pct"/>
                  <w:vAlign w:val="center"/>
                </w:tcPr>
                <w:p w14:paraId="4A0916D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0.255</w:t>
                  </w:r>
                </w:p>
              </w:tc>
              <w:tc>
                <w:tcPr>
                  <w:tcW w:w="501" w:type="pct"/>
                  <w:vAlign w:val="center"/>
                </w:tcPr>
                <w:p w14:paraId="34D3A24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i w:val="0"/>
                      <w:iCs w:val="0"/>
                      <w:color w:val="auto"/>
                      <w:kern w:val="0"/>
                      <w:sz w:val="21"/>
                      <w:szCs w:val="21"/>
                      <w:u w:val="none"/>
                      <w:lang w:val="en-US" w:eastAsia="zh-CN" w:bidi="ar"/>
                    </w:rPr>
                    <w:t>0.23</w:t>
                  </w:r>
                </w:p>
              </w:tc>
              <w:tc>
                <w:tcPr>
                  <w:tcW w:w="522" w:type="pct"/>
                  <w:vAlign w:val="center"/>
                </w:tcPr>
                <w:p w14:paraId="2F3F21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11.5</w:t>
                  </w:r>
                </w:p>
              </w:tc>
              <w:tc>
                <w:tcPr>
                  <w:tcW w:w="488" w:type="pct"/>
                  <w:vAlign w:val="center"/>
                </w:tcPr>
                <w:p w14:paraId="121071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0.077</w:t>
                  </w:r>
                </w:p>
              </w:tc>
              <w:tc>
                <w:tcPr>
                  <w:tcW w:w="468" w:type="pct"/>
                  <w:vAlign w:val="center"/>
                </w:tcPr>
                <w:p w14:paraId="510B909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0.069</w:t>
                  </w:r>
                </w:p>
              </w:tc>
              <w:tc>
                <w:tcPr>
                  <w:tcW w:w="386" w:type="pct"/>
                  <w:vAlign w:val="center"/>
                </w:tcPr>
                <w:p w14:paraId="242006B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达标排放</w:t>
                  </w:r>
                </w:p>
              </w:tc>
            </w:tr>
          </w:tbl>
          <w:p w14:paraId="4AFC19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由上表可知，项目运营期涂料制造过程产生的颗粒物、非甲烷总烃的排放</w:t>
            </w:r>
            <w:r>
              <w:rPr>
                <w:rFonts w:hint="eastAsia" w:cs="Times New Roman"/>
                <w:color w:val="auto"/>
                <w:sz w:val="24"/>
                <w:szCs w:val="24"/>
                <w:lang w:val="en-US" w:eastAsia="zh-CN"/>
              </w:rPr>
              <w:t>浓度</w:t>
            </w:r>
            <w:r>
              <w:rPr>
                <w:rFonts w:hint="default" w:ascii="Times New Roman" w:hAnsi="Times New Roman" w:eastAsia="宋体" w:cs="Times New Roman"/>
                <w:color w:val="auto"/>
                <w:sz w:val="24"/>
                <w:szCs w:val="24"/>
                <w:lang w:val="en-US" w:eastAsia="zh-CN"/>
              </w:rPr>
              <w:t>满足《涂料、油墨、胶粘剂工业大气污染物排放标准》（GB37824-2019）表1中有组织最高允许排放浓度限值。项目有组织废气经环保设施处理后可达标排放，对环境影响较小。</w:t>
            </w:r>
          </w:p>
          <w:p w14:paraId="55EDFDAA">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（3）无组织废气分析</w:t>
            </w:r>
          </w:p>
          <w:p w14:paraId="2DF54D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项目无组织废气主要为</w:t>
            </w:r>
            <w:r>
              <w:rPr>
                <w:rFonts w:hint="eastAsia"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生产投料环节集气罩未收集的粉尘、包装口集气罩未收集的非甲烷总烃</w:t>
            </w:r>
            <w:r>
              <w:rPr>
                <w:rFonts w:hint="eastAsia" w:cs="Times New Roman"/>
                <w:color w:val="auto"/>
                <w:sz w:val="24"/>
                <w:szCs w:val="24"/>
                <w:lang w:val="en-US" w:eastAsia="zh-CN"/>
              </w:rPr>
              <w:t>，粉尘卸料至粉料罐产生的粉尘</w:t>
            </w:r>
            <w:r>
              <w:rPr>
                <w:rFonts w:hint="default" w:ascii="Times New Roman" w:hAnsi="Times New Roman" w:eastAsia="宋体" w:cs="Times New Roman"/>
                <w:color w:val="auto"/>
                <w:sz w:val="24"/>
                <w:szCs w:val="24"/>
                <w:lang w:val="en-US" w:eastAsia="zh-CN"/>
              </w:rPr>
              <w:t>；腻子粉产生线</w:t>
            </w:r>
            <w:r>
              <w:rPr>
                <w:rFonts w:hint="eastAsia" w:cs="Times New Roman"/>
                <w:color w:val="auto"/>
                <w:sz w:val="24"/>
                <w:szCs w:val="24"/>
                <w:lang w:val="en-US" w:eastAsia="zh-CN"/>
              </w:rPr>
              <w:t>卸料至粉料罐</w:t>
            </w:r>
            <w:r>
              <w:rPr>
                <w:rFonts w:hint="default" w:ascii="Times New Roman" w:hAnsi="Times New Roman" w:eastAsia="宋体" w:cs="Times New Roman"/>
                <w:color w:val="auto"/>
                <w:sz w:val="24"/>
                <w:szCs w:val="24"/>
                <w:lang w:val="en-US" w:eastAsia="zh-CN"/>
              </w:rPr>
              <w:t>、投料、配料、搅拌、包装机产生的无组织粉尘等。</w:t>
            </w:r>
          </w:p>
          <w:p w14:paraId="1A8DFC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投料</w:t>
            </w:r>
            <w:r>
              <w:rPr>
                <w:rFonts w:hint="default" w:ascii="Times New Roman" w:hAnsi="Times New Roman" w:eastAsia="宋体" w:cs="Times New Roman"/>
                <w:color w:val="auto"/>
                <w:sz w:val="24"/>
                <w:szCs w:val="24"/>
                <w:lang w:val="en-US" w:eastAsia="zh-CN"/>
              </w:rPr>
              <w:t>设置单独的投料间，投料间为密闭房间，无组织粉尘在车间内自然沉淀，生产线置于</w:t>
            </w:r>
            <w:r>
              <w:rPr>
                <w:rFonts w:hint="eastAsia" w:cs="Times New Roman"/>
                <w:color w:val="auto"/>
                <w:sz w:val="24"/>
                <w:szCs w:val="24"/>
                <w:lang w:val="en-US" w:eastAsia="zh-CN"/>
              </w:rPr>
              <w:t>封闭的</w:t>
            </w:r>
            <w:r>
              <w:rPr>
                <w:rFonts w:hint="default" w:ascii="Times New Roman" w:hAnsi="Times New Roman" w:eastAsia="宋体" w:cs="Times New Roman"/>
                <w:color w:val="auto"/>
                <w:sz w:val="24"/>
                <w:szCs w:val="24"/>
                <w:lang w:val="en-US" w:eastAsia="zh-CN"/>
              </w:rPr>
              <w:t>标准生产厂房内，无组织废气对周围环境影响较小。无组织排放的氨、非甲烷总烃量不大，对周围环境影响较小。</w:t>
            </w:r>
          </w:p>
          <w:p w14:paraId="5BBF4AEC">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（4）污染物排放量核算</w:t>
            </w:r>
          </w:p>
          <w:p w14:paraId="06EF71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项目大气污染物有组织排放量情况见表4-</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w:t>
            </w:r>
          </w:p>
          <w:p w14:paraId="2DECCB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项目大气污染物有组织排放量核算表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003"/>
              <w:gridCol w:w="2473"/>
              <w:gridCol w:w="2945"/>
            </w:tblGrid>
            <w:tr w14:paraId="6E02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1783" w:type="pct"/>
                  <w:shd w:val="clear" w:color="auto" w:fill="auto"/>
                  <w:vAlign w:val="center"/>
                </w:tcPr>
                <w:p w14:paraId="026E39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排放口编号</w:t>
                  </w:r>
                </w:p>
              </w:tc>
              <w:tc>
                <w:tcPr>
                  <w:tcW w:w="1468" w:type="pct"/>
                  <w:shd w:val="clear" w:color="auto" w:fill="auto"/>
                  <w:vAlign w:val="center"/>
                </w:tcPr>
                <w:p w14:paraId="05427C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污染物名称</w:t>
                  </w:r>
                </w:p>
              </w:tc>
              <w:tc>
                <w:tcPr>
                  <w:tcW w:w="1748" w:type="pct"/>
                  <w:shd w:val="clear" w:color="auto" w:fill="auto"/>
                  <w:vAlign w:val="center"/>
                </w:tcPr>
                <w:p w14:paraId="41DAA1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核算年排放量（t/a）</w:t>
                  </w:r>
                </w:p>
              </w:tc>
            </w:tr>
            <w:tr w14:paraId="0CFD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1783" w:type="pct"/>
                  <w:shd w:val="clear" w:color="auto" w:fill="auto"/>
                  <w:vAlign w:val="center"/>
                </w:tcPr>
                <w:p w14:paraId="6AA581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DA001排气筒</w:t>
                  </w:r>
                </w:p>
              </w:tc>
              <w:tc>
                <w:tcPr>
                  <w:tcW w:w="1468" w:type="pct"/>
                  <w:shd w:val="clear" w:color="auto" w:fill="auto"/>
                  <w:vAlign w:val="center"/>
                </w:tcPr>
                <w:p w14:paraId="03146B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748" w:type="pct"/>
                  <w:shd w:val="clear" w:color="auto" w:fill="auto"/>
                  <w:vAlign w:val="center"/>
                </w:tcPr>
                <w:p w14:paraId="1D6FAE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4.6</w:t>
                  </w:r>
                </w:p>
              </w:tc>
            </w:tr>
            <w:tr w14:paraId="119D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1783" w:type="pct"/>
                  <w:vMerge w:val="restart"/>
                  <w:shd w:val="clear" w:color="auto" w:fill="auto"/>
                  <w:vAlign w:val="center"/>
                </w:tcPr>
                <w:p w14:paraId="16805D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DA002排气筒</w:t>
                  </w:r>
                </w:p>
              </w:tc>
              <w:tc>
                <w:tcPr>
                  <w:tcW w:w="1468" w:type="pct"/>
                  <w:shd w:val="clear" w:color="auto" w:fill="auto"/>
                  <w:vAlign w:val="center"/>
                </w:tcPr>
                <w:p w14:paraId="6320E7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748" w:type="pct"/>
                  <w:shd w:val="clear" w:color="auto" w:fill="auto"/>
                  <w:vAlign w:val="center"/>
                </w:tcPr>
                <w:p w14:paraId="6A9A0F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0.018</w:t>
                  </w:r>
                </w:p>
              </w:tc>
            </w:tr>
            <w:tr w14:paraId="5261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1783" w:type="pct"/>
                  <w:vMerge w:val="continue"/>
                  <w:shd w:val="clear" w:color="auto" w:fill="auto"/>
                  <w:vAlign w:val="center"/>
                </w:tcPr>
                <w:p w14:paraId="4087A1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68" w:type="pct"/>
                  <w:shd w:val="clear" w:color="auto" w:fill="auto"/>
                  <w:vAlign w:val="center"/>
                </w:tcPr>
                <w:p w14:paraId="551B61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非甲烷总烃</w:t>
                  </w:r>
                </w:p>
              </w:tc>
              <w:tc>
                <w:tcPr>
                  <w:tcW w:w="1748" w:type="pct"/>
                  <w:shd w:val="clear" w:color="auto" w:fill="auto"/>
                  <w:vAlign w:val="center"/>
                </w:tcPr>
                <w:p w14:paraId="744EC8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0.069</w:t>
                  </w:r>
                </w:p>
              </w:tc>
            </w:tr>
          </w:tbl>
          <w:p w14:paraId="4363B4CF">
            <w:pPr>
              <w:pStyle w:val="19"/>
              <w:keepNext w:val="0"/>
              <w:keepLines w:val="0"/>
              <w:suppressLineNumbers w:val="0"/>
              <w:spacing w:before="0" w:beforeAutospacing="0" w:after="0" w:afterAutospacing="0" w:line="360" w:lineRule="auto"/>
              <w:ind w:left="0" w:leftChars="0" w:right="0" w:firstLine="480"/>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项目大气污染物无组织排放量情况见表</w:t>
            </w:r>
            <w:r>
              <w:rPr>
                <w:rFonts w:hint="default" w:ascii="Times New Roman" w:hAnsi="Times New Roman" w:eastAsia="宋体" w:cs="Times New Roman"/>
                <w:color w:val="auto"/>
                <w:sz w:val="24"/>
                <w:szCs w:val="28"/>
                <w:lang w:val="en-US" w:eastAsia="zh-CN"/>
              </w:rPr>
              <w:t>4</w:t>
            </w:r>
            <w:r>
              <w:rPr>
                <w:rFonts w:hint="default" w:ascii="Times New Roman" w:hAnsi="Times New Roman" w:eastAsia="宋体" w:cs="Times New Roman"/>
                <w:color w:val="auto"/>
                <w:sz w:val="24"/>
                <w:szCs w:val="28"/>
              </w:rPr>
              <w:t>-</w:t>
            </w:r>
            <w:r>
              <w:rPr>
                <w:rFonts w:hint="eastAsia" w:cs="Times New Roman"/>
                <w:color w:val="auto"/>
                <w:sz w:val="24"/>
                <w:szCs w:val="28"/>
                <w:lang w:val="en-US" w:eastAsia="zh-CN"/>
              </w:rPr>
              <w:t>7</w:t>
            </w:r>
            <w:r>
              <w:rPr>
                <w:rFonts w:hint="default" w:ascii="Times New Roman" w:hAnsi="Times New Roman" w:eastAsia="宋体" w:cs="Times New Roman"/>
                <w:color w:val="auto"/>
                <w:sz w:val="24"/>
                <w:szCs w:val="28"/>
              </w:rPr>
              <w:t>。</w:t>
            </w:r>
          </w:p>
          <w:p w14:paraId="299E8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项目大气污染物无组织排放量核算表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9"/>
              <w:gridCol w:w="2054"/>
              <w:gridCol w:w="3278"/>
            </w:tblGrid>
            <w:tr w14:paraId="3E16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834" w:type="pct"/>
                  <w:tcBorders>
                    <w:tl2br w:val="nil"/>
                    <w:tr2bl w:val="nil"/>
                  </w:tcBorders>
                  <w:vAlign w:val="center"/>
                </w:tcPr>
                <w:p w14:paraId="7F36C893">
                  <w:pPr>
                    <w:pStyle w:val="15"/>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污染物</w:t>
                  </w:r>
                  <w:r>
                    <w:rPr>
                      <w:rFonts w:hint="default" w:ascii="Times New Roman" w:hAnsi="Times New Roman" w:eastAsia="宋体" w:cs="Times New Roman"/>
                      <w:b/>
                      <w:bCs/>
                      <w:color w:val="auto"/>
                      <w:lang w:val="en-US" w:eastAsia="zh-CN"/>
                    </w:rPr>
                    <w:t>产生环节</w:t>
                  </w:r>
                </w:p>
              </w:tc>
              <w:tc>
                <w:tcPr>
                  <w:tcW w:w="1219" w:type="pct"/>
                  <w:tcBorders>
                    <w:tl2br w:val="nil"/>
                    <w:tr2bl w:val="nil"/>
                  </w:tcBorders>
                  <w:vAlign w:val="center"/>
                </w:tcPr>
                <w:p w14:paraId="153D91F0">
                  <w:pPr>
                    <w:pStyle w:val="15"/>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污染物名称</w:t>
                  </w:r>
                </w:p>
              </w:tc>
              <w:tc>
                <w:tcPr>
                  <w:tcW w:w="1946" w:type="pct"/>
                  <w:tcBorders>
                    <w:tl2br w:val="nil"/>
                    <w:tr2bl w:val="nil"/>
                  </w:tcBorders>
                  <w:vAlign w:val="center"/>
                </w:tcPr>
                <w:p w14:paraId="58B03DB1">
                  <w:pPr>
                    <w:pStyle w:val="15"/>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核算年排放量（t/a）</w:t>
                  </w:r>
                </w:p>
              </w:tc>
            </w:tr>
            <w:tr w14:paraId="2318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34" w:type="pct"/>
                  <w:tcBorders>
                    <w:tl2br w:val="nil"/>
                    <w:tr2bl w:val="nil"/>
                  </w:tcBorders>
                  <w:vAlign w:val="center"/>
                </w:tcPr>
                <w:p w14:paraId="542A7C29">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水性涂料生产车间</w:t>
                  </w:r>
                  <w:r>
                    <w:rPr>
                      <w:rFonts w:hint="default" w:ascii="Times New Roman" w:hAnsi="Times New Roman" w:eastAsia="宋体" w:cs="Times New Roman"/>
                      <w:color w:val="auto"/>
                      <w:lang w:val="en-US" w:eastAsia="zh-CN"/>
                    </w:rPr>
                    <w:t>投料</w:t>
                  </w:r>
                </w:p>
              </w:tc>
              <w:tc>
                <w:tcPr>
                  <w:tcW w:w="1219" w:type="pct"/>
                  <w:tcBorders>
                    <w:tl2br w:val="nil"/>
                    <w:tr2bl w:val="nil"/>
                  </w:tcBorders>
                  <w:vAlign w:val="center"/>
                </w:tcPr>
                <w:p w14:paraId="3083A10B">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946" w:type="pct"/>
                  <w:tcBorders>
                    <w:tl2br w:val="nil"/>
                    <w:tr2bl w:val="nil"/>
                  </w:tcBorders>
                  <w:vAlign w:val="center"/>
                </w:tcPr>
                <w:p w14:paraId="76B9E9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0.46</w:t>
                  </w:r>
                </w:p>
              </w:tc>
            </w:tr>
            <w:tr w14:paraId="671D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34" w:type="pct"/>
                  <w:tcBorders>
                    <w:tl2br w:val="nil"/>
                    <w:tr2bl w:val="nil"/>
                  </w:tcBorders>
                  <w:vAlign w:val="center"/>
                </w:tcPr>
                <w:p w14:paraId="20BE42E2">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包装口挥发性有机废气挥发</w:t>
                  </w:r>
                </w:p>
              </w:tc>
              <w:tc>
                <w:tcPr>
                  <w:tcW w:w="1219" w:type="pct"/>
                  <w:tcBorders>
                    <w:tl2br w:val="nil"/>
                    <w:tr2bl w:val="nil"/>
                  </w:tcBorders>
                  <w:vAlign w:val="center"/>
                </w:tcPr>
                <w:p w14:paraId="75B1660E">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非甲烷总烃</w:t>
                  </w:r>
                </w:p>
              </w:tc>
              <w:tc>
                <w:tcPr>
                  <w:tcW w:w="1946" w:type="pct"/>
                  <w:tcBorders>
                    <w:tl2br w:val="nil"/>
                    <w:tr2bl w:val="nil"/>
                  </w:tcBorders>
                  <w:vAlign w:val="center"/>
                </w:tcPr>
                <w:p w14:paraId="3D42DE77">
                  <w:pPr>
                    <w:keepNext w:val="0"/>
                    <w:keepLines w:val="0"/>
                    <w:suppressLineNumbers w:val="0"/>
                    <w:spacing w:before="0" w:beforeAutospacing="0" w:after="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0.058</w:t>
                  </w:r>
                </w:p>
              </w:tc>
            </w:tr>
            <w:tr w14:paraId="0C9F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34" w:type="pct"/>
                  <w:tcBorders>
                    <w:tl2br w:val="nil"/>
                    <w:tr2bl w:val="nil"/>
                  </w:tcBorders>
                  <w:vAlign w:val="center"/>
                </w:tcPr>
                <w:p w14:paraId="34718E5A">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水性涂料生产车间粉料卸料</w:t>
                  </w:r>
                </w:p>
              </w:tc>
              <w:tc>
                <w:tcPr>
                  <w:tcW w:w="1219" w:type="pct"/>
                  <w:tcBorders>
                    <w:tl2br w:val="nil"/>
                    <w:tr2bl w:val="nil"/>
                  </w:tcBorders>
                  <w:vAlign w:val="center"/>
                </w:tcPr>
                <w:p w14:paraId="28138AAC">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946" w:type="pct"/>
                  <w:tcBorders>
                    <w:tl2br w:val="nil"/>
                    <w:tr2bl w:val="nil"/>
                  </w:tcBorders>
                  <w:vAlign w:val="center"/>
                </w:tcPr>
                <w:p w14:paraId="6E4069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0.2</w:t>
                  </w:r>
                </w:p>
              </w:tc>
            </w:tr>
            <w:tr w14:paraId="72E1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34" w:type="pct"/>
                  <w:tcBorders>
                    <w:tl2br w:val="nil"/>
                    <w:tr2bl w:val="nil"/>
                  </w:tcBorders>
                  <w:vAlign w:val="center"/>
                </w:tcPr>
                <w:p w14:paraId="0E9BBAF8">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砂壁生产氨水挥发</w:t>
                  </w:r>
                </w:p>
              </w:tc>
              <w:tc>
                <w:tcPr>
                  <w:tcW w:w="1219" w:type="pct"/>
                  <w:tcBorders>
                    <w:tl2br w:val="nil"/>
                    <w:tr2bl w:val="nil"/>
                  </w:tcBorders>
                  <w:vAlign w:val="center"/>
                </w:tcPr>
                <w:p w14:paraId="57D12F37">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氨</w:t>
                  </w:r>
                </w:p>
              </w:tc>
              <w:tc>
                <w:tcPr>
                  <w:tcW w:w="1946" w:type="pct"/>
                  <w:tcBorders>
                    <w:tl2br w:val="nil"/>
                    <w:tr2bl w:val="nil"/>
                  </w:tcBorders>
                  <w:vAlign w:val="center"/>
                </w:tcPr>
                <w:p w14:paraId="5C2AC861">
                  <w:pPr>
                    <w:keepNext w:val="0"/>
                    <w:keepLines w:val="0"/>
                    <w:suppressLineNumbers w:val="0"/>
                    <w:spacing w:before="0" w:beforeAutospacing="0" w:after="0" w:afterAutospacing="0"/>
                    <w:ind w:left="0" w:leftChars="0" w:right="0" w:rightChars="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0.175</w:t>
                  </w:r>
                </w:p>
              </w:tc>
            </w:tr>
            <w:tr w14:paraId="7678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834" w:type="pct"/>
                  <w:tcBorders>
                    <w:tl2br w:val="nil"/>
                    <w:tr2bl w:val="nil"/>
                  </w:tcBorders>
                  <w:vAlign w:val="center"/>
                </w:tcPr>
                <w:p w14:paraId="76E3FAC2">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腻子粉投料、配料、</w:t>
                  </w:r>
                  <w:r>
                    <w:rPr>
                      <w:rFonts w:hint="eastAsia" w:ascii="Times New Roman" w:hAnsi="Times New Roman" w:cs="Times New Roman"/>
                      <w:color w:val="auto"/>
                      <w:lang w:val="en-US" w:eastAsia="zh-CN"/>
                    </w:rPr>
                    <w:t>混料</w:t>
                  </w:r>
                </w:p>
              </w:tc>
              <w:tc>
                <w:tcPr>
                  <w:tcW w:w="1219" w:type="pct"/>
                  <w:tcBorders>
                    <w:tl2br w:val="nil"/>
                    <w:tr2bl w:val="nil"/>
                  </w:tcBorders>
                  <w:vAlign w:val="center"/>
                </w:tcPr>
                <w:p w14:paraId="55EBB965">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946" w:type="pct"/>
                  <w:tcBorders>
                    <w:tl2br w:val="nil"/>
                    <w:tr2bl w:val="nil"/>
                  </w:tcBorders>
                  <w:vAlign w:val="center"/>
                </w:tcPr>
                <w:p w14:paraId="54D31B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bCs/>
                      <w:color w:val="auto"/>
                      <w:kern w:val="0"/>
                      <w:sz w:val="21"/>
                      <w:szCs w:val="21"/>
                      <w:lang w:val="en-US" w:eastAsia="zh-CN" w:bidi="ar-SA"/>
                    </w:rPr>
                    <w:t>1.15</w:t>
                  </w:r>
                </w:p>
              </w:tc>
            </w:tr>
            <w:tr w14:paraId="3F61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834" w:type="pct"/>
                  <w:tcBorders>
                    <w:tl2br w:val="nil"/>
                    <w:tr2bl w:val="nil"/>
                  </w:tcBorders>
                  <w:vAlign w:val="center"/>
                </w:tcPr>
                <w:p w14:paraId="32F7FAE6">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包装机包装</w:t>
                  </w:r>
                </w:p>
              </w:tc>
              <w:tc>
                <w:tcPr>
                  <w:tcW w:w="1219" w:type="pct"/>
                  <w:tcBorders>
                    <w:tl2br w:val="nil"/>
                    <w:tr2bl w:val="nil"/>
                  </w:tcBorders>
                  <w:vAlign w:val="center"/>
                </w:tcPr>
                <w:p w14:paraId="5B700A07">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946" w:type="pct"/>
                  <w:tcBorders>
                    <w:tl2br w:val="nil"/>
                    <w:tr2bl w:val="nil"/>
                  </w:tcBorders>
                  <w:vAlign w:val="center"/>
                </w:tcPr>
                <w:p w14:paraId="079E8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0.003</w:t>
                  </w:r>
                </w:p>
              </w:tc>
            </w:tr>
            <w:tr w14:paraId="47AC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834" w:type="pct"/>
                  <w:tcBorders>
                    <w:tl2br w:val="nil"/>
                    <w:tr2bl w:val="nil"/>
                  </w:tcBorders>
                  <w:vAlign w:val="center"/>
                </w:tcPr>
                <w:p w14:paraId="198DD53B">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腻子粉</w:t>
                  </w:r>
                  <w:r>
                    <w:rPr>
                      <w:rFonts w:hint="default" w:ascii="Times New Roman" w:hAnsi="Times New Roman" w:eastAsia="宋体" w:cs="Times New Roman"/>
                      <w:color w:val="auto"/>
                      <w:lang w:val="en-US" w:eastAsia="zh-CN"/>
                    </w:rPr>
                    <w:t>卸料至粉料罐</w:t>
                  </w:r>
                </w:p>
              </w:tc>
              <w:tc>
                <w:tcPr>
                  <w:tcW w:w="1219" w:type="pct"/>
                  <w:tcBorders>
                    <w:tl2br w:val="nil"/>
                    <w:tr2bl w:val="nil"/>
                  </w:tcBorders>
                  <w:vAlign w:val="center"/>
                </w:tcPr>
                <w:p w14:paraId="507F8B25">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946" w:type="pct"/>
                  <w:tcBorders>
                    <w:tl2br w:val="nil"/>
                    <w:tr2bl w:val="nil"/>
                  </w:tcBorders>
                  <w:vAlign w:val="center"/>
                </w:tcPr>
                <w:p w14:paraId="48EE01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0.42</w:t>
                  </w:r>
                </w:p>
              </w:tc>
            </w:tr>
          </w:tbl>
          <w:p w14:paraId="1834D92F">
            <w:pPr>
              <w:pStyle w:val="19"/>
              <w:keepNext w:val="0"/>
              <w:keepLines w:val="0"/>
              <w:suppressLineNumbers w:val="0"/>
              <w:spacing w:before="0" w:beforeAutospacing="0" w:after="0" w:afterAutospacing="0" w:line="360" w:lineRule="auto"/>
              <w:ind w:left="0" w:leftChars="0" w:right="0" w:firstLine="480"/>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全厂污染物排放量见下表</w:t>
            </w:r>
            <w:r>
              <w:rPr>
                <w:rFonts w:hint="eastAsia" w:cs="Times New Roman"/>
                <w:color w:val="auto"/>
                <w:sz w:val="24"/>
                <w:szCs w:val="28"/>
                <w:lang w:val="en-US" w:eastAsia="zh-CN"/>
              </w:rPr>
              <w:t>。</w:t>
            </w:r>
          </w:p>
          <w:p w14:paraId="20100EF2">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全厂污染物排放量一览表</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844"/>
              <w:gridCol w:w="4578"/>
            </w:tblGrid>
            <w:tr w14:paraId="0D5C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2282" w:type="pct"/>
                  <w:shd w:val="clear" w:color="auto" w:fill="auto"/>
                  <w:vAlign w:val="center"/>
                </w:tcPr>
                <w:p w14:paraId="39BCC7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污染物名称</w:t>
                  </w:r>
                </w:p>
              </w:tc>
              <w:tc>
                <w:tcPr>
                  <w:tcW w:w="2717" w:type="pct"/>
                  <w:shd w:val="clear" w:color="auto" w:fill="auto"/>
                  <w:vAlign w:val="center"/>
                </w:tcPr>
                <w:p w14:paraId="28FA7C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核算年排放量（t/a）</w:t>
                  </w:r>
                </w:p>
              </w:tc>
            </w:tr>
            <w:tr w14:paraId="3212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2282" w:type="pct"/>
                  <w:shd w:val="clear" w:color="auto" w:fill="auto"/>
                  <w:vAlign w:val="center"/>
                </w:tcPr>
                <w:p w14:paraId="37F33E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2717" w:type="pct"/>
                  <w:shd w:val="clear" w:color="auto" w:fill="auto"/>
                  <w:vAlign w:val="center"/>
                </w:tcPr>
                <w:p w14:paraId="7B0712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6.851</w:t>
                  </w:r>
                </w:p>
              </w:tc>
            </w:tr>
            <w:tr w14:paraId="7908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82" w:type="pct"/>
                  <w:shd w:val="clear" w:color="auto" w:fill="auto"/>
                  <w:vAlign w:val="center"/>
                </w:tcPr>
                <w:p w14:paraId="30B008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2717" w:type="pct"/>
                  <w:shd w:val="clear" w:color="auto" w:fill="auto"/>
                  <w:vAlign w:val="center"/>
                </w:tcPr>
                <w:p w14:paraId="081AEA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0.127</w:t>
                  </w:r>
                </w:p>
              </w:tc>
            </w:tr>
            <w:tr w14:paraId="274D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2282" w:type="pct"/>
                  <w:shd w:val="clear" w:color="auto" w:fill="auto"/>
                  <w:vAlign w:val="center"/>
                </w:tcPr>
                <w:p w14:paraId="2B6CC4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w:t>
                  </w:r>
                </w:p>
              </w:tc>
              <w:tc>
                <w:tcPr>
                  <w:tcW w:w="2717" w:type="pct"/>
                  <w:shd w:val="clear" w:color="auto" w:fill="auto"/>
                  <w:vAlign w:val="center"/>
                </w:tcPr>
                <w:p w14:paraId="24154C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0.175</w:t>
                  </w:r>
                </w:p>
              </w:tc>
            </w:tr>
            <w:tr w14:paraId="4329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2282" w:type="pct"/>
                  <w:shd w:val="clear" w:color="auto" w:fill="auto"/>
                  <w:vAlign w:val="center"/>
                </w:tcPr>
                <w:p w14:paraId="120E92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臭气浓度</w:t>
                  </w:r>
                </w:p>
              </w:tc>
              <w:tc>
                <w:tcPr>
                  <w:tcW w:w="2717" w:type="pct"/>
                  <w:shd w:val="clear" w:color="auto" w:fill="auto"/>
                  <w:vAlign w:val="center"/>
                </w:tcPr>
                <w:p w14:paraId="195D62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少量</w:t>
                  </w:r>
                </w:p>
              </w:tc>
            </w:tr>
          </w:tbl>
          <w:p w14:paraId="5914DA7F">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（5）食堂油烟影响分析</w:t>
            </w:r>
          </w:p>
          <w:p w14:paraId="5A59FD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扩建完成后</w:t>
            </w:r>
            <w:r>
              <w:rPr>
                <w:rFonts w:hint="default" w:ascii="Times New Roman" w:hAnsi="Times New Roman" w:eastAsia="宋体" w:cs="Times New Roman"/>
                <w:color w:val="auto"/>
                <w:sz w:val="24"/>
                <w:szCs w:val="24"/>
                <w:lang w:val="en-US" w:eastAsia="zh-CN"/>
              </w:rPr>
              <w:t>，食堂设有1个灶头，每日就餐人数为150人。食堂采用天然气燃料，因此食堂仅产生少量食堂油烟。食堂安装油烟净化器，油烟净化器的风量为6000m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/h，食堂油烟经油烟净化器处理后于生活综合楼楼顶排放。食堂油烟经油烟净化设施处理后排放浓度为1.86mg/m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rPr>
              <w:t>《饮食业油烟排放标准》（GB18483-2001）小型标准</w:t>
            </w:r>
            <w:r>
              <w:rPr>
                <w:rFonts w:hint="default" w:ascii="Times New Roman" w:hAnsi="Times New Roman" w:eastAsia="宋体" w:cs="Times New Roman"/>
                <w:color w:val="auto"/>
                <w:sz w:val="24"/>
                <w:szCs w:val="24"/>
                <w:lang w:val="en-US" w:eastAsia="zh-CN"/>
              </w:rPr>
              <w:t>，即油烟≤2.0mg/m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14:paraId="6467313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废气处置措施可行性分析</w:t>
            </w:r>
          </w:p>
          <w:p w14:paraId="136C2BA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①UV光氧+活性炭装置分析</w:t>
            </w:r>
          </w:p>
          <w:p w14:paraId="101EEF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zh-CN" w:eastAsia="zh-CN"/>
              </w:rPr>
              <w:t>UV光氧+活性炭</w:t>
            </w:r>
            <w:r>
              <w:rPr>
                <w:rFonts w:hint="default" w:ascii="Times New Roman" w:hAnsi="Times New Roman" w:eastAsia="宋体" w:cs="Times New Roman"/>
                <w:color w:val="auto"/>
                <w:sz w:val="24"/>
                <w:szCs w:val="24"/>
                <w:lang w:val="en-US" w:eastAsia="zh-CN"/>
              </w:rPr>
              <w:t>吸附</w:t>
            </w:r>
            <w:r>
              <w:rPr>
                <w:rFonts w:hint="default" w:ascii="Times New Roman" w:hAnsi="Times New Roman" w:eastAsia="宋体" w:cs="Times New Roman"/>
                <w:color w:val="auto"/>
                <w:sz w:val="24"/>
                <w:szCs w:val="24"/>
                <w:lang w:val="zh-CN" w:eastAsia="zh-CN"/>
              </w:rPr>
              <w:t>装置属于《</w:t>
            </w:r>
            <w:r>
              <w:rPr>
                <w:rFonts w:hint="default" w:ascii="Times New Roman" w:hAnsi="Times New Roman" w:eastAsia="宋体" w:cs="Times New Roman"/>
                <w:color w:val="auto"/>
                <w:sz w:val="24"/>
                <w:szCs w:val="24"/>
              </w:rPr>
              <w:t>排污许可证申请与核发技术规范 涂料、油墨、颜料及类似产品制造业》（HJ 1116-2020）</w:t>
            </w:r>
            <w:r>
              <w:rPr>
                <w:rFonts w:hint="default" w:ascii="Times New Roman" w:hAnsi="Times New Roman" w:eastAsia="宋体" w:cs="Times New Roman"/>
                <w:bCs/>
                <w:color w:val="auto"/>
                <w:sz w:val="24"/>
                <w:szCs w:val="24"/>
                <w:lang w:val="en-US" w:eastAsia="zh-CN"/>
              </w:rPr>
              <w:t>“附录A废气污染防治可行技术”中的技术-“光解+吸附”，属于</w:t>
            </w:r>
            <w:r>
              <w:rPr>
                <w:rFonts w:hint="default" w:ascii="Times New Roman" w:hAnsi="Times New Roman" w:eastAsia="宋体" w:cs="Times New Roman"/>
                <w:color w:val="auto"/>
                <w:sz w:val="24"/>
                <w:szCs w:val="24"/>
              </w:rPr>
              <w:t>可行技术</w:t>
            </w:r>
            <w:r>
              <w:rPr>
                <w:rFonts w:hint="default" w:ascii="Times New Roman" w:hAnsi="Times New Roman" w:eastAsia="宋体" w:cs="Times New Roman"/>
                <w:color w:val="auto"/>
                <w:sz w:val="24"/>
                <w:szCs w:val="24"/>
                <w:lang w:eastAsia="zh-CN"/>
              </w:rPr>
              <w:t>。</w:t>
            </w:r>
          </w:p>
          <w:p w14:paraId="62F008E9">
            <w:pPr>
              <w:keepNext w:val="0"/>
              <w:keepLines w:val="0"/>
              <w:suppressLineNumbers w:val="0"/>
              <w:spacing w:before="0" w:beforeLines="0" w:beforeAutospacing="0" w:after="0" w:afterLines="0" w:afterAutospacing="0" w:line="360" w:lineRule="auto"/>
              <w:ind w:left="0" w:right="0"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lang w:val="zh-CN"/>
              </w:rPr>
              <w:t>UV光解技术利用特制的高能高臭氧UV紫外线光束照射废气，使有机或无机高分子恶臭化合物分子链降解转变成低分子化合物，如CO</w:t>
            </w:r>
            <w:r>
              <w:rPr>
                <w:rFonts w:hint="default" w:ascii="Times New Roman" w:hAnsi="Times New Roman" w:eastAsia="宋体" w:cs="Times New Roman"/>
                <w:color w:val="auto"/>
                <w:sz w:val="24"/>
                <w:vertAlign w:val="subscript"/>
                <w:lang w:val="zh-CN"/>
              </w:rPr>
              <w:t>2</w:t>
            </w:r>
            <w:r>
              <w:rPr>
                <w:rFonts w:hint="default" w:ascii="Times New Roman" w:hAnsi="Times New Roman" w:eastAsia="宋体" w:cs="Times New Roman"/>
                <w:color w:val="auto"/>
                <w:sz w:val="24"/>
                <w:lang w:val="zh-CN"/>
              </w:rPr>
              <w:t>、H</w:t>
            </w:r>
            <w:r>
              <w:rPr>
                <w:rFonts w:hint="default" w:ascii="Times New Roman" w:hAnsi="Times New Roman" w:eastAsia="宋体" w:cs="Times New Roman"/>
                <w:color w:val="auto"/>
                <w:sz w:val="24"/>
                <w:vertAlign w:val="subscript"/>
                <w:lang w:val="zh-CN"/>
              </w:rPr>
              <w:t>2</w:t>
            </w:r>
            <w:r>
              <w:rPr>
                <w:rFonts w:hint="default" w:ascii="Times New Roman" w:hAnsi="Times New Roman" w:eastAsia="宋体" w:cs="Times New Roman"/>
                <w:color w:val="auto"/>
                <w:sz w:val="24"/>
                <w:lang w:val="zh-CN"/>
              </w:rPr>
              <w:t>0等。同时高能高臭氧UV紫外线光束分解空气中的氧分子产生游离氧，即活性氧，因游离氧所携正负电子不平衡所以需与氧分子结合，进而产生臭氧。臭氧对有机物具有极强的氧化作用，对工业废气及其它刺激性异味有立竿见影的清除效果。UV光解技术能有效去除</w:t>
            </w:r>
            <w:r>
              <w:rPr>
                <w:rFonts w:hint="default" w:ascii="Times New Roman" w:hAnsi="Times New Roman" w:eastAsia="宋体" w:cs="Times New Roman"/>
                <w:color w:val="auto"/>
                <w:sz w:val="24"/>
                <w:lang w:val="zh-CN" w:eastAsia="zh-CN"/>
              </w:rPr>
              <w:t>TVOC</w:t>
            </w:r>
            <w:r>
              <w:rPr>
                <w:rFonts w:hint="default" w:ascii="Times New Roman" w:hAnsi="Times New Roman" w:eastAsia="宋体" w:cs="Times New Roman"/>
                <w:color w:val="auto"/>
                <w:sz w:val="24"/>
                <w:lang w:val="zh-CN"/>
              </w:rPr>
              <w:t>、无机物、硫化氢、氨气、硫醇类等主要污染物，以及各种恶臭味，净化、脱臭效率可达50%以上。无需添加任何物质，可适应高浓度，大气量，不同工业废气物质的净化处理，可每天24小时连续工作，运行稳定可靠。本设备无任何机械动作，无噪音，需专人管理和日常维护。工业废气无需进行特殊的预处理，如加温、加湿等，设备工作环境温度在摄氏-30℃~95℃之间，湿度在30%~98%、PH在3~11之间均可正常工作。</w:t>
            </w:r>
          </w:p>
          <w:p w14:paraId="210E56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活性炭吸附装置是利用活性炭作为吸附介质，其作用原理为利用微孔活性物质对溶剂分子或分子团的吸附力，当废气通过吸附介质时，其中的有机废气污染物即被阻留下来，从而使得有机废气得到净化处理后排入大气。</w:t>
            </w:r>
          </w:p>
          <w:p w14:paraId="33B7C0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活性炭吸附法一直被认为是比较成熟可靠的技术，活性炭是一种由含碳材料制成的外观呈黑色，内部孔隙结构发达，比表面积大，吸附能力强的一类微晶质碳素材料。有机废气净化采用活性炭吸附处理，是国内最为有效的方法。吸附作用是一种界面现象。所谓吸附，是当两相存在时，在相与相的界面附近的浓度与相内部不一样的现象，吸附的物质称作吸附剂或吸附载体。活性炭的吸附是用活性炭作为吸附载体的吸附。吸附的作用力是吸附载体与吸附质（有机废气）之间在能量方面的相互作用，承担这种相互作用的是电子。吸附载体表面上的原子与吸附质（有机废气）分子互相接近时，即使是无极性，也会瞬时性地造电子分布的不对称而形成电极，并诱导与其相对应的原子或分子产生分电极。在这两个分电极之间，便产生微弱的静电相互作用力。活性炭也能通过使用氧化剂，还原剂进行处理，让表面官能团发生变化，此时，比表面积及孔径也将发生变化。由于活性炭是比较非极性的物质，对有机废气具有很强的亲和性；即使有水份存在，吸附性能下降的也不大。活性炭的吸附性能由空隙大小与比表面积决定，空隙的大小决定对吸附质的选择性，而比表面积的大小则决定了吸附容量。活性炭的特点是比表面积及比孔容积大，单位重量的吸附量也大。</w:t>
            </w:r>
          </w:p>
          <w:p w14:paraId="5C5DA74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本项目产生的有机废气经集气罩收集后，通过UV光氧+活性炭吸附装置处理，经1根</w:t>
            </w:r>
            <w:r>
              <w:rPr>
                <w:rFonts w:hint="default"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rPr>
              <w:t>米高的排气筒排放。根据参考目前国内现行的处理有机废气有效的方法，本项目先通过集气罩收集，进入UV光氧+活性炭吸附装置处理后排气筒排放</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UV光氧+活性炭吸附装置</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对非甲烷总烃的去除效率参照《</w:t>
            </w:r>
            <w:r>
              <w:rPr>
                <w:rFonts w:hint="default" w:ascii="Times New Roman" w:hAnsi="Times New Roman" w:eastAsia="宋体" w:cs="Times New Roman"/>
                <w:color w:val="auto"/>
                <w:sz w:val="24"/>
                <w:lang w:val="zh-CN"/>
              </w:rPr>
              <w:t>国际新材料包装科技文化产业园区（一期）项目</w:t>
            </w:r>
            <w:r>
              <w:rPr>
                <w:rFonts w:hint="default" w:ascii="Times New Roman" w:hAnsi="Times New Roman" w:eastAsia="宋体" w:cs="Times New Roman"/>
                <w:color w:val="auto"/>
                <w:sz w:val="24"/>
              </w:rPr>
              <w:t>竣工环境保护验收监测报告</w:t>
            </w:r>
            <w:r>
              <w:rPr>
                <w:rFonts w:hint="default" w:ascii="Times New Roman" w:hAnsi="Times New Roman" w:eastAsia="宋体" w:cs="Times New Roman"/>
                <w:color w:val="auto"/>
                <w:sz w:val="24"/>
                <w:lang w:val="en-US" w:eastAsia="zh-CN"/>
              </w:rPr>
              <w:t>》的监测数据，具体数值见下表。</w:t>
            </w:r>
          </w:p>
          <w:p w14:paraId="7BECE7F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leftChars="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4-9  项目废气治理设施对各污染物处理效率一览表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2084"/>
              <w:gridCol w:w="1838"/>
              <w:gridCol w:w="2055"/>
              <w:gridCol w:w="1368"/>
            </w:tblGrid>
            <w:tr w14:paraId="5C74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76" w:type="pct"/>
                  <w:gridSpan w:val="2"/>
                  <w:vAlign w:val="center"/>
                </w:tcPr>
                <w:p w14:paraId="6E60DE5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检测点位</w:t>
                  </w:r>
                </w:p>
              </w:tc>
              <w:tc>
                <w:tcPr>
                  <w:tcW w:w="2311" w:type="pct"/>
                  <w:gridSpan w:val="2"/>
                  <w:vAlign w:val="center"/>
                </w:tcPr>
                <w:p w14:paraId="2B2EB4C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彩印车间UV光解+活性炭吸附</w:t>
                  </w:r>
                </w:p>
              </w:tc>
              <w:tc>
                <w:tcPr>
                  <w:tcW w:w="812" w:type="pct"/>
                  <w:vMerge w:val="restart"/>
                  <w:vAlign w:val="center"/>
                </w:tcPr>
                <w:p w14:paraId="1D204DA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处理效率（%）</w:t>
                  </w:r>
                </w:p>
              </w:tc>
            </w:tr>
            <w:tr w14:paraId="570F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6" w:type="pct"/>
                  <w:gridSpan w:val="2"/>
                  <w:vAlign w:val="center"/>
                </w:tcPr>
                <w:p w14:paraId="40A2417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1687" w:firstLineChars="800"/>
                    <w:jc w:val="both"/>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-47625</wp:posOffset>
                            </wp:positionH>
                            <wp:positionV relativeFrom="paragraph">
                              <wp:posOffset>23495</wp:posOffset>
                            </wp:positionV>
                            <wp:extent cx="2006600" cy="321945"/>
                            <wp:effectExtent l="635" t="4445" r="12065" b="16510"/>
                            <wp:wrapNone/>
                            <wp:docPr id="10" name="直接连接符 10"/>
                            <wp:cNvGraphicFramePr/>
                            <a:graphic xmlns:a="http://schemas.openxmlformats.org/drawingml/2006/main">
                              <a:graphicData uri="http://schemas.microsoft.com/office/word/2010/wordprocessingShape">
                                <wps:wsp>
                                  <wps:cNvCnPr/>
                                  <wps:spPr>
                                    <a:xfrm>
                                      <a:off x="1115695" y="3053080"/>
                                      <a:ext cx="2006600" cy="321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75pt;margin-top:1.85pt;height:25.35pt;width:158pt;z-index:251661312;mso-width-relative:page;mso-height-relative:page;" filled="f" stroked="t" coordsize="21600,21600" o:gfxdata="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5hSatUAAAAHAQAADwAAAAAAAAABACAAAAAiAAAAZHJzL2Rvd25y&#10;ZXYueG1sUEsBAhQAFAAAAAgAh07iQNCcpr4BAgAA5gMAAA4AAAAAAAAAAQAgAAAAJAEAAGRycy9l&#10;Mm9Eb2MueG1sUEsFBgAAAAAGAAYAWQEAAJcFAAAAAA==&#10;">
                            <v:fill on="f" focussize="0,0"/>
                            <v:stroke color="#000000 [3200]" joinstyle="round"/>
                            <v:imagedata o:title=""/>
                            <o:lock v:ext="edit" aspectratio="f"/>
                          </v:line>
                        </w:pict>
                      </mc:Fallback>
                    </mc:AlternateContent>
                  </w:r>
                  <w:r>
                    <w:rPr>
                      <w:rFonts w:hint="default" w:ascii="Times New Roman" w:hAnsi="Times New Roman" w:eastAsia="宋体" w:cs="Times New Roman"/>
                      <w:b/>
                      <w:bCs/>
                      <w:color w:val="auto"/>
                      <w:sz w:val="21"/>
                      <w:szCs w:val="21"/>
                      <w:vertAlign w:val="baseline"/>
                      <w:lang w:val="en-US" w:eastAsia="zh-CN" w:bidi="ar-SA"/>
                    </w:rPr>
                    <w:t>监测结果</w:t>
                  </w:r>
                </w:p>
                <w:p w14:paraId="73C9986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vertAlign w:val="baseline"/>
                      <w:lang w:val="en-US" w:eastAsia="zh-CN" w:bidi="ar-SA"/>
                    </w:rPr>
                    <w:t>监测项目、检测日期</w:t>
                  </w:r>
                </w:p>
              </w:tc>
              <w:tc>
                <w:tcPr>
                  <w:tcW w:w="1091" w:type="pct"/>
                  <w:vAlign w:val="center"/>
                </w:tcPr>
                <w:p w14:paraId="1DEA4DA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进口平均浓度</w:t>
                  </w:r>
                </w:p>
              </w:tc>
              <w:tc>
                <w:tcPr>
                  <w:tcW w:w="1220" w:type="pct"/>
                  <w:vAlign w:val="center"/>
                </w:tcPr>
                <w:p w14:paraId="701C1D1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出口浓度</w:t>
                  </w:r>
                </w:p>
              </w:tc>
              <w:tc>
                <w:tcPr>
                  <w:tcW w:w="812" w:type="pct"/>
                  <w:vMerge w:val="continue"/>
                  <w:vAlign w:val="center"/>
                </w:tcPr>
                <w:p w14:paraId="14C69EA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4A9A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restart"/>
                  <w:vAlign w:val="center"/>
                </w:tcPr>
                <w:p w14:paraId="147A152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zh-CN"/>
                    </w:rPr>
                    <w:t>非甲烷总烃</w:t>
                  </w:r>
                </w:p>
              </w:tc>
              <w:tc>
                <w:tcPr>
                  <w:tcW w:w="1237" w:type="pct"/>
                  <w:vMerge w:val="restart"/>
                  <w:vAlign w:val="center"/>
                </w:tcPr>
                <w:p w14:paraId="35EC2D2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2021.11.8</w:t>
                  </w:r>
                </w:p>
              </w:tc>
              <w:tc>
                <w:tcPr>
                  <w:tcW w:w="1091" w:type="pct"/>
                  <w:vAlign w:val="center"/>
                </w:tcPr>
                <w:p w14:paraId="032A4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108.85</w:t>
                  </w:r>
                </w:p>
              </w:tc>
              <w:tc>
                <w:tcPr>
                  <w:tcW w:w="1220" w:type="pct"/>
                  <w:vAlign w:val="center"/>
                </w:tcPr>
                <w:p w14:paraId="6B17626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40.2</w:t>
                  </w:r>
                </w:p>
              </w:tc>
              <w:tc>
                <w:tcPr>
                  <w:tcW w:w="812" w:type="pct"/>
                  <w:vAlign w:val="center"/>
                </w:tcPr>
                <w:p w14:paraId="18D181A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63.07</w:t>
                  </w:r>
                </w:p>
              </w:tc>
            </w:tr>
            <w:tr w14:paraId="3236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70E057E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Merge w:val="continue"/>
                  <w:vAlign w:val="center"/>
                </w:tcPr>
                <w:p w14:paraId="264CED5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091" w:type="pct"/>
                  <w:vAlign w:val="center"/>
                </w:tcPr>
                <w:p w14:paraId="372D46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112.6</w:t>
                  </w:r>
                </w:p>
              </w:tc>
              <w:tc>
                <w:tcPr>
                  <w:tcW w:w="1220" w:type="pct"/>
                  <w:vAlign w:val="center"/>
                </w:tcPr>
                <w:p w14:paraId="70FC588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33.8</w:t>
                  </w:r>
                </w:p>
              </w:tc>
              <w:tc>
                <w:tcPr>
                  <w:tcW w:w="812" w:type="pct"/>
                  <w:vAlign w:val="center"/>
                </w:tcPr>
                <w:p w14:paraId="6FAF667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69.98</w:t>
                  </w:r>
                </w:p>
              </w:tc>
            </w:tr>
            <w:tr w14:paraId="0A3B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250784B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Merge w:val="continue"/>
                  <w:vAlign w:val="center"/>
                </w:tcPr>
                <w:p w14:paraId="272DC02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091" w:type="pct"/>
                  <w:vAlign w:val="center"/>
                </w:tcPr>
                <w:p w14:paraId="329364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122.75</w:t>
                  </w:r>
                </w:p>
              </w:tc>
              <w:tc>
                <w:tcPr>
                  <w:tcW w:w="1220" w:type="pct"/>
                  <w:vAlign w:val="center"/>
                </w:tcPr>
                <w:p w14:paraId="0EA0ACF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34.1</w:t>
                  </w:r>
                </w:p>
              </w:tc>
              <w:tc>
                <w:tcPr>
                  <w:tcW w:w="812" w:type="pct"/>
                  <w:vAlign w:val="center"/>
                </w:tcPr>
                <w:p w14:paraId="3F0BF61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72.22</w:t>
                  </w:r>
                </w:p>
              </w:tc>
            </w:tr>
            <w:tr w14:paraId="5D92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047C123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Align w:val="center"/>
                </w:tcPr>
                <w:p w14:paraId="22E2AEE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平均值</w:t>
                  </w:r>
                </w:p>
              </w:tc>
              <w:tc>
                <w:tcPr>
                  <w:tcW w:w="1091" w:type="pct"/>
                  <w:vAlign w:val="center"/>
                </w:tcPr>
                <w:p w14:paraId="071E23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114.9</w:t>
                  </w:r>
                </w:p>
              </w:tc>
              <w:tc>
                <w:tcPr>
                  <w:tcW w:w="1220" w:type="pct"/>
                  <w:vAlign w:val="center"/>
                </w:tcPr>
                <w:p w14:paraId="3E68A90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36.0</w:t>
                  </w:r>
                </w:p>
              </w:tc>
              <w:tc>
                <w:tcPr>
                  <w:tcW w:w="812" w:type="pct"/>
                  <w:vAlign w:val="center"/>
                </w:tcPr>
                <w:p w14:paraId="494917C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68.67</w:t>
                  </w:r>
                </w:p>
              </w:tc>
            </w:tr>
            <w:tr w14:paraId="063D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7FCDDA0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Merge w:val="restart"/>
                  <w:vAlign w:val="center"/>
                </w:tcPr>
                <w:p w14:paraId="572B9D9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2021.11.9</w:t>
                  </w:r>
                </w:p>
              </w:tc>
              <w:tc>
                <w:tcPr>
                  <w:tcW w:w="1091" w:type="pct"/>
                  <w:vAlign w:val="center"/>
                </w:tcPr>
                <w:p w14:paraId="022B27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121.6</w:t>
                  </w:r>
                </w:p>
              </w:tc>
              <w:tc>
                <w:tcPr>
                  <w:tcW w:w="1220" w:type="pct"/>
                  <w:vAlign w:val="center"/>
                </w:tcPr>
                <w:p w14:paraId="7554E7B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31.9</w:t>
                  </w:r>
                </w:p>
              </w:tc>
              <w:tc>
                <w:tcPr>
                  <w:tcW w:w="812" w:type="pct"/>
                  <w:vAlign w:val="center"/>
                </w:tcPr>
                <w:p w14:paraId="33A4BE2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73.77</w:t>
                  </w:r>
                </w:p>
              </w:tc>
            </w:tr>
            <w:tr w14:paraId="607E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3F06B06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Merge w:val="continue"/>
                  <w:vAlign w:val="center"/>
                </w:tcPr>
                <w:p w14:paraId="26E7F07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091" w:type="pct"/>
                  <w:vAlign w:val="center"/>
                </w:tcPr>
                <w:p w14:paraId="21B23E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121.85</w:t>
                  </w:r>
                </w:p>
              </w:tc>
              <w:tc>
                <w:tcPr>
                  <w:tcW w:w="1220" w:type="pct"/>
                  <w:vAlign w:val="center"/>
                </w:tcPr>
                <w:p w14:paraId="4E8CE78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38.7</w:t>
                  </w:r>
                </w:p>
              </w:tc>
              <w:tc>
                <w:tcPr>
                  <w:tcW w:w="812" w:type="pct"/>
                  <w:vAlign w:val="center"/>
                </w:tcPr>
                <w:p w14:paraId="00BC40D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68.24</w:t>
                  </w:r>
                </w:p>
              </w:tc>
            </w:tr>
            <w:tr w14:paraId="0B50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2118CE2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Merge w:val="continue"/>
                  <w:vAlign w:val="center"/>
                </w:tcPr>
                <w:p w14:paraId="6092AB9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091" w:type="pct"/>
                  <w:vAlign w:val="center"/>
                </w:tcPr>
                <w:p w14:paraId="605ABE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127.5</w:t>
                  </w:r>
                </w:p>
              </w:tc>
              <w:tc>
                <w:tcPr>
                  <w:tcW w:w="1220" w:type="pct"/>
                  <w:vAlign w:val="center"/>
                </w:tcPr>
                <w:p w14:paraId="0B88235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38.1</w:t>
                  </w:r>
                </w:p>
              </w:tc>
              <w:tc>
                <w:tcPr>
                  <w:tcW w:w="812" w:type="pct"/>
                  <w:vAlign w:val="center"/>
                </w:tcPr>
                <w:p w14:paraId="3434963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70.12</w:t>
                  </w:r>
                </w:p>
              </w:tc>
            </w:tr>
            <w:tr w14:paraId="559A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1BA42A5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Align w:val="center"/>
                </w:tcPr>
                <w:p w14:paraId="58B67A6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平均值</w:t>
                  </w:r>
                </w:p>
              </w:tc>
              <w:tc>
                <w:tcPr>
                  <w:tcW w:w="1091" w:type="pct"/>
                  <w:vAlign w:val="center"/>
                </w:tcPr>
                <w:p w14:paraId="0BE23A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123.5</w:t>
                  </w:r>
                </w:p>
              </w:tc>
              <w:tc>
                <w:tcPr>
                  <w:tcW w:w="1220" w:type="pct"/>
                  <w:vAlign w:val="center"/>
                </w:tcPr>
                <w:p w14:paraId="1A053CC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36.2</w:t>
                  </w:r>
                </w:p>
              </w:tc>
              <w:tc>
                <w:tcPr>
                  <w:tcW w:w="812" w:type="pct"/>
                  <w:vAlign w:val="center"/>
                </w:tcPr>
                <w:p w14:paraId="0CE7A5A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70.69</w:t>
                  </w:r>
                </w:p>
              </w:tc>
            </w:tr>
          </w:tbl>
          <w:p w14:paraId="725C8C3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由上表可知UV光解+活性炭吸附装置去除效率在63%-73.77%之间，本项目取值70%。</w:t>
            </w:r>
          </w:p>
          <w:p w14:paraId="17CDAAF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综上所述，项目采用“UV光氧+活性炭吸附装置”处理有机废气是合理、可行的。</w:t>
            </w:r>
          </w:p>
          <w:p w14:paraId="385F8B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b/>
                <w:bCs w:val="0"/>
                <w:color w:val="auto"/>
                <w:sz w:val="24"/>
                <w:szCs w:val="24"/>
                <w:lang w:eastAsia="zh-CN"/>
              </w:rPr>
            </w:pPr>
            <w:r>
              <w:rPr>
                <w:rFonts w:hint="default" w:ascii="Times New Roman" w:hAnsi="Times New Roman" w:eastAsia="宋体" w:cs="Times New Roman"/>
                <w:b/>
                <w:bCs/>
                <w:color w:val="auto"/>
                <w:sz w:val="24"/>
                <w:szCs w:val="24"/>
                <w:lang w:val="en-US" w:eastAsia="zh-CN"/>
              </w:rPr>
              <w:t>②</w:t>
            </w:r>
            <w:r>
              <w:rPr>
                <w:rFonts w:hint="default" w:ascii="Times New Roman" w:hAnsi="Times New Roman" w:eastAsia="宋体" w:cs="Times New Roman"/>
                <w:b/>
                <w:bCs/>
                <w:color w:val="auto"/>
                <w:sz w:val="24"/>
                <w:szCs w:val="24"/>
                <w:lang w:val="zh-CN" w:eastAsia="zh-CN"/>
              </w:rPr>
              <w:t>脉冲</w:t>
            </w:r>
            <w:r>
              <w:rPr>
                <w:rFonts w:hint="default" w:ascii="Times New Roman" w:hAnsi="Times New Roman" w:eastAsia="宋体" w:cs="Times New Roman"/>
                <w:b/>
                <w:bCs w:val="0"/>
                <w:color w:val="auto"/>
                <w:sz w:val="24"/>
                <w:szCs w:val="24"/>
                <w:lang w:eastAsia="zh-CN"/>
              </w:rPr>
              <w:t>布袋</w:t>
            </w:r>
            <w:r>
              <w:rPr>
                <w:rFonts w:hint="default" w:ascii="Times New Roman" w:hAnsi="Times New Roman" w:eastAsia="宋体" w:cs="Times New Roman"/>
                <w:b/>
                <w:bCs w:val="0"/>
                <w:color w:val="auto"/>
                <w:sz w:val="24"/>
                <w:szCs w:val="24"/>
              </w:rPr>
              <w:t>除尘</w:t>
            </w:r>
            <w:r>
              <w:rPr>
                <w:rFonts w:hint="default" w:ascii="Times New Roman" w:hAnsi="Times New Roman" w:eastAsia="宋体" w:cs="Times New Roman"/>
                <w:b/>
                <w:bCs w:val="0"/>
                <w:color w:val="auto"/>
                <w:sz w:val="24"/>
                <w:szCs w:val="24"/>
                <w:lang w:val="en-US" w:eastAsia="zh-CN"/>
              </w:rPr>
              <w:t>装置</w:t>
            </w:r>
            <w:r>
              <w:rPr>
                <w:rFonts w:hint="default" w:ascii="Times New Roman" w:hAnsi="Times New Roman" w:eastAsia="宋体" w:cs="Times New Roman"/>
                <w:b/>
                <w:bCs w:val="0"/>
                <w:color w:val="auto"/>
                <w:sz w:val="24"/>
                <w:szCs w:val="24"/>
                <w:lang w:eastAsia="zh-CN"/>
              </w:rPr>
              <w:t>分析</w:t>
            </w:r>
          </w:p>
          <w:p w14:paraId="7FFA76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布袋</w:t>
            </w:r>
            <w:r>
              <w:rPr>
                <w:rFonts w:hint="default" w:ascii="Times New Roman" w:hAnsi="Times New Roman" w:eastAsia="宋体" w:cs="Times New Roman"/>
                <w:bCs/>
                <w:color w:val="auto"/>
                <w:sz w:val="24"/>
                <w:szCs w:val="24"/>
              </w:rPr>
              <w:t>除尘器</w:t>
            </w:r>
            <w:r>
              <w:rPr>
                <w:rFonts w:hint="default" w:ascii="Times New Roman" w:hAnsi="Times New Roman" w:eastAsia="宋体" w:cs="Times New Roman"/>
                <w:bCs/>
                <w:color w:val="auto"/>
                <w:sz w:val="24"/>
                <w:szCs w:val="24"/>
                <w:lang w:val="en-US" w:eastAsia="zh-CN"/>
              </w:rPr>
              <w:t>属于</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rPr>
              <w:t>排污许可证申请与核发技术规范 涂料、油墨、颜料及类似产品制造业》（HJ 1116-2020）</w:t>
            </w:r>
            <w:r>
              <w:rPr>
                <w:rFonts w:hint="default" w:ascii="Times New Roman" w:hAnsi="Times New Roman" w:eastAsia="宋体" w:cs="Times New Roman"/>
                <w:bCs/>
                <w:color w:val="auto"/>
                <w:sz w:val="24"/>
                <w:szCs w:val="24"/>
                <w:lang w:val="en-US" w:eastAsia="zh-CN"/>
              </w:rPr>
              <w:t>“附录A废气污染防治可行技术”中的技术-“袋式除尘”，属于</w:t>
            </w:r>
            <w:r>
              <w:rPr>
                <w:rFonts w:hint="default" w:ascii="Times New Roman" w:hAnsi="Times New Roman" w:eastAsia="宋体" w:cs="Times New Roman"/>
                <w:color w:val="auto"/>
                <w:sz w:val="24"/>
                <w:szCs w:val="24"/>
              </w:rPr>
              <w:t>可行技术</w:t>
            </w:r>
            <w:r>
              <w:rPr>
                <w:rFonts w:hint="default" w:ascii="Times New Roman" w:hAnsi="Times New Roman" w:eastAsia="宋体" w:cs="Times New Roman"/>
                <w:color w:val="auto"/>
                <w:sz w:val="24"/>
                <w:szCs w:val="24"/>
                <w:lang w:eastAsia="zh-CN"/>
              </w:rPr>
              <w:t>。</w:t>
            </w:r>
          </w:p>
          <w:p w14:paraId="34EDD8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脉冲布袋除尘器</w:t>
            </w:r>
            <w:r>
              <w:rPr>
                <w:rFonts w:hint="default" w:ascii="Times New Roman" w:hAnsi="Times New Roman" w:eastAsia="宋体" w:cs="Times New Roman"/>
                <w:bCs/>
                <w:color w:val="auto"/>
                <w:sz w:val="24"/>
                <w:szCs w:val="24"/>
              </w:rPr>
              <w:t>是先进水平的高效袋式除尘器，由于其脉冲喷吹强度和频率可进行调节，清灰效果好，是目前世界上最为广泛应用的除尘装置。</w:t>
            </w:r>
          </w:p>
          <w:p w14:paraId="29AF05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脉冲反吹布袋除尘器原理图所示，含尘气体从袋式除尘器入口进入后，通过烟气分配装置均匀分配进入滤袋，当含尘气体穿过滤袋时，烟尘即被吸附在滤料上，而被净化的气体则从滤袋内排出。当吸附在滤料上的烟尘达到一定厚度时，电磁阀开启，压缩空气从滤袋出口处自上而下与气体排除的相反方向进入滤袋，将吸附在滤袋外表面的烟尘清落至下面的灰斗中。</w:t>
            </w:r>
          </w:p>
          <w:p w14:paraId="4F8879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采取的粉尘处理措施较为常用，实施难度小，投资合理，运行稳定可靠。根据全国类似企业生产情况来看，粉尘处理设施能稳定运行，排放达标。是目前同类企业中使用较为普遍粉尘处理方案，处理工艺较为成熟。符合相关法律法规污染防治规定的措施要求，技术经济可行。</w:t>
            </w:r>
          </w:p>
          <w:p w14:paraId="042C57E4">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③集中式滤筒除尘器分析</w:t>
            </w:r>
          </w:p>
          <w:p w14:paraId="77F743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滤筒除尘器是一种干式除尘设备，使用滤筒作为过滤元件，将微粉尘从气流中分离出来。滤筒除尘器通常设有一个或多个风机，将要过滤的气体吸入滤筒。当气体流经滤筒时，粉尘会被吸附在滤筒表面上，而清洁的气体会穿过滤筒并排出除尘器，除尘效果较好。通过对滤筒表面灰尘周期性清理，使设备运行阻力相对稳定，是保证除尘系统正常工作的重要环节。沉降及清理的灰尘集聚于灰斗内，由排灰阀自动排出或聚于灰桶内，定期人工排放。</w:t>
            </w:r>
          </w:p>
          <w:p w14:paraId="2856099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综上所述，</w:t>
            </w:r>
            <w:r>
              <w:rPr>
                <w:rFonts w:hint="default" w:ascii="Times New Roman" w:hAnsi="Times New Roman" w:eastAsia="宋体" w:cs="Times New Roman"/>
                <w:color w:val="auto"/>
                <w:sz w:val="24"/>
              </w:rPr>
              <w:t>项目采用</w:t>
            </w:r>
            <w:r>
              <w:rPr>
                <w:rFonts w:hint="default" w:ascii="Times New Roman" w:hAnsi="Times New Roman" w:eastAsia="宋体" w:cs="Times New Roman"/>
                <w:color w:val="auto"/>
                <w:sz w:val="24"/>
                <w:lang w:eastAsia="zh-CN"/>
              </w:rPr>
              <w:t>集中式滤筒除尘</w:t>
            </w:r>
            <w:r>
              <w:rPr>
                <w:rFonts w:hint="default" w:ascii="Times New Roman" w:hAnsi="Times New Roman" w:eastAsia="宋体" w:cs="Times New Roman"/>
                <w:color w:val="auto"/>
                <w:sz w:val="24"/>
              </w:rPr>
              <w:t>处理</w:t>
            </w:r>
            <w:r>
              <w:rPr>
                <w:rFonts w:hint="default" w:ascii="Times New Roman" w:hAnsi="Times New Roman" w:eastAsia="宋体" w:cs="Times New Roman"/>
                <w:color w:val="auto"/>
                <w:sz w:val="24"/>
                <w:lang w:eastAsia="zh-CN"/>
              </w:rPr>
              <w:t>腻子粉生产投料粉尘</w:t>
            </w:r>
            <w:r>
              <w:rPr>
                <w:rFonts w:hint="default" w:ascii="Times New Roman" w:hAnsi="Times New Roman" w:eastAsia="宋体" w:cs="Times New Roman"/>
                <w:color w:val="auto"/>
                <w:sz w:val="24"/>
              </w:rPr>
              <w:t>是合理、可行的。</w:t>
            </w:r>
          </w:p>
          <w:p w14:paraId="0D65D630">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cs="Times New Roman"/>
                <w:b/>
                <w:bCs/>
                <w:color w:val="auto"/>
                <w:sz w:val="24"/>
                <w:szCs w:val="28"/>
                <w:lang w:val="en-US" w:eastAsia="zh-CN"/>
              </w:rPr>
            </w:pPr>
            <w:r>
              <w:rPr>
                <w:rFonts w:hint="eastAsia" w:cs="Times New Roman"/>
                <w:b/>
                <w:bCs/>
                <w:color w:val="auto"/>
                <w:sz w:val="24"/>
                <w:szCs w:val="28"/>
                <w:lang w:val="en-US" w:eastAsia="zh-CN"/>
              </w:rPr>
              <w:t>④旋风除尘器分析</w:t>
            </w:r>
          </w:p>
          <w:p w14:paraId="5884854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旋风</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"https://baike.baidu.com/item/%E9%99%A4%E5%B0%98%E5%99%A8/391130?fromModule=lemma_inlink" \t "https://baike.baidu.com/item/%E6%97%8B%E9%A3%8E%E9%99%A4%E5%B0%98%E5%99%A8/_blank"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除尘器</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是由</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"https://baike.baidu.com/item/%E8%BF%9B%E6%B0%94%E7%AE%A1/10118194?fromModule=lemma_inlink" \t "https://baike.baidu.com/item/%E6%97%8B%E9%A3%8E%E9%99%A4%E5%B0%98%E5%99%A8/_blank"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进气管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"https://baike.baidu.com/item/%E6%8E%92%E6%B0%94%E7%AE%A1/6591407?fromModule=lemma_inlink" \t "https://baike.baidu.com/item/%E6%97%8B%E9%A3%8E%E9%99%A4%E5%B0%98%E5%99%A8/_blank"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排气管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、圆筒体、</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"https://baike.baidu.com/item/%E5%9C%86%E9%94%A5/2453504?fromModule=lemma_inlink" \t "https://baike.baidu.com/item/%E6%97%8B%E9%A3%8E%E9%99%A4%E5%B0%98%E5%99%A8/_blank"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圆锥</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体和灰斗组成</w:t>
            </w:r>
            <w:r>
              <w:rPr>
                <w:rFonts w:hint="eastAsia" w:cs="Times New Roman"/>
                <w:color w:val="auto"/>
                <w:sz w:val="24"/>
                <w:lang w:eastAsia="zh-CN"/>
              </w:rPr>
              <w:t>，</w:t>
            </w:r>
            <w:r>
              <w:rPr>
                <w:rFonts w:hint="default" w:ascii="Times New Roman" w:hAnsi="Times New Roman" w:eastAsia="宋体" w:cs="Times New Roman"/>
                <w:color w:val="auto"/>
                <w:sz w:val="24"/>
              </w:rPr>
              <w:t>除尘器结构简单，易于制造、安装和维护管理，</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"https://baike.baidu.com/item/%E8%AE%BE%E5%A4%87%E6%8A%95%E8%B5%84/3011375?fromModule=lemma_inlink" \t "https://baike.baidu.com/item/%E6%97%8B%E9%A3%8E%E9%99%A4%E5%B0%98%E5%99%A8/_blank"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设备投资</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和操作费用都较低，已广泛用于从气流中分离固体和液体粒子，或从液体中分离</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"https://baike.baidu.com/item/%E5%9B%BA%E4%BD%93%E7%B2%92%E5%AD%90/10329567?fromModule=lemma_inlink" \t "https://baike.baidu.com/item/%E6%97%8B%E9%A3%8E%E9%99%A4%E5%B0%98%E5%99%A8/_blank"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固体粒子</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。除尘效率受到粉尘粒径大小影响，一般单筒旋风除尘效率60-80%</w:t>
            </w:r>
            <w:r>
              <w:rPr>
                <w:rFonts w:hint="eastAsia" w:cs="Times New Roman"/>
                <w:color w:val="auto"/>
                <w:sz w:val="24"/>
                <w:lang w:eastAsia="zh-CN"/>
              </w:rPr>
              <w:t>，</w:t>
            </w:r>
            <w:r>
              <w:rPr>
                <w:rFonts w:hint="eastAsia" w:cs="Times New Roman"/>
                <w:color w:val="auto"/>
                <w:sz w:val="24"/>
                <w:lang w:val="en-US" w:eastAsia="zh-CN"/>
              </w:rPr>
              <w:t>考虑不利因素本项目取值60%是合理可行的。</w:t>
            </w:r>
          </w:p>
          <w:p w14:paraId="6157B30B">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zh-CN" w:eastAsia="zh-CN"/>
              </w:rPr>
            </w:pPr>
            <w:r>
              <w:rPr>
                <w:rFonts w:hint="default" w:ascii="Times New Roman" w:hAnsi="Times New Roman" w:eastAsia="宋体" w:cs="Times New Roman"/>
                <w:b/>
                <w:bCs/>
                <w:color w:val="auto"/>
                <w:sz w:val="24"/>
                <w:szCs w:val="28"/>
                <w:lang w:val="en-US" w:eastAsia="zh-CN"/>
              </w:rPr>
              <w:t>（9）非正常排放影响分析</w:t>
            </w:r>
          </w:p>
          <w:p w14:paraId="3C1C5C0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项目发生非正常排放，即废气处理设施发生故障时，项目区内的废气收集效率下降甚至完全失效，最不利情况为废气处理设备效率因故障降为0%的情况下，其他排放源正常工作进行设计。</w:t>
            </w:r>
          </w:p>
          <w:p w14:paraId="6B03E2C8">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hAnsi="Times New Roman" w:cs="Times New Roman"/>
                <w:b/>
                <w:bCs/>
                <w:color w:val="auto"/>
                <w:sz w:val="21"/>
                <w:szCs w:val="21"/>
                <w:lang w:val="en-US" w:eastAsia="zh-CN"/>
              </w:rPr>
              <w:t>10</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大气污染物</w:t>
            </w:r>
            <w:r>
              <w:rPr>
                <w:rFonts w:hint="default" w:ascii="Times New Roman" w:hAnsi="Times New Roman" w:eastAsia="宋体" w:cs="Times New Roman"/>
                <w:b/>
                <w:bCs/>
                <w:color w:val="auto"/>
                <w:sz w:val="21"/>
                <w:szCs w:val="21"/>
                <w:lang w:eastAsia="zh-CN"/>
              </w:rPr>
              <w:t>非正常</w:t>
            </w:r>
            <w:r>
              <w:rPr>
                <w:rFonts w:hint="default" w:ascii="Times New Roman" w:hAnsi="Times New Roman" w:eastAsia="宋体" w:cs="Times New Roman"/>
                <w:b/>
                <w:bCs/>
                <w:color w:val="auto"/>
                <w:sz w:val="21"/>
                <w:szCs w:val="21"/>
              </w:rPr>
              <w:t>排放量核算表</w:t>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141"/>
              <w:gridCol w:w="942"/>
              <w:gridCol w:w="859"/>
              <w:gridCol w:w="1216"/>
              <w:gridCol w:w="1134"/>
              <w:gridCol w:w="834"/>
              <w:gridCol w:w="896"/>
              <w:gridCol w:w="971"/>
            </w:tblGrid>
            <w:tr w14:paraId="23E1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noWrap w:val="0"/>
                  <w:vAlign w:val="center"/>
                </w:tcPr>
                <w:p w14:paraId="70C84056">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序号</w:t>
                  </w:r>
                </w:p>
              </w:tc>
              <w:tc>
                <w:tcPr>
                  <w:tcW w:w="677" w:type="pct"/>
                  <w:noWrap w:val="0"/>
                  <w:vAlign w:val="center"/>
                </w:tcPr>
                <w:p w14:paraId="224F6BAA">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污染源</w:t>
                  </w:r>
                </w:p>
              </w:tc>
              <w:tc>
                <w:tcPr>
                  <w:tcW w:w="559" w:type="pct"/>
                  <w:noWrap w:val="0"/>
                  <w:vAlign w:val="center"/>
                </w:tcPr>
                <w:p w14:paraId="45AC636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非正常排放原因</w:t>
                  </w:r>
                </w:p>
              </w:tc>
              <w:tc>
                <w:tcPr>
                  <w:tcW w:w="510" w:type="pct"/>
                  <w:noWrap w:val="0"/>
                  <w:vAlign w:val="center"/>
                </w:tcPr>
                <w:p w14:paraId="24852A83">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污染物</w:t>
                  </w:r>
                </w:p>
              </w:tc>
              <w:tc>
                <w:tcPr>
                  <w:tcW w:w="722" w:type="pct"/>
                  <w:noWrap w:val="0"/>
                  <w:vAlign w:val="center"/>
                </w:tcPr>
                <w:p w14:paraId="422E888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eastAsia="zh-CN"/>
                    </w:rPr>
                    <w:t>非正常排放浓度</w:t>
                  </w:r>
                  <w:r>
                    <w:rPr>
                      <w:rFonts w:hint="default" w:ascii="Times New Roman" w:hAnsi="Times New Roman" w:eastAsia="宋体" w:cs="Times New Roman"/>
                      <w:b/>
                      <w:bCs w:val="0"/>
                      <w:color w:val="auto"/>
                      <w:sz w:val="21"/>
                      <w:szCs w:val="21"/>
                      <w:lang w:val="en-US" w:eastAsia="zh-CN"/>
                    </w:rPr>
                    <w:t>/</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b/>
                      <w:bCs w:val="0"/>
                      <w:color w:val="auto"/>
                      <w:sz w:val="21"/>
                      <w:szCs w:val="21"/>
                      <w:lang w:val="en-US" w:eastAsia="zh-CN"/>
                    </w:rPr>
                    <w:t>m</w:t>
                  </w:r>
                  <w:r>
                    <w:rPr>
                      <w:rFonts w:hint="default" w:ascii="Times New Roman" w:hAnsi="Times New Roman" w:eastAsia="宋体" w:cs="Times New Roman"/>
                      <w:b/>
                      <w:bCs w:val="0"/>
                      <w:color w:val="auto"/>
                      <w:sz w:val="21"/>
                      <w:szCs w:val="21"/>
                      <w:lang w:eastAsia="zh-CN"/>
                    </w:rPr>
                    <w:t>g/m</w:t>
                  </w:r>
                  <w:r>
                    <w:rPr>
                      <w:rFonts w:hint="default" w:ascii="Times New Roman" w:hAnsi="Times New Roman" w:eastAsia="宋体" w:cs="Times New Roman"/>
                      <w:b/>
                      <w:bCs w:val="0"/>
                      <w:color w:val="auto"/>
                      <w:sz w:val="21"/>
                      <w:szCs w:val="21"/>
                      <w:vertAlign w:val="superscript"/>
                      <w:lang w:eastAsia="zh-CN"/>
                    </w:rPr>
                    <w:t>3</w:t>
                  </w:r>
                  <w:r>
                    <w:rPr>
                      <w:rFonts w:hint="default" w:ascii="Times New Roman" w:hAnsi="Times New Roman" w:eastAsia="宋体" w:cs="Times New Roman"/>
                      <w:b/>
                      <w:bCs w:val="0"/>
                      <w:color w:val="auto"/>
                      <w:sz w:val="21"/>
                      <w:szCs w:val="21"/>
                      <w:lang w:eastAsia="zh-CN"/>
                    </w:rPr>
                    <w:t>)</w:t>
                  </w:r>
                </w:p>
              </w:tc>
              <w:tc>
                <w:tcPr>
                  <w:tcW w:w="673" w:type="pct"/>
                  <w:noWrap w:val="0"/>
                  <w:vAlign w:val="center"/>
                </w:tcPr>
                <w:p w14:paraId="3D2F1C3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eastAsia="zh-CN"/>
                    </w:rPr>
                    <w:t>非正常排放速率</w:t>
                  </w:r>
                  <w:r>
                    <w:rPr>
                      <w:rFonts w:hint="default" w:ascii="Times New Roman" w:hAnsi="Times New Roman" w:eastAsia="宋体" w:cs="Times New Roman"/>
                      <w:b/>
                      <w:bCs w:val="0"/>
                      <w:color w:val="auto"/>
                      <w:sz w:val="21"/>
                      <w:szCs w:val="21"/>
                      <w:lang w:val="en-US" w:eastAsia="zh-CN"/>
                    </w:rPr>
                    <w:t>/</w:t>
                  </w:r>
                  <w:r>
                    <w:rPr>
                      <w:rFonts w:hint="default" w:ascii="Times New Roman" w:hAnsi="Times New Roman" w:eastAsia="宋体" w:cs="Times New Roman"/>
                      <w:b/>
                      <w:bCs w:val="0"/>
                      <w:color w:val="auto"/>
                      <w:sz w:val="21"/>
                      <w:szCs w:val="21"/>
                      <w:lang w:eastAsia="zh-CN"/>
                    </w:rPr>
                    <w:t>（kg/h）</w:t>
                  </w:r>
                </w:p>
              </w:tc>
              <w:tc>
                <w:tcPr>
                  <w:tcW w:w="495" w:type="pct"/>
                  <w:noWrap w:val="0"/>
                  <w:vAlign w:val="center"/>
                </w:tcPr>
                <w:p w14:paraId="73727D8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eastAsia="zh-CN"/>
                    </w:rPr>
                    <w:t>单次持续时间</w:t>
                  </w:r>
                  <w:r>
                    <w:rPr>
                      <w:rFonts w:hint="default" w:ascii="Times New Roman" w:hAnsi="Times New Roman" w:eastAsia="宋体" w:cs="Times New Roman"/>
                      <w:b/>
                      <w:bCs w:val="0"/>
                      <w:color w:val="auto"/>
                      <w:sz w:val="21"/>
                      <w:szCs w:val="21"/>
                      <w:lang w:val="en-US" w:eastAsia="zh-CN"/>
                    </w:rPr>
                    <w:t>/h</w:t>
                  </w:r>
                </w:p>
              </w:tc>
              <w:tc>
                <w:tcPr>
                  <w:tcW w:w="532" w:type="pct"/>
                  <w:noWrap w:val="0"/>
                  <w:vAlign w:val="center"/>
                </w:tcPr>
                <w:p w14:paraId="64A81C3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eastAsia="zh-CN"/>
                    </w:rPr>
                    <w:t>年发生频次</w:t>
                  </w:r>
                  <w:r>
                    <w:rPr>
                      <w:rFonts w:hint="default" w:ascii="Times New Roman" w:hAnsi="Times New Roman" w:eastAsia="宋体" w:cs="Times New Roman"/>
                      <w:b/>
                      <w:bCs w:val="0"/>
                      <w:color w:val="auto"/>
                      <w:sz w:val="21"/>
                      <w:szCs w:val="21"/>
                      <w:lang w:val="en-US" w:eastAsia="zh-CN"/>
                    </w:rPr>
                    <w:t>/次</w:t>
                  </w:r>
                </w:p>
              </w:tc>
              <w:tc>
                <w:tcPr>
                  <w:tcW w:w="576" w:type="pct"/>
                  <w:noWrap w:val="0"/>
                  <w:vAlign w:val="center"/>
                </w:tcPr>
                <w:p w14:paraId="3689A1C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应对措施</w:t>
                  </w:r>
                </w:p>
              </w:tc>
            </w:tr>
            <w:tr w14:paraId="40DB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noWrap w:val="0"/>
                  <w:vAlign w:val="center"/>
                </w:tcPr>
                <w:p w14:paraId="7FE1F9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color w:val="auto"/>
                      <w:sz w:val="21"/>
                      <w:szCs w:val="21"/>
                    </w:rPr>
                    <w:t>1</w:t>
                  </w:r>
                </w:p>
              </w:tc>
              <w:tc>
                <w:tcPr>
                  <w:tcW w:w="677" w:type="pct"/>
                  <w:noWrap w:val="0"/>
                  <w:vAlign w:val="center"/>
                </w:tcPr>
                <w:p w14:paraId="29961A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DA001排气筒</w:t>
                  </w:r>
                </w:p>
              </w:tc>
              <w:tc>
                <w:tcPr>
                  <w:tcW w:w="559" w:type="pct"/>
                  <w:vMerge w:val="restart"/>
                  <w:noWrap w:val="0"/>
                  <w:vAlign w:val="center"/>
                </w:tcPr>
                <w:p w14:paraId="3060AD57">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废气处理设备未及时进行清理或出现故障</w:t>
                  </w:r>
                </w:p>
              </w:tc>
              <w:tc>
                <w:tcPr>
                  <w:tcW w:w="510" w:type="pct"/>
                  <w:noWrap w:val="0"/>
                  <w:vAlign w:val="center"/>
                </w:tcPr>
                <w:p w14:paraId="2DF7DD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722" w:type="pct"/>
                  <w:noWrap w:val="0"/>
                  <w:vAlign w:val="center"/>
                </w:tcPr>
                <w:p w14:paraId="64F403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i w:val="0"/>
                      <w:iCs w:val="0"/>
                      <w:color w:val="auto"/>
                      <w:kern w:val="0"/>
                      <w:sz w:val="21"/>
                      <w:szCs w:val="21"/>
                      <w:u w:val="none"/>
                      <w:lang w:val="en-US" w:eastAsia="zh-CN" w:bidi="ar"/>
                    </w:rPr>
                    <w:t>1996</w:t>
                  </w:r>
                </w:p>
              </w:tc>
              <w:tc>
                <w:tcPr>
                  <w:tcW w:w="673" w:type="pct"/>
                  <w:noWrap w:val="0"/>
                  <w:vAlign w:val="center"/>
                </w:tcPr>
                <w:p w14:paraId="121303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i w:val="0"/>
                      <w:iCs w:val="0"/>
                      <w:color w:val="auto"/>
                      <w:kern w:val="0"/>
                      <w:sz w:val="21"/>
                      <w:szCs w:val="21"/>
                      <w:u w:val="none"/>
                      <w:lang w:val="en-US" w:eastAsia="zh-CN" w:bidi="ar"/>
                    </w:rPr>
                    <w:t>95.8</w:t>
                  </w:r>
                </w:p>
              </w:tc>
              <w:tc>
                <w:tcPr>
                  <w:tcW w:w="495" w:type="pct"/>
                  <w:noWrap w:val="0"/>
                  <w:vAlign w:val="center"/>
                </w:tcPr>
                <w:p w14:paraId="36CB2D4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w:t>
                  </w:r>
                </w:p>
              </w:tc>
              <w:tc>
                <w:tcPr>
                  <w:tcW w:w="532" w:type="pct"/>
                  <w:noWrap w:val="0"/>
                  <w:vAlign w:val="center"/>
                </w:tcPr>
                <w:p w14:paraId="0665272A">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76" w:type="pct"/>
                  <w:vMerge w:val="restart"/>
                  <w:noWrap w:val="0"/>
                  <w:vAlign w:val="center"/>
                </w:tcPr>
                <w:p w14:paraId="3FED3F95">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及时停止运行，对设备进行检修，待设备更新或修理完毕后再恢复运营</w:t>
                  </w:r>
                </w:p>
              </w:tc>
            </w:tr>
            <w:tr w14:paraId="17B0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restart"/>
                  <w:noWrap w:val="0"/>
                  <w:vAlign w:val="center"/>
                </w:tcPr>
                <w:p w14:paraId="47F3CD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77" w:type="pct"/>
                  <w:vMerge w:val="restart"/>
                  <w:noWrap w:val="0"/>
                  <w:vAlign w:val="center"/>
                </w:tcPr>
                <w:p w14:paraId="7A0CBA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DA002排气筒</w:t>
                  </w:r>
                </w:p>
              </w:tc>
              <w:tc>
                <w:tcPr>
                  <w:tcW w:w="559" w:type="pct"/>
                  <w:vMerge w:val="continue"/>
                  <w:noWrap w:val="0"/>
                  <w:vAlign w:val="center"/>
                </w:tcPr>
                <w:p w14:paraId="454A38F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eastAsia="zh-CN"/>
                    </w:rPr>
                  </w:pPr>
                </w:p>
              </w:tc>
              <w:tc>
                <w:tcPr>
                  <w:tcW w:w="510" w:type="pct"/>
                  <w:noWrap w:val="0"/>
                  <w:vAlign w:val="center"/>
                </w:tcPr>
                <w:p w14:paraId="34018A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722" w:type="pct"/>
                  <w:noWrap w:val="0"/>
                  <w:vAlign w:val="center"/>
                </w:tcPr>
                <w:p w14:paraId="4BB5B9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w w:val="10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115</w:t>
                  </w:r>
                </w:p>
              </w:tc>
              <w:tc>
                <w:tcPr>
                  <w:tcW w:w="673" w:type="pct"/>
                  <w:noWrap w:val="0"/>
                  <w:vAlign w:val="center"/>
                </w:tcPr>
                <w:p w14:paraId="6A5C62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w w:val="10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0.69</w:t>
                  </w:r>
                </w:p>
              </w:tc>
              <w:tc>
                <w:tcPr>
                  <w:tcW w:w="495" w:type="pct"/>
                  <w:noWrap w:val="0"/>
                  <w:vAlign w:val="center"/>
                </w:tcPr>
                <w:p w14:paraId="0CCF802E">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0.5</w:t>
                  </w:r>
                </w:p>
              </w:tc>
              <w:tc>
                <w:tcPr>
                  <w:tcW w:w="532" w:type="pct"/>
                  <w:noWrap w:val="0"/>
                  <w:vAlign w:val="center"/>
                </w:tcPr>
                <w:p w14:paraId="03EBDD2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76" w:type="pct"/>
                  <w:vMerge w:val="continue"/>
                  <w:noWrap w:val="0"/>
                  <w:vAlign w:val="center"/>
                </w:tcPr>
                <w:p w14:paraId="337EDF1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eastAsia="zh-CN"/>
                    </w:rPr>
                  </w:pPr>
                </w:p>
              </w:tc>
            </w:tr>
            <w:tr w14:paraId="1BDA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continue"/>
                  <w:noWrap w:val="0"/>
                  <w:vAlign w:val="center"/>
                </w:tcPr>
                <w:p w14:paraId="151F37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7" w:type="pct"/>
                  <w:vMerge w:val="continue"/>
                  <w:noWrap w:val="0"/>
                  <w:vAlign w:val="center"/>
                </w:tcPr>
                <w:p w14:paraId="00B138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559" w:type="pct"/>
                  <w:vMerge w:val="continue"/>
                  <w:noWrap w:val="0"/>
                  <w:vAlign w:val="center"/>
                </w:tcPr>
                <w:p w14:paraId="554C0AC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eastAsia="zh-CN"/>
                    </w:rPr>
                  </w:pPr>
                </w:p>
              </w:tc>
              <w:tc>
                <w:tcPr>
                  <w:tcW w:w="510" w:type="pct"/>
                  <w:noWrap w:val="0"/>
                  <w:vAlign w:val="center"/>
                </w:tcPr>
                <w:p w14:paraId="58F558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非甲烷总烃</w:t>
                  </w:r>
                </w:p>
              </w:tc>
              <w:tc>
                <w:tcPr>
                  <w:tcW w:w="722" w:type="pct"/>
                  <w:noWrap w:val="0"/>
                  <w:vAlign w:val="center"/>
                </w:tcPr>
                <w:p w14:paraId="67F028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42.5</w:t>
                  </w:r>
                </w:p>
              </w:tc>
              <w:tc>
                <w:tcPr>
                  <w:tcW w:w="673" w:type="pct"/>
                  <w:noWrap w:val="0"/>
                  <w:vAlign w:val="center"/>
                </w:tcPr>
                <w:p w14:paraId="2DC8BD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0.255</w:t>
                  </w:r>
                </w:p>
              </w:tc>
              <w:tc>
                <w:tcPr>
                  <w:tcW w:w="495" w:type="pct"/>
                  <w:noWrap w:val="0"/>
                  <w:vAlign w:val="center"/>
                </w:tcPr>
                <w:p w14:paraId="6C585A7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0.5</w:t>
                  </w:r>
                </w:p>
              </w:tc>
              <w:tc>
                <w:tcPr>
                  <w:tcW w:w="532" w:type="pct"/>
                  <w:noWrap w:val="0"/>
                  <w:vAlign w:val="center"/>
                </w:tcPr>
                <w:p w14:paraId="502DB5F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576" w:type="pct"/>
                  <w:vMerge w:val="continue"/>
                  <w:noWrap w:val="0"/>
                  <w:vAlign w:val="center"/>
                </w:tcPr>
                <w:p w14:paraId="513FC4C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eastAsia="zh-CN"/>
                    </w:rPr>
                  </w:pPr>
                </w:p>
              </w:tc>
            </w:tr>
          </w:tbl>
          <w:p w14:paraId="47675F7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由上表可知，非正常排放情况下</w:t>
            </w:r>
            <w:r>
              <w:rPr>
                <w:rFonts w:hint="default" w:ascii="Times New Roman" w:hAnsi="Times New Roman" w:eastAsia="宋体" w:cs="Times New Roman"/>
                <w:color w:val="auto"/>
                <w:sz w:val="24"/>
                <w:szCs w:val="24"/>
                <w:lang w:val="en-US" w:eastAsia="zh-CN"/>
              </w:rPr>
              <w:t>DA001、DA002废气排浓度均不能满足《涂料、油墨、胶粘剂工业大气污染物排放标准》（GB37824-2019）表1中有组织最高允许排放浓度限值，</w:t>
            </w:r>
            <w:r>
              <w:rPr>
                <w:rFonts w:hint="default" w:ascii="Times New Roman" w:hAnsi="Times New Roman" w:eastAsia="宋体" w:cs="Times New Roman"/>
                <w:color w:val="auto"/>
                <w:sz w:val="24"/>
              </w:rPr>
              <w:t>必须杜绝项目废气的非正常排放，本次评价提出以下建议措施：</w:t>
            </w:r>
          </w:p>
          <w:p w14:paraId="1C89282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①加强管理，明确岗位责任制，定期检查、维修、保养设备及构件，确保各种工艺、电气、设备的正常运转。</w:t>
            </w:r>
          </w:p>
          <w:p w14:paraId="53C59AE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②在必要位置设置监控、预警等装置，做到及时发现，及时解决。</w:t>
            </w:r>
          </w:p>
          <w:p w14:paraId="25A72F1B">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③若出现非正常情况，应及时停产维修，减少废气对大气环境的影响。</w:t>
            </w:r>
          </w:p>
          <w:p w14:paraId="64813954">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二、废水</w:t>
            </w:r>
          </w:p>
          <w:p w14:paraId="1255381A">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（1）污染源分析</w:t>
            </w:r>
          </w:p>
          <w:p w14:paraId="2B5AC5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本项目废水产排情况统计详见下表。</w:t>
            </w:r>
          </w:p>
          <w:p w14:paraId="700334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11</w:t>
            </w:r>
            <w:r>
              <w:rPr>
                <w:rFonts w:hint="default" w:ascii="Times New Roman" w:hAnsi="Times New Roman" w:eastAsia="宋体" w:cs="Times New Roman"/>
                <w:b/>
                <w:bCs/>
                <w:color w:val="auto"/>
                <w:sz w:val="21"/>
                <w:szCs w:val="21"/>
                <w:lang w:val="en-US" w:eastAsia="zh-CN"/>
              </w:rPr>
              <w:t xml:space="preserve"> 废水排放分析表</w:t>
            </w:r>
          </w:p>
          <w:tbl>
            <w:tblPr>
              <w:tblStyle w:val="28"/>
              <w:tblW w:w="0" w:type="auto"/>
              <w:tblInd w:w="-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2"/>
              <w:gridCol w:w="909"/>
              <w:gridCol w:w="645"/>
              <w:gridCol w:w="752"/>
              <w:gridCol w:w="850"/>
              <w:gridCol w:w="752"/>
              <w:gridCol w:w="752"/>
              <w:gridCol w:w="752"/>
              <w:gridCol w:w="752"/>
              <w:gridCol w:w="948"/>
              <w:gridCol w:w="885"/>
            </w:tblGrid>
            <w:tr w14:paraId="41EC6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EFB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产污排污环节</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8C050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生活污水、生产污水</w:t>
                  </w:r>
                </w:p>
              </w:tc>
            </w:tr>
            <w:tr w14:paraId="04807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834B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产生量（</w:t>
                  </w:r>
                  <w:r>
                    <w:rPr>
                      <w:rFonts w:hint="default" w:ascii="Times New Roman" w:hAnsi="Times New Roman" w:eastAsia="宋体" w:cs="Times New Roman"/>
                      <w:b/>
                      <w:bCs/>
                      <w:i w:val="0"/>
                      <w:iCs w:val="0"/>
                      <w:color w:val="000000"/>
                      <w:kern w:val="0"/>
                      <w:sz w:val="21"/>
                      <w:szCs w:val="21"/>
                      <w:u w:val="none"/>
                      <w:lang w:val="en-US" w:eastAsia="zh-CN" w:bidi="ar"/>
                    </w:rPr>
                    <w:t>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/a</w:t>
                  </w:r>
                  <w:r>
                    <w:rPr>
                      <w:rFonts w:hint="eastAsia" w:ascii="宋体" w:hAnsi="宋体" w:eastAsia="宋体" w:cs="宋体"/>
                      <w:b/>
                      <w:bCs/>
                      <w:i w:val="0"/>
                      <w:iCs w:val="0"/>
                      <w:color w:val="000000"/>
                      <w:kern w:val="0"/>
                      <w:sz w:val="21"/>
                      <w:szCs w:val="21"/>
                      <w:u w:val="none"/>
                      <w:lang w:val="en-US" w:eastAsia="zh-CN" w:bidi="ar"/>
                    </w:rPr>
                    <w:t>）</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8D0B0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12526</w:t>
                  </w:r>
                </w:p>
              </w:tc>
            </w:tr>
            <w:tr w14:paraId="60675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B45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污染物种类</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4F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20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悬浮物</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2C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CODcr</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37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11"/>
                      <w:szCs w:val="11"/>
                      <w:u w:val="none"/>
                      <w:lang w:val="en-US" w:eastAsia="zh-CN" w:bidi="ar"/>
                    </w:rPr>
                    <w:t>5</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3B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41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石油</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8B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LAS</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5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9A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w:t>
                  </w:r>
                </w:p>
              </w:tc>
            </w:tr>
            <w:tr w14:paraId="3AA07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6CE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污染物产生量（</w:t>
                  </w:r>
                  <w:r>
                    <w:rPr>
                      <w:rFonts w:hint="default" w:ascii="Times New Roman" w:hAnsi="Times New Roman" w:eastAsia="宋体" w:cs="Times New Roman"/>
                      <w:b/>
                      <w:bCs/>
                      <w:i w:val="0"/>
                      <w:iCs w:val="0"/>
                      <w:color w:val="000000"/>
                      <w:kern w:val="0"/>
                      <w:sz w:val="21"/>
                      <w:szCs w:val="21"/>
                      <w:u w:val="none"/>
                      <w:lang w:val="en-US" w:eastAsia="zh-CN" w:bidi="ar"/>
                    </w:rPr>
                    <w:t>t/a</w:t>
                  </w:r>
                  <w:r>
                    <w:rPr>
                      <w:rFonts w:hint="eastAsia" w:ascii="宋体" w:hAnsi="宋体" w:eastAsia="宋体" w:cs="宋体"/>
                      <w:b/>
                      <w:bCs/>
                      <w:i w:val="0"/>
                      <w:iCs w:val="0"/>
                      <w:color w:val="000000"/>
                      <w:kern w:val="0"/>
                      <w:sz w:val="21"/>
                      <w:szCs w:val="21"/>
                      <w:u w:val="none"/>
                      <w:lang w:val="en-US" w:eastAsia="zh-CN"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086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27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1.428 </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E9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19.177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0C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2.505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0A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0.178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FE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0.036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B3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0.034 </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79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0FAF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0.065 </w:t>
                  </w:r>
                </w:p>
              </w:tc>
            </w:tr>
            <w:tr w14:paraId="0B319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625E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污染物产生浓度（</w:t>
                  </w:r>
                  <w:r>
                    <w:rPr>
                      <w:rFonts w:hint="default" w:ascii="Times New Roman" w:hAnsi="Times New Roman" w:eastAsia="宋体" w:cs="Times New Roman"/>
                      <w:b/>
                      <w:bCs/>
                      <w:i w:val="0"/>
                      <w:iCs w:val="0"/>
                      <w:color w:val="000000"/>
                      <w:kern w:val="0"/>
                      <w:sz w:val="21"/>
                      <w:szCs w:val="21"/>
                      <w:u w:val="none"/>
                      <w:lang w:val="en-US" w:eastAsia="zh-CN" w:bidi="ar"/>
                    </w:rPr>
                    <w:t>mg/L</w:t>
                  </w:r>
                  <w:r>
                    <w:rPr>
                      <w:rFonts w:hint="eastAsia" w:ascii="宋体" w:hAnsi="宋体" w:eastAsia="宋体" w:cs="宋体"/>
                      <w:b/>
                      <w:bCs/>
                      <w:i w:val="0"/>
                      <w:iCs w:val="0"/>
                      <w:color w:val="000000"/>
                      <w:kern w:val="0"/>
                      <w:sz w:val="21"/>
                      <w:szCs w:val="21"/>
                      <w:u w:val="none"/>
                      <w:lang w:val="en-US" w:eastAsia="zh-CN"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98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26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9E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1531</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7A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D3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18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C6C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2.74</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A38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0.0094</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CF5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5.15</w:t>
                  </w:r>
                </w:p>
              </w:tc>
            </w:tr>
            <w:tr w14:paraId="5F47E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3580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排放形式</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C71D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间接排放</w:t>
                  </w:r>
                </w:p>
              </w:tc>
            </w:tr>
            <w:tr w14:paraId="4C8E2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FF2F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治理设施</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7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处理能力</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A8272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1F2C7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D7D2F">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64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收集效率（</w:t>
                  </w:r>
                  <w:r>
                    <w:rPr>
                      <w:rFonts w:hint="default" w:ascii="Times New Roman" w:hAnsi="Times New Roman" w:eastAsia="宋体" w:cs="Times New Roman"/>
                      <w:b/>
                      <w:bCs/>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71F0F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r>
            <w:tr w14:paraId="68F2D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6096B">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49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治理工艺</w:t>
                  </w:r>
                </w:p>
              </w:tc>
              <w:tc>
                <w:tcPr>
                  <w:tcW w:w="620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94467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混凝沉淀</w:t>
                  </w:r>
                  <w:r>
                    <w:rPr>
                      <w:rFonts w:hint="default" w:ascii="Times New Roman" w:hAnsi="Times New Roman" w:eastAsia="宋体" w:cs="Times New Roman"/>
                      <w:i w:val="0"/>
                      <w:iCs w:val="0"/>
                      <w:color w:val="000000"/>
                      <w:kern w:val="0"/>
                      <w:sz w:val="21"/>
                      <w:szCs w:val="21"/>
                      <w:u w:val="none"/>
                      <w:lang w:val="en-US" w:eastAsia="zh-CN" w:bidi="ar"/>
                    </w:rPr>
                    <w:t xml:space="preserve">+UASB </w:t>
                  </w:r>
                  <w:r>
                    <w:rPr>
                      <w:rFonts w:hint="eastAsia" w:ascii="宋体" w:hAnsi="宋体" w:eastAsia="宋体" w:cs="宋体"/>
                      <w:i w:val="0"/>
                      <w:iCs w:val="0"/>
                      <w:color w:val="000000"/>
                      <w:kern w:val="0"/>
                      <w:sz w:val="21"/>
                      <w:szCs w:val="21"/>
                      <w:u w:val="none"/>
                      <w:lang w:val="en-US" w:eastAsia="zh-CN" w:bidi="ar"/>
                    </w:rPr>
                    <w:t>反应</w:t>
                  </w:r>
                  <w:r>
                    <w:rPr>
                      <w:rFonts w:hint="default" w:ascii="Times New Roman" w:hAnsi="Times New Roman" w:eastAsia="宋体" w:cs="Times New Roman"/>
                      <w:i w:val="0"/>
                      <w:iCs w:val="0"/>
                      <w:color w:val="000000"/>
                      <w:kern w:val="0"/>
                      <w:sz w:val="21"/>
                      <w:szCs w:val="21"/>
                      <w:u w:val="none"/>
                      <w:lang w:val="en-US" w:eastAsia="zh-CN" w:bidi="ar"/>
                    </w:rPr>
                    <w:t>+MBR</w:t>
                  </w:r>
                  <w:r>
                    <w:rPr>
                      <w:rFonts w:hint="eastAsia" w:ascii="宋体" w:hAnsi="宋体" w:eastAsia="宋体" w:cs="宋体"/>
                      <w:i w:val="0"/>
                      <w:iCs w:val="0"/>
                      <w:color w:val="000000"/>
                      <w:kern w:val="0"/>
                      <w:sz w:val="21"/>
                      <w:szCs w:val="21"/>
                      <w:u w:val="none"/>
                      <w:lang w:val="en-US" w:eastAsia="zh-CN" w:bidi="ar"/>
                    </w:rPr>
                    <w:t>膜池</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157FB">
                  <w:pPr>
                    <w:keepNext w:val="0"/>
                    <w:keepLines w:val="0"/>
                    <w:suppressLineNumbers w:val="0"/>
                    <w:spacing w:before="0" w:beforeAutospacing="0" w:after="0" w:afterAutospacing="0"/>
                    <w:ind w:left="0" w:right="0"/>
                    <w:rPr>
                      <w:rFonts w:hint="eastAsia" w:ascii="宋体" w:hAnsi="宋体" w:eastAsia="宋体" w:cs="宋体"/>
                      <w:i w:val="0"/>
                      <w:iCs w:val="0"/>
                      <w:color w:val="000000"/>
                      <w:sz w:val="24"/>
                      <w:szCs w:val="24"/>
                      <w:u w:val="none"/>
                    </w:rPr>
                  </w:pPr>
                </w:p>
              </w:tc>
            </w:tr>
            <w:tr w14:paraId="41064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A9C11">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E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治理效率</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EB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A2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89.91 </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6C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93.89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B2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90.85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84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99.99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73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99.99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5A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93.43 </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92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99.99 </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20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44.08 </w:t>
                  </w:r>
                </w:p>
              </w:tc>
            </w:tr>
            <w:tr w14:paraId="4F633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86C11">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1B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是否为可行技术</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18F756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u w:val="none"/>
                      <w:lang w:val="en-US" w:eastAsia="zh-CN" w:bidi="ar"/>
                    </w:rPr>
                    <w:t>是</w:t>
                  </w:r>
                </w:p>
              </w:tc>
            </w:tr>
            <w:tr w14:paraId="021B0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0D8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污染物排放量（</w:t>
                  </w:r>
                  <w:r>
                    <w:rPr>
                      <w:rFonts w:hint="default" w:ascii="Times New Roman" w:hAnsi="Times New Roman" w:eastAsia="宋体" w:cs="Times New Roman"/>
                      <w:b/>
                      <w:bCs/>
                      <w:i w:val="0"/>
                      <w:iCs w:val="0"/>
                      <w:color w:val="000000"/>
                      <w:kern w:val="0"/>
                      <w:sz w:val="21"/>
                      <w:szCs w:val="21"/>
                      <w:u w:val="none"/>
                      <w:lang w:val="en-US" w:eastAsia="zh-CN" w:bidi="ar"/>
                    </w:rPr>
                    <w:t>t/a</w:t>
                  </w:r>
                  <w:r>
                    <w:rPr>
                      <w:rFonts w:hint="eastAsia" w:ascii="宋体" w:hAnsi="宋体" w:eastAsia="宋体" w:cs="宋体"/>
                      <w:b/>
                      <w:bCs/>
                      <w:i w:val="0"/>
                      <w:iCs w:val="0"/>
                      <w:color w:val="000000"/>
                      <w:kern w:val="0"/>
                      <w:sz w:val="21"/>
                      <w:szCs w:val="21"/>
                      <w:u w:val="none"/>
                      <w:lang w:val="en-US" w:eastAsia="zh-CN"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8A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E3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0.144 </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FA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1.171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FF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0.229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8A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B55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4B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AE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E8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0.036 </w:t>
                  </w:r>
                </w:p>
              </w:tc>
            </w:tr>
            <w:tr w14:paraId="7C098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2B57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污染物排放浓度（</w:t>
                  </w:r>
                  <w:r>
                    <w:rPr>
                      <w:rFonts w:hint="default" w:ascii="Times New Roman" w:hAnsi="Times New Roman" w:eastAsia="宋体" w:cs="Times New Roman"/>
                      <w:b/>
                      <w:bCs/>
                      <w:i w:val="0"/>
                      <w:iCs w:val="0"/>
                      <w:color w:val="000000"/>
                      <w:kern w:val="0"/>
                      <w:sz w:val="21"/>
                      <w:szCs w:val="21"/>
                      <w:u w:val="none"/>
                      <w:lang w:val="en-US" w:eastAsia="zh-CN" w:bidi="ar"/>
                    </w:rPr>
                    <w:t>mg/L</w:t>
                  </w:r>
                  <w:r>
                    <w:rPr>
                      <w:rFonts w:hint="eastAsia" w:ascii="宋体" w:hAnsi="宋体" w:eastAsia="宋体" w:cs="宋体"/>
                      <w:b/>
                      <w:bCs/>
                      <w:i w:val="0"/>
                      <w:iCs w:val="0"/>
                      <w:color w:val="000000"/>
                      <w:kern w:val="0"/>
                      <w:sz w:val="21"/>
                      <w:szCs w:val="21"/>
                      <w:u w:val="none"/>
                      <w:lang w:val="en-US" w:eastAsia="zh-CN"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B4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B1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EE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93.5</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4A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AA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05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EA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40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0.0007</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642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2.88</w:t>
                  </w:r>
                </w:p>
              </w:tc>
            </w:tr>
            <w:tr w14:paraId="20F8C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E4D3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排放去向</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7449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生活污水经隔油池、化粪池预处理后同生产废水一并进入自建污水处理系统，处理达《污水排入城镇下水道水质标准》（</w:t>
                  </w:r>
                  <w:r>
                    <w:rPr>
                      <w:rFonts w:hint="default" w:ascii="Times New Roman" w:hAnsi="Times New Roman" w:eastAsia="宋体" w:cs="Times New Roman"/>
                      <w:i w:val="0"/>
                      <w:iCs w:val="0"/>
                      <w:color w:val="000000"/>
                      <w:kern w:val="0"/>
                      <w:sz w:val="21"/>
                      <w:szCs w:val="21"/>
                      <w:u w:val="none"/>
                      <w:lang w:val="en-US" w:eastAsia="zh-CN" w:bidi="ar"/>
                    </w:rPr>
                    <w:t>GB/T131962-2015</w:t>
                  </w:r>
                  <w:r>
                    <w:rPr>
                      <w:rFonts w:hint="eastAsia" w:ascii="宋体" w:hAnsi="宋体" w:eastAsia="宋体" w:cs="宋体"/>
                      <w:i w:val="0"/>
                      <w:iCs w:val="0"/>
                      <w:color w:val="000000"/>
                      <w:kern w:val="0"/>
                      <w:sz w:val="21"/>
                      <w:szCs w:val="21"/>
                      <w:u w:val="none"/>
                      <w:lang w:val="en-US" w:eastAsia="zh-CN" w:bidi="ar"/>
                    </w:rPr>
                    <w:t>）表</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中</w:t>
                  </w:r>
                  <w:r>
                    <w:rPr>
                      <w:rFonts w:hint="default" w:ascii="Times New Roman" w:hAnsi="Times New Roman" w:eastAsia="宋体" w:cs="Times New Roman"/>
                      <w:i w:val="0"/>
                      <w:iCs w:val="0"/>
                      <w:color w:val="000000"/>
                      <w:kern w:val="0"/>
                      <w:sz w:val="21"/>
                      <w:szCs w:val="21"/>
                      <w:u w:val="none"/>
                      <w:lang w:val="en-US" w:eastAsia="zh-CN" w:bidi="ar"/>
                    </w:rPr>
                    <w:t>A</w:t>
                  </w:r>
                  <w:r>
                    <w:rPr>
                      <w:rFonts w:hint="eastAsia" w:ascii="宋体" w:hAnsi="宋体" w:eastAsia="宋体" w:cs="宋体"/>
                      <w:i w:val="0"/>
                      <w:iCs w:val="0"/>
                      <w:color w:val="000000"/>
                      <w:kern w:val="0"/>
                      <w:sz w:val="21"/>
                      <w:szCs w:val="21"/>
                      <w:u w:val="none"/>
                      <w:lang w:val="en-US" w:eastAsia="zh-CN" w:bidi="ar"/>
                    </w:rPr>
                    <w:t>级标准后进入园区污水管网，最终进入富民工业园区哨箐机械加工园污水处理厂。</w:t>
                  </w:r>
                </w:p>
              </w:tc>
            </w:tr>
            <w:tr w14:paraId="4F010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A19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排放规律</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36C3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间歇排放</w:t>
                  </w:r>
                </w:p>
              </w:tc>
            </w:tr>
            <w:tr w14:paraId="29252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CB33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编号及名称</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320D6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DW001</w:t>
                  </w:r>
                </w:p>
              </w:tc>
            </w:tr>
            <w:tr w14:paraId="542AD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8ECD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类型</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58229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一般排放口</w:t>
                  </w:r>
                </w:p>
              </w:tc>
            </w:tr>
            <w:tr w14:paraId="39026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4AB2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地理坐标</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5B29C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102°27′44.88″</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25°16′12.62″</w:t>
                  </w:r>
                </w:p>
              </w:tc>
            </w:tr>
            <w:tr w14:paraId="58BF5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DF1A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监测点位</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D5C3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污水处理系统出口</w:t>
                  </w:r>
                </w:p>
              </w:tc>
            </w:tr>
            <w:tr w14:paraId="1851E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1EE5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监测因子</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772AA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COD</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SS</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r>
                    <w:rPr>
                      <w:rFonts w:hint="eastAsia" w:ascii="宋体" w:hAnsi="宋体" w:eastAsia="宋体" w:cs="宋体"/>
                      <w:i w:val="0"/>
                      <w:iCs w:val="0"/>
                      <w:color w:val="000000"/>
                      <w:kern w:val="0"/>
                      <w:sz w:val="21"/>
                      <w:szCs w:val="21"/>
                      <w:u w:val="none"/>
                      <w:lang w:val="en-US" w:eastAsia="zh-CN" w:bidi="ar"/>
                    </w:rPr>
                    <w:t>、总磷、总氮、动植物油、总磷、总氮</w:t>
                  </w:r>
                </w:p>
              </w:tc>
            </w:tr>
            <w:tr w14:paraId="47A8E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D7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监测频次</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2CE8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根据《排污单位自行监测技术指南</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涂料油墨制造》（</w:t>
                  </w:r>
                  <w:r>
                    <w:rPr>
                      <w:rFonts w:hint="default" w:ascii="Times New Roman" w:hAnsi="Times New Roman" w:eastAsia="宋体" w:cs="Times New Roman"/>
                      <w:i w:val="0"/>
                      <w:iCs w:val="0"/>
                      <w:color w:val="000000"/>
                      <w:kern w:val="0"/>
                      <w:sz w:val="21"/>
                      <w:szCs w:val="21"/>
                      <w:u w:val="none"/>
                      <w:lang w:val="en-US" w:eastAsia="zh-CN" w:bidi="ar"/>
                    </w:rPr>
                    <w:t>HJ1087-2020</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次</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半年</w:t>
                  </w:r>
                </w:p>
              </w:tc>
            </w:tr>
            <w:tr w14:paraId="54F31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E8B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执行标准</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EA8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《污水排入城镇下水道水质标准》（</w:t>
                  </w:r>
                  <w:r>
                    <w:rPr>
                      <w:rFonts w:hint="default" w:ascii="Times New Roman" w:hAnsi="Times New Roman" w:eastAsia="宋体" w:cs="Times New Roman"/>
                      <w:i w:val="0"/>
                      <w:iCs w:val="0"/>
                      <w:color w:val="000000"/>
                      <w:kern w:val="0"/>
                      <w:sz w:val="21"/>
                      <w:szCs w:val="21"/>
                      <w:u w:val="none"/>
                      <w:lang w:val="en-US" w:eastAsia="zh-CN" w:bidi="ar"/>
                    </w:rPr>
                    <w:t>GB/T131962-2015</w:t>
                  </w:r>
                  <w:r>
                    <w:rPr>
                      <w:rFonts w:hint="eastAsia" w:ascii="宋体" w:hAnsi="宋体" w:eastAsia="宋体" w:cs="宋体"/>
                      <w:i w:val="0"/>
                      <w:iCs w:val="0"/>
                      <w:color w:val="000000"/>
                      <w:kern w:val="0"/>
                      <w:sz w:val="21"/>
                      <w:szCs w:val="21"/>
                      <w:u w:val="none"/>
                      <w:lang w:val="en-US" w:eastAsia="zh-CN" w:bidi="ar"/>
                    </w:rPr>
                    <w:t>）表</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中</w:t>
                  </w:r>
                  <w:r>
                    <w:rPr>
                      <w:rFonts w:hint="default" w:ascii="Times New Roman" w:hAnsi="Times New Roman" w:eastAsia="宋体" w:cs="Times New Roman"/>
                      <w:i w:val="0"/>
                      <w:iCs w:val="0"/>
                      <w:color w:val="000000"/>
                      <w:kern w:val="0"/>
                      <w:sz w:val="21"/>
                      <w:szCs w:val="21"/>
                      <w:u w:val="none"/>
                      <w:lang w:val="en-US" w:eastAsia="zh-CN" w:bidi="ar"/>
                    </w:rPr>
                    <w:t>A</w:t>
                  </w:r>
                  <w:r>
                    <w:rPr>
                      <w:rFonts w:hint="eastAsia" w:ascii="宋体" w:hAnsi="宋体" w:eastAsia="宋体" w:cs="宋体"/>
                      <w:i w:val="0"/>
                      <w:iCs w:val="0"/>
                      <w:color w:val="000000"/>
                      <w:kern w:val="0"/>
                      <w:sz w:val="21"/>
                      <w:szCs w:val="21"/>
                      <w:u w:val="none"/>
                      <w:lang w:val="en-US" w:eastAsia="zh-CN" w:bidi="ar"/>
                    </w:rPr>
                    <w:t>级标准</w:t>
                  </w:r>
                </w:p>
              </w:tc>
            </w:tr>
          </w:tbl>
          <w:p w14:paraId="58E3E2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本项目实行雨污分流，厂区内初期雨水经初期雨水收集池收集、沉淀后进入园区污水管网，设置阀门，15分钟之后的</w:t>
            </w:r>
            <w:r>
              <w:rPr>
                <w:rFonts w:hint="default" w:ascii="Times New Roman" w:hAnsi="Times New Roman" w:eastAsia="宋体" w:cs="Times New Roman"/>
                <w:color w:val="auto"/>
                <w:sz w:val="24"/>
                <w:szCs w:val="24"/>
              </w:rPr>
              <w:t>雨水排入园区雨水管网。</w:t>
            </w:r>
          </w:p>
          <w:p w14:paraId="4905FD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本项目废水主要包括生活废水和生产废水。</w:t>
            </w:r>
          </w:p>
          <w:p w14:paraId="3ED9731A">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（3）废水产排情况</w:t>
            </w:r>
          </w:p>
          <w:p w14:paraId="3DFF20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根据水平衡分析，项目运营期工作人员办公生活废水和食堂废水产生量为14.4m³/d，</w:t>
            </w:r>
            <w:r>
              <w:rPr>
                <w:rFonts w:hint="eastAsia" w:cs="Times New Roman"/>
                <w:color w:val="auto"/>
                <w:sz w:val="24"/>
                <w:szCs w:val="24"/>
                <w:lang w:val="en-US" w:eastAsia="zh-CN"/>
              </w:rPr>
              <w:t>4320</w:t>
            </w:r>
            <w:r>
              <w:rPr>
                <w:rFonts w:hint="default" w:ascii="Times New Roman" w:hAnsi="Times New Roman" w:eastAsia="宋体" w:cs="Times New Roman"/>
                <w:color w:val="auto"/>
                <w:sz w:val="24"/>
                <w:szCs w:val="24"/>
                <w:lang w:val="en-US" w:eastAsia="zh-CN"/>
              </w:rPr>
              <w:t>m³/a，生产废水产生量为13.76m³/d，</w:t>
            </w:r>
            <w:r>
              <w:rPr>
                <w:rFonts w:hint="eastAsia" w:cs="Times New Roman"/>
                <w:color w:val="auto"/>
                <w:sz w:val="24"/>
                <w:szCs w:val="24"/>
                <w:lang w:val="en-US" w:eastAsia="zh-CN"/>
              </w:rPr>
              <w:t>8206</w:t>
            </w:r>
            <w:r>
              <w:rPr>
                <w:rFonts w:hint="default" w:ascii="Times New Roman" w:hAnsi="Times New Roman" w:eastAsia="宋体" w:cs="Times New Roman"/>
                <w:color w:val="auto"/>
                <w:sz w:val="24"/>
                <w:szCs w:val="24"/>
                <w:lang w:val="en-US" w:eastAsia="zh-CN"/>
              </w:rPr>
              <w:t>m³/a。本项目生活污水经隔油池化粪池预处理后，与各清洗废水一同进入自建的污水处理系统进行处理，处理达《污水排入城镇下水道水质标准》（GB/T131962-2015）表1中A级标准后进入园区污水管网。厂区内已设置1个处理规模为50m³/d，处理工艺为“混凝沉淀+UASB 反应+MBR 膜池”的污水处理系统。本项目扩建完成后污水产生量为28.16m³/d，在已建成污水处理系统的处理范围内，且扩建项目生产工艺、原辅材料种类均不发生变化，污染因子不发生变化，</w:t>
            </w:r>
            <w:r>
              <w:rPr>
                <w:rFonts w:hint="eastAsia" w:cs="Times New Roman"/>
                <w:color w:val="auto"/>
                <w:sz w:val="24"/>
                <w:szCs w:val="24"/>
                <w:lang w:val="en-US" w:eastAsia="zh-CN"/>
              </w:rPr>
              <w:t>因此污水处理系统进出口污染物浓度引用原项目竣工环境保护验收的监测数据，具体的监测</w:t>
            </w:r>
            <w:r>
              <w:rPr>
                <w:rFonts w:hint="default" w:ascii="Times New Roman" w:hAnsi="Times New Roman" w:eastAsia="宋体" w:cs="Times New Roman"/>
                <w:color w:val="auto"/>
                <w:sz w:val="24"/>
                <w:lang w:eastAsia="zh-CN"/>
              </w:rPr>
              <w:t>数据</w:t>
            </w:r>
            <w:r>
              <w:rPr>
                <w:rFonts w:hint="eastAsia" w:cs="Times New Roman"/>
                <w:color w:val="auto"/>
                <w:sz w:val="24"/>
                <w:lang w:eastAsia="zh-CN"/>
              </w:rPr>
              <w:t>见下面</w:t>
            </w:r>
            <w:r>
              <w:rPr>
                <w:rFonts w:hint="default" w:ascii="Times New Roman" w:hAnsi="Times New Roman" w:eastAsia="宋体" w:cs="Times New Roman"/>
                <w:color w:val="auto"/>
                <w:sz w:val="24"/>
                <w:lang w:eastAsia="zh-CN"/>
              </w:rPr>
              <w:t>。</w:t>
            </w:r>
          </w:p>
          <w:p w14:paraId="2B98F4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 xml:space="preserve">表4-12 </w:t>
            </w:r>
            <w:r>
              <w:rPr>
                <w:rFonts w:hint="default" w:ascii="Times New Roman" w:hAnsi="Times New Roman" w:eastAsia="宋体" w:cs="Times New Roman"/>
                <w:b/>
                <w:bCs/>
                <w:color w:val="auto"/>
                <w:sz w:val="21"/>
                <w:szCs w:val="21"/>
                <w:lang w:val="en-US" w:eastAsia="zh-CN"/>
              </w:rPr>
              <w:t>项目污水处理系统</w:t>
            </w:r>
            <w:r>
              <w:rPr>
                <w:rFonts w:hint="eastAsia" w:cs="Times New Roman"/>
                <w:b/>
                <w:bCs/>
                <w:color w:val="auto"/>
                <w:sz w:val="21"/>
                <w:szCs w:val="21"/>
                <w:lang w:val="en-US" w:eastAsia="zh-CN"/>
              </w:rPr>
              <w:t>进</w:t>
            </w:r>
            <w:r>
              <w:rPr>
                <w:rFonts w:hint="default" w:ascii="Times New Roman" w:hAnsi="Times New Roman" w:eastAsia="宋体" w:cs="Times New Roman"/>
                <w:b/>
                <w:bCs/>
                <w:color w:val="auto"/>
                <w:sz w:val="21"/>
                <w:szCs w:val="21"/>
                <w:lang w:val="en-US" w:eastAsia="zh-CN"/>
              </w:rPr>
              <w:t>出水水质</w:t>
            </w:r>
            <w:r>
              <w:rPr>
                <w:rFonts w:hint="eastAsia" w:cs="Times New Roman"/>
                <w:b/>
                <w:bCs/>
                <w:color w:val="auto"/>
                <w:sz w:val="21"/>
                <w:szCs w:val="21"/>
                <w:lang w:val="en-US" w:eastAsia="zh-CN"/>
              </w:rPr>
              <w:t>状况</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8"/>
              <w:gridCol w:w="604"/>
              <w:gridCol w:w="612"/>
              <w:gridCol w:w="868"/>
              <w:gridCol w:w="698"/>
              <w:gridCol w:w="819"/>
              <w:gridCol w:w="777"/>
              <w:gridCol w:w="797"/>
              <w:gridCol w:w="807"/>
              <w:gridCol w:w="585"/>
              <w:gridCol w:w="576"/>
            </w:tblGrid>
            <w:tr w14:paraId="7079C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6C207DB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监测点</w:t>
                  </w:r>
                </w:p>
              </w:tc>
              <w:tc>
                <w:tcPr>
                  <w:tcW w:w="722" w:type="pct"/>
                  <w:gridSpan w:val="2"/>
                  <w:vAlign w:val="center"/>
                </w:tcPr>
                <w:p w14:paraId="66771E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污水处理设施进口</w:t>
                  </w:r>
                </w:p>
              </w:tc>
              <w:tc>
                <w:tcPr>
                  <w:tcW w:w="2828" w:type="pct"/>
                  <w:gridSpan w:val="6"/>
                  <w:vAlign w:val="center"/>
                </w:tcPr>
                <w:p w14:paraId="1353465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污水处理设施出口</w:t>
                  </w:r>
                </w:p>
              </w:tc>
              <w:tc>
                <w:tcPr>
                  <w:tcW w:w="347" w:type="pct"/>
                  <w:vMerge w:val="restart"/>
                  <w:vAlign w:val="center"/>
                </w:tcPr>
                <w:p w14:paraId="7EC2A2F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进口平均值</w:t>
                  </w:r>
                </w:p>
              </w:tc>
              <w:tc>
                <w:tcPr>
                  <w:tcW w:w="342" w:type="pct"/>
                  <w:vMerge w:val="restart"/>
                  <w:vAlign w:val="center"/>
                </w:tcPr>
                <w:p w14:paraId="5314F41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出口平均值</w:t>
                  </w:r>
                </w:p>
              </w:tc>
            </w:tr>
            <w:tr w14:paraId="7A501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Merge w:val="restart"/>
                  <w:vAlign w:val="center"/>
                </w:tcPr>
                <w:p w14:paraId="6301BA3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时间</w:t>
                  </w:r>
                </w:p>
                <w:p w14:paraId="504F7F7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指标</w:t>
                  </w:r>
                </w:p>
              </w:tc>
              <w:tc>
                <w:tcPr>
                  <w:tcW w:w="359" w:type="pct"/>
                  <w:vMerge w:val="restart"/>
                  <w:vAlign w:val="center"/>
                </w:tcPr>
                <w:p w14:paraId="226FB4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09:20</w:t>
                  </w:r>
                </w:p>
              </w:tc>
              <w:tc>
                <w:tcPr>
                  <w:tcW w:w="362" w:type="pct"/>
                  <w:vMerge w:val="restart"/>
                  <w:vAlign w:val="center"/>
                </w:tcPr>
                <w:p w14:paraId="0D77B9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09:05</w:t>
                  </w:r>
                </w:p>
              </w:tc>
              <w:tc>
                <w:tcPr>
                  <w:tcW w:w="1415" w:type="pct"/>
                  <w:gridSpan w:val="3"/>
                  <w:vAlign w:val="center"/>
                </w:tcPr>
                <w:p w14:paraId="4A2DFDA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2019.05.08</w:t>
                  </w:r>
                </w:p>
              </w:tc>
              <w:tc>
                <w:tcPr>
                  <w:tcW w:w="1412" w:type="pct"/>
                  <w:gridSpan w:val="3"/>
                  <w:vAlign w:val="center"/>
                </w:tcPr>
                <w:p w14:paraId="4EFB8E0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2019.05.09</w:t>
                  </w:r>
                </w:p>
              </w:tc>
              <w:tc>
                <w:tcPr>
                  <w:tcW w:w="347" w:type="pct"/>
                  <w:vMerge w:val="continue"/>
                  <w:tcBorders>
                    <w:top w:val="nil"/>
                  </w:tcBorders>
                  <w:vAlign w:val="center"/>
                </w:tcPr>
                <w:p w14:paraId="0B9902E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42" w:type="pct"/>
                  <w:vMerge w:val="continue"/>
                  <w:tcBorders>
                    <w:top w:val="nil"/>
                  </w:tcBorders>
                  <w:vAlign w:val="center"/>
                </w:tcPr>
                <w:p w14:paraId="43C2946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r>
            <w:tr w14:paraId="58862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759" w:type="pct"/>
                  <w:vMerge w:val="continue"/>
                  <w:tcBorders>
                    <w:top w:val="nil"/>
                  </w:tcBorders>
                  <w:vAlign w:val="center"/>
                </w:tcPr>
                <w:p w14:paraId="1B2F4EE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59" w:type="pct"/>
                  <w:vMerge w:val="continue"/>
                  <w:tcBorders>
                    <w:top w:val="nil"/>
                  </w:tcBorders>
                  <w:vAlign w:val="center"/>
                </w:tcPr>
                <w:p w14:paraId="3EA95F2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62" w:type="pct"/>
                  <w:vMerge w:val="continue"/>
                  <w:tcBorders>
                    <w:top w:val="nil"/>
                  </w:tcBorders>
                  <w:vAlign w:val="center"/>
                </w:tcPr>
                <w:p w14:paraId="226F8F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515" w:type="pct"/>
                  <w:vAlign w:val="center"/>
                </w:tcPr>
                <w:p w14:paraId="33B827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09:10</w:t>
                  </w:r>
                </w:p>
              </w:tc>
              <w:tc>
                <w:tcPr>
                  <w:tcW w:w="414" w:type="pct"/>
                  <w:vAlign w:val="center"/>
                </w:tcPr>
                <w:p w14:paraId="6F5D717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w w:val="95"/>
                      <w:sz w:val="21"/>
                    </w:rPr>
                    <w:t>10:10</w:t>
                  </w:r>
                </w:p>
              </w:tc>
              <w:tc>
                <w:tcPr>
                  <w:tcW w:w="486" w:type="pct"/>
                  <w:vAlign w:val="center"/>
                </w:tcPr>
                <w:p w14:paraId="1E93DA8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11:10</w:t>
                  </w:r>
                </w:p>
              </w:tc>
              <w:tc>
                <w:tcPr>
                  <w:tcW w:w="461" w:type="pct"/>
                  <w:vAlign w:val="center"/>
                </w:tcPr>
                <w:p w14:paraId="56F5B67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09:12</w:t>
                  </w:r>
                </w:p>
              </w:tc>
              <w:tc>
                <w:tcPr>
                  <w:tcW w:w="473" w:type="pct"/>
                  <w:vAlign w:val="center"/>
                </w:tcPr>
                <w:p w14:paraId="559146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10:15</w:t>
                  </w:r>
                </w:p>
              </w:tc>
              <w:tc>
                <w:tcPr>
                  <w:tcW w:w="477" w:type="pct"/>
                  <w:vAlign w:val="center"/>
                </w:tcPr>
                <w:p w14:paraId="5350DA4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11:10</w:t>
                  </w:r>
                </w:p>
              </w:tc>
              <w:tc>
                <w:tcPr>
                  <w:tcW w:w="347" w:type="pct"/>
                  <w:vMerge w:val="continue"/>
                  <w:tcBorders>
                    <w:top w:val="nil"/>
                  </w:tcBorders>
                  <w:vAlign w:val="center"/>
                </w:tcPr>
                <w:p w14:paraId="4061A9C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42" w:type="pct"/>
                  <w:vMerge w:val="continue"/>
                  <w:tcBorders>
                    <w:top w:val="nil"/>
                  </w:tcBorders>
                  <w:vAlign w:val="center"/>
                </w:tcPr>
                <w:p w14:paraId="2220DF5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r>
            <w:tr w14:paraId="208E6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3E3C49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pH(无量纲)</w:t>
                  </w:r>
                </w:p>
              </w:tc>
              <w:tc>
                <w:tcPr>
                  <w:tcW w:w="359" w:type="pct"/>
                  <w:vAlign w:val="center"/>
                </w:tcPr>
                <w:p w14:paraId="22B3673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7.48</w:t>
                  </w:r>
                </w:p>
              </w:tc>
              <w:tc>
                <w:tcPr>
                  <w:tcW w:w="362" w:type="pct"/>
                  <w:vAlign w:val="center"/>
                </w:tcPr>
                <w:p w14:paraId="1A70110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7.42</w:t>
                  </w:r>
                </w:p>
              </w:tc>
              <w:tc>
                <w:tcPr>
                  <w:tcW w:w="515" w:type="pct"/>
                  <w:vAlign w:val="center"/>
                </w:tcPr>
                <w:p w14:paraId="186531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7.84</w:t>
                  </w:r>
                </w:p>
              </w:tc>
              <w:tc>
                <w:tcPr>
                  <w:tcW w:w="414" w:type="pct"/>
                  <w:vAlign w:val="center"/>
                </w:tcPr>
                <w:p w14:paraId="6CF78FF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7.90</w:t>
                  </w:r>
                </w:p>
              </w:tc>
              <w:tc>
                <w:tcPr>
                  <w:tcW w:w="486" w:type="pct"/>
                  <w:vAlign w:val="center"/>
                </w:tcPr>
                <w:p w14:paraId="76DB03A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7.88</w:t>
                  </w:r>
                </w:p>
              </w:tc>
              <w:tc>
                <w:tcPr>
                  <w:tcW w:w="461" w:type="pct"/>
                  <w:vAlign w:val="center"/>
                </w:tcPr>
                <w:p w14:paraId="021A35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7.82</w:t>
                  </w:r>
                </w:p>
              </w:tc>
              <w:tc>
                <w:tcPr>
                  <w:tcW w:w="473" w:type="pct"/>
                  <w:vAlign w:val="center"/>
                </w:tcPr>
                <w:p w14:paraId="43E4DE2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7.86</w:t>
                  </w:r>
                </w:p>
              </w:tc>
              <w:tc>
                <w:tcPr>
                  <w:tcW w:w="477" w:type="pct"/>
                  <w:vAlign w:val="center"/>
                </w:tcPr>
                <w:p w14:paraId="3FE4E79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7.85</w:t>
                  </w:r>
                </w:p>
              </w:tc>
              <w:tc>
                <w:tcPr>
                  <w:tcW w:w="347" w:type="pct"/>
                  <w:vAlign w:val="center"/>
                </w:tcPr>
                <w:p w14:paraId="5FF6A5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7.45</w:t>
                  </w:r>
                </w:p>
              </w:tc>
              <w:tc>
                <w:tcPr>
                  <w:tcW w:w="342" w:type="pct"/>
                  <w:vAlign w:val="center"/>
                </w:tcPr>
                <w:p w14:paraId="13C146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7.86</w:t>
                  </w:r>
                </w:p>
              </w:tc>
            </w:tr>
            <w:tr w14:paraId="0B3EE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0E3FC80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悬浮物</w:t>
                  </w:r>
                </w:p>
              </w:tc>
              <w:tc>
                <w:tcPr>
                  <w:tcW w:w="359" w:type="pct"/>
                  <w:vAlign w:val="center"/>
                </w:tcPr>
                <w:p w14:paraId="010033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104</w:t>
                  </w:r>
                </w:p>
              </w:tc>
              <w:tc>
                <w:tcPr>
                  <w:tcW w:w="362" w:type="pct"/>
                  <w:vAlign w:val="center"/>
                </w:tcPr>
                <w:p w14:paraId="3793CE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124</w:t>
                  </w:r>
                </w:p>
              </w:tc>
              <w:tc>
                <w:tcPr>
                  <w:tcW w:w="515" w:type="pct"/>
                  <w:vAlign w:val="center"/>
                </w:tcPr>
                <w:p w14:paraId="340E087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w:t>
                  </w:r>
                </w:p>
              </w:tc>
              <w:tc>
                <w:tcPr>
                  <w:tcW w:w="414" w:type="pct"/>
                  <w:vAlign w:val="center"/>
                </w:tcPr>
                <w:p w14:paraId="3D53F5D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w:t>
                  </w:r>
                </w:p>
              </w:tc>
              <w:tc>
                <w:tcPr>
                  <w:tcW w:w="486" w:type="pct"/>
                  <w:vAlign w:val="center"/>
                </w:tcPr>
                <w:p w14:paraId="03E2952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w:t>
                  </w:r>
                </w:p>
              </w:tc>
              <w:tc>
                <w:tcPr>
                  <w:tcW w:w="461" w:type="pct"/>
                  <w:vAlign w:val="center"/>
                </w:tcPr>
                <w:p w14:paraId="208212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w:t>
                  </w:r>
                </w:p>
              </w:tc>
              <w:tc>
                <w:tcPr>
                  <w:tcW w:w="473" w:type="pct"/>
                  <w:vAlign w:val="center"/>
                </w:tcPr>
                <w:p w14:paraId="26B504A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w:t>
                  </w:r>
                </w:p>
              </w:tc>
              <w:tc>
                <w:tcPr>
                  <w:tcW w:w="477" w:type="pct"/>
                  <w:vAlign w:val="center"/>
                </w:tcPr>
                <w:p w14:paraId="5059C1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11</w:t>
                  </w:r>
                </w:p>
              </w:tc>
              <w:tc>
                <w:tcPr>
                  <w:tcW w:w="347" w:type="pct"/>
                  <w:vAlign w:val="center"/>
                </w:tcPr>
                <w:p w14:paraId="349925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114</w:t>
                  </w:r>
                </w:p>
              </w:tc>
              <w:tc>
                <w:tcPr>
                  <w:tcW w:w="342" w:type="pct"/>
                  <w:vAlign w:val="center"/>
                </w:tcPr>
                <w:p w14:paraId="5B14BA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11.5</w:t>
                  </w:r>
                </w:p>
              </w:tc>
            </w:tr>
            <w:tr w14:paraId="14FDE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7FA4B86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COD</w:t>
                  </w:r>
                </w:p>
              </w:tc>
              <w:tc>
                <w:tcPr>
                  <w:tcW w:w="359" w:type="pct"/>
                  <w:vAlign w:val="center"/>
                </w:tcPr>
                <w:p w14:paraId="1DE6AD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1473</w:t>
                  </w:r>
                </w:p>
              </w:tc>
              <w:tc>
                <w:tcPr>
                  <w:tcW w:w="362" w:type="pct"/>
                  <w:vAlign w:val="center"/>
                </w:tcPr>
                <w:p w14:paraId="693810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1589</w:t>
                  </w:r>
                </w:p>
              </w:tc>
              <w:tc>
                <w:tcPr>
                  <w:tcW w:w="515" w:type="pct"/>
                  <w:vAlign w:val="center"/>
                </w:tcPr>
                <w:p w14:paraId="72BCF7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104</w:t>
                  </w:r>
                </w:p>
              </w:tc>
              <w:tc>
                <w:tcPr>
                  <w:tcW w:w="414" w:type="pct"/>
                  <w:vAlign w:val="center"/>
                </w:tcPr>
                <w:p w14:paraId="758B59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97</w:t>
                  </w:r>
                </w:p>
              </w:tc>
              <w:tc>
                <w:tcPr>
                  <w:tcW w:w="486" w:type="pct"/>
                  <w:vAlign w:val="center"/>
                </w:tcPr>
                <w:p w14:paraId="1B54601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92</w:t>
                  </w:r>
                </w:p>
              </w:tc>
              <w:tc>
                <w:tcPr>
                  <w:tcW w:w="461" w:type="pct"/>
                  <w:vAlign w:val="center"/>
                </w:tcPr>
                <w:p w14:paraId="073DD6E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88</w:t>
                  </w:r>
                </w:p>
              </w:tc>
              <w:tc>
                <w:tcPr>
                  <w:tcW w:w="473" w:type="pct"/>
                  <w:vAlign w:val="center"/>
                </w:tcPr>
                <w:p w14:paraId="5D1DCA1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103</w:t>
                  </w:r>
                </w:p>
              </w:tc>
              <w:tc>
                <w:tcPr>
                  <w:tcW w:w="477" w:type="pct"/>
                  <w:vAlign w:val="center"/>
                </w:tcPr>
                <w:p w14:paraId="58A659A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77</w:t>
                  </w:r>
                </w:p>
              </w:tc>
              <w:tc>
                <w:tcPr>
                  <w:tcW w:w="347" w:type="pct"/>
                  <w:vAlign w:val="center"/>
                </w:tcPr>
                <w:p w14:paraId="57C84AA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1531</w:t>
                  </w:r>
                </w:p>
              </w:tc>
              <w:tc>
                <w:tcPr>
                  <w:tcW w:w="342" w:type="pct"/>
                  <w:vAlign w:val="center"/>
                </w:tcPr>
                <w:p w14:paraId="1FE46BD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93.5</w:t>
                  </w:r>
                </w:p>
              </w:tc>
            </w:tr>
            <w:tr w14:paraId="6096F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59B438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position w:val="1"/>
                      <w:sz w:val="21"/>
                    </w:rPr>
                    <w:t>BOD</w:t>
                  </w:r>
                  <w:r>
                    <w:rPr>
                      <w:rFonts w:hint="default"/>
                      <w:sz w:val="11"/>
                    </w:rPr>
                    <w:t>5</w:t>
                  </w:r>
                </w:p>
              </w:tc>
              <w:tc>
                <w:tcPr>
                  <w:tcW w:w="359" w:type="pct"/>
                  <w:vAlign w:val="center"/>
                </w:tcPr>
                <w:p w14:paraId="48B6396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198</w:t>
                  </w:r>
                </w:p>
              </w:tc>
              <w:tc>
                <w:tcPr>
                  <w:tcW w:w="362" w:type="pct"/>
                  <w:vAlign w:val="center"/>
                </w:tcPr>
                <w:p w14:paraId="63FB98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202</w:t>
                  </w:r>
                </w:p>
              </w:tc>
              <w:tc>
                <w:tcPr>
                  <w:tcW w:w="515" w:type="pct"/>
                  <w:vAlign w:val="center"/>
                </w:tcPr>
                <w:p w14:paraId="10EA25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18.0</w:t>
                  </w:r>
                </w:p>
              </w:tc>
              <w:tc>
                <w:tcPr>
                  <w:tcW w:w="414" w:type="pct"/>
                  <w:vAlign w:val="center"/>
                </w:tcPr>
                <w:p w14:paraId="297ECDB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18.4</w:t>
                  </w:r>
                </w:p>
              </w:tc>
              <w:tc>
                <w:tcPr>
                  <w:tcW w:w="486" w:type="pct"/>
                  <w:vAlign w:val="center"/>
                </w:tcPr>
                <w:p w14:paraId="030D208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16.9</w:t>
                  </w:r>
                </w:p>
              </w:tc>
              <w:tc>
                <w:tcPr>
                  <w:tcW w:w="461" w:type="pct"/>
                  <w:vAlign w:val="center"/>
                </w:tcPr>
                <w:p w14:paraId="5CC6361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18.7</w:t>
                  </w:r>
                </w:p>
              </w:tc>
              <w:tc>
                <w:tcPr>
                  <w:tcW w:w="473" w:type="pct"/>
                  <w:vAlign w:val="center"/>
                </w:tcPr>
                <w:p w14:paraId="6F1B10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19.2</w:t>
                  </w:r>
                </w:p>
              </w:tc>
              <w:tc>
                <w:tcPr>
                  <w:tcW w:w="477" w:type="pct"/>
                  <w:vAlign w:val="center"/>
                </w:tcPr>
                <w:p w14:paraId="0042E9A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18.3</w:t>
                  </w:r>
                </w:p>
              </w:tc>
              <w:tc>
                <w:tcPr>
                  <w:tcW w:w="347" w:type="pct"/>
                  <w:vAlign w:val="center"/>
                </w:tcPr>
                <w:p w14:paraId="096D2A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200</w:t>
                  </w:r>
                </w:p>
              </w:tc>
              <w:tc>
                <w:tcPr>
                  <w:tcW w:w="342" w:type="pct"/>
                  <w:vAlign w:val="center"/>
                </w:tcPr>
                <w:p w14:paraId="4C791A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18.3</w:t>
                  </w:r>
                </w:p>
              </w:tc>
            </w:tr>
            <w:tr w14:paraId="32DE1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2B141D8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动植物油</w:t>
                  </w:r>
                </w:p>
              </w:tc>
              <w:tc>
                <w:tcPr>
                  <w:tcW w:w="359" w:type="pct"/>
                  <w:vAlign w:val="center"/>
                </w:tcPr>
                <w:p w14:paraId="187A7A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15.7</w:t>
                  </w:r>
                </w:p>
              </w:tc>
              <w:tc>
                <w:tcPr>
                  <w:tcW w:w="362" w:type="pct"/>
                  <w:vAlign w:val="center"/>
                </w:tcPr>
                <w:p w14:paraId="60A495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12.7</w:t>
                  </w:r>
                </w:p>
              </w:tc>
              <w:tc>
                <w:tcPr>
                  <w:tcW w:w="515" w:type="pct"/>
                  <w:vAlign w:val="center"/>
                </w:tcPr>
                <w:p w14:paraId="528671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eastAsia="zh-CN"/>
                    </w:rPr>
                  </w:pPr>
                  <w:r>
                    <w:rPr>
                      <w:rFonts w:hint="eastAsia"/>
                      <w:sz w:val="21"/>
                      <w:lang w:eastAsia="zh-CN"/>
                    </w:rPr>
                    <w:t>/</w:t>
                  </w:r>
                </w:p>
              </w:tc>
              <w:tc>
                <w:tcPr>
                  <w:tcW w:w="702" w:type="dxa"/>
                  <w:vAlign w:val="center"/>
                </w:tcPr>
                <w:p w14:paraId="3E30ADD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825" w:type="dxa"/>
                  <w:vAlign w:val="center"/>
                </w:tcPr>
                <w:p w14:paraId="578A9E8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782" w:type="dxa"/>
                  <w:vAlign w:val="center"/>
                </w:tcPr>
                <w:p w14:paraId="5ECF9FF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802" w:type="dxa"/>
                  <w:vAlign w:val="center"/>
                </w:tcPr>
                <w:p w14:paraId="37A6C2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813" w:type="dxa"/>
                  <w:vAlign w:val="center"/>
                </w:tcPr>
                <w:p w14:paraId="5737A9B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347" w:type="pct"/>
                  <w:vAlign w:val="center"/>
                </w:tcPr>
                <w:p w14:paraId="61E57BE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14.2</w:t>
                  </w:r>
                </w:p>
              </w:tc>
              <w:tc>
                <w:tcPr>
                  <w:tcW w:w="342" w:type="pct"/>
                  <w:vAlign w:val="center"/>
                </w:tcPr>
                <w:p w14:paraId="2D5201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eastAsia="zh-CN"/>
                    </w:rPr>
                  </w:pPr>
                  <w:r>
                    <w:rPr>
                      <w:rFonts w:hint="eastAsia"/>
                      <w:sz w:val="21"/>
                      <w:lang w:eastAsia="zh-CN"/>
                    </w:rPr>
                    <w:t>/</w:t>
                  </w:r>
                </w:p>
              </w:tc>
            </w:tr>
            <w:tr w14:paraId="5C742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6CAB5C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石油</w:t>
                  </w:r>
                </w:p>
              </w:tc>
              <w:tc>
                <w:tcPr>
                  <w:tcW w:w="359" w:type="pct"/>
                  <w:vAlign w:val="center"/>
                </w:tcPr>
                <w:p w14:paraId="52E0D8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2.94</w:t>
                  </w:r>
                </w:p>
              </w:tc>
              <w:tc>
                <w:tcPr>
                  <w:tcW w:w="362" w:type="pct"/>
                  <w:vAlign w:val="center"/>
                </w:tcPr>
                <w:p w14:paraId="0B7955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2.85</w:t>
                  </w:r>
                </w:p>
              </w:tc>
              <w:tc>
                <w:tcPr>
                  <w:tcW w:w="515" w:type="pct"/>
                  <w:vAlign w:val="center"/>
                </w:tcPr>
                <w:p w14:paraId="43E84C2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val="en-US" w:eastAsia="zh-CN"/>
                    </w:rPr>
                  </w:pPr>
                  <w:r>
                    <w:rPr>
                      <w:rFonts w:hint="eastAsia"/>
                      <w:sz w:val="21"/>
                      <w:lang w:val="en-US" w:eastAsia="zh-CN"/>
                    </w:rPr>
                    <w:t>/</w:t>
                  </w:r>
                </w:p>
              </w:tc>
              <w:tc>
                <w:tcPr>
                  <w:tcW w:w="702" w:type="dxa"/>
                  <w:vAlign w:val="center"/>
                </w:tcPr>
                <w:p w14:paraId="502878A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825" w:type="dxa"/>
                  <w:vAlign w:val="center"/>
                </w:tcPr>
                <w:p w14:paraId="2FFE0AA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782" w:type="dxa"/>
                  <w:vAlign w:val="center"/>
                </w:tcPr>
                <w:p w14:paraId="405C2B8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802" w:type="dxa"/>
                  <w:vAlign w:val="center"/>
                </w:tcPr>
                <w:p w14:paraId="2189DE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813" w:type="dxa"/>
                  <w:vAlign w:val="center"/>
                </w:tcPr>
                <w:p w14:paraId="43074C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347" w:type="pct"/>
                  <w:vAlign w:val="center"/>
                </w:tcPr>
                <w:p w14:paraId="0F07480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14"/>
                    </w:rPr>
                  </w:pPr>
                </w:p>
                <w:p w14:paraId="78710B4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2.90</w:t>
                  </w:r>
                </w:p>
              </w:tc>
              <w:tc>
                <w:tcPr>
                  <w:tcW w:w="342" w:type="pct"/>
                  <w:vAlign w:val="center"/>
                </w:tcPr>
                <w:p w14:paraId="6C33A01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val="en-US" w:eastAsia="zh-CN"/>
                    </w:rPr>
                  </w:pPr>
                  <w:r>
                    <w:rPr>
                      <w:rFonts w:hint="eastAsia"/>
                      <w:sz w:val="21"/>
                      <w:lang w:val="en-US" w:eastAsia="zh-CN"/>
                    </w:rPr>
                    <w:t>/</w:t>
                  </w:r>
                </w:p>
              </w:tc>
            </w:tr>
            <w:tr w14:paraId="59AA6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3F55191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阴离子表面活性剂</w:t>
                  </w:r>
                </w:p>
              </w:tc>
              <w:tc>
                <w:tcPr>
                  <w:tcW w:w="359" w:type="pct"/>
                  <w:vAlign w:val="center"/>
                </w:tcPr>
                <w:p w14:paraId="033D8A3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2.97</w:t>
                  </w:r>
                </w:p>
              </w:tc>
              <w:tc>
                <w:tcPr>
                  <w:tcW w:w="362" w:type="pct"/>
                  <w:vAlign w:val="center"/>
                </w:tcPr>
                <w:p w14:paraId="1AE9ECF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2.50</w:t>
                  </w:r>
                </w:p>
              </w:tc>
              <w:tc>
                <w:tcPr>
                  <w:tcW w:w="515" w:type="pct"/>
                  <w:vAlign w:val="center"/>
                </w:tcPr>
                <w:p w14:paraId="5EBEDC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0.18</w:t>
                  </w:r>
                </w:p>
              </w:tc>
              <w:tc>
                <w:tcPr>
                  <w:tcW w:w="414" w:type="pct"/>
                  <w:vAlign w:val="center"/>
                </w:tcPr>
                <w:p w14:paraId="5ED4B3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0.16</w:t>
                  </w:r>
                </w:p>
              </w:tc>
              <w:tc>
                <w:tcPr>
                  <w:tcW w:w="486" w:type="pct"/>
                  <w:vAlign w:val="center"/>
                </w:tcPr>
                <w:p w14:paraId="3B75F0D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0.21</w:t>
                  </w:r>
                </w:p>
              </w:tc>
              <w:tc>
                <w:tcPr>
                  <w:tcW w:w="461" w:type="pct"/>
                  <w:vAlign w:val="center"/>
                </w:tcPr>
                <w:p w14:paraId="4F220EC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0.15</w:t>
                  </w:r>
                </w:p>
              </w:tc>
              <w:tc>
                <w:tcPr>
                  <w:tcW w:w="473" w:type="pct"/>
                  <w:vAlign w:val="center"/>
                </w:tcPr>
                <w:p w14:paraId="16E46C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0.19</w:t>
                  </w:r>
                </w:p>
              </w:tc>
              <w:tc>
                <w:tcPr>
                  <w:tcW w:w="477" w:type="pct"/>
                  <w:vAlign w:val="center"/>
                </w:tcPr>
                <w:p w14:paraId="4FF838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0.16</w:t>
                  </w:r>
                </w:p>
              </w:tc>
              <w:tc>
                <w:tcPr>
                  <w:tcW w:w="347" w:type="pct"/>
                  <w:vAlign w:val="center"/>
                </w:tcPr>
                <w:p w14:paraId="01EB1E0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2.74</w:t>
                  </w:r>
                </w:p>
              </w:tc>
              <w:tc>
                <w:tcPr>
                  <w:tcW w:w="342" w:type="pct"/>
                  <w:vAlign w:val="center"/>
                </w:tcPr>
                <w:p w14:paraId="44649B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0.18</w:t>
                  </w:r>
                </w:p>
              </w:tc>
            </w:tr>
            <w:tr w14:paraId="29443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44C423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挥发酚</w:t>
                  </w:r>
                </w:p>
              </w:tc>
              <w:tc>
                <w:tcPr>
                  <w:tcW w:w="359" w:type="pct"/>
                  <w:vAlign w:val="center"/>
                </w:tcPr>
                <w:p w14:paraId="7C5B29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0.0096</w:t>
                  </w:r>
                </w:p>
              </w:tc>
              <w:tc>
                <w:tcPr>
                  <w:tcW w:w="362" w:type="pct"/>
                  <w:vAlign w:val="center"/>
                </w:tcPr>
                <w:p w14:paraId="3008B5D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0.0091</w:t>
                  </w:r>
                </w:p>
              </w:tc>
              <w:tc>
                <w:tcPr>
                  <w:tcW w:w="515" w:type="pct"/>
                  <w:vAlign w:val="center"/>
                </w:tcPr>
                <w:p w14:paraId="238C9D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0.0005</w:t>
                  </w:r>
                </w:p>
              </w:tc>
              <w:tc>
                <w:tcPr>
                  <w:tcW w:w="414" w:type="pct"/>
                  <w:vAlign w:val="center"/>
                </w:tcPr>
                <w:p w14:paraId="48FA2A5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0.0008</w:t>
                  </w:r>
                </w:p>
              </w:tc>
              <w:tc>
                <w:tcPr>
                  <w:tcW w:w="486" w:type="pct"/>
                  <w:vAlign w:val="center"/>
                </w:tcPr>
                <w:p w14:paraId="51FE09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eastAsia="zh-CN"/>
                    </w:rPr>
                  </w:pPr>
                  <w:r>
                    <w:rPr>
                      <w:rFonts w:hint="eastAsia"/>
                      <w:sz w:val="21"/>
                      <w:lang w:val="en-US" w:eastAsia="zh-CN"/>
                    </w:rPr>
                    <w:t>/</w:t>
                  </w:r>
                </w:p>
              </w:tc>
              <w:tc>
                <w:tcPr>
                  <w:tcW w:w="461" w:type="pct"/>
                  <w:vAlign w:val="center"/>
                </w:tcPr>
                <w:p w14:paraId="554E8D1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0.0003</w:t>
                  </w:r>
                </w:p>
              </w:tc>
              <w:tc>
                <w:tcPr>
                  <w:tcW w:w="473" w:type="pct"/>
                  <w:vAlign w:val="center"/>
                </w:tcPr>
                <w:p w14:paraId="3FF11FB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0.0011</w:t>
                  </w:r>
                </w:p>
              </w:tc>
              <w:tc>
                <w:tcPr>
                  <w:tcW w:w="477" w:type="pct"/>
                  <w:vAlign w:val="center"/>
                </w:tcPr>
                <w:p w14:paraId="5A25175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0.0009</w:t>
                  </w:r>
                </w:p>
              </w:tc>
              <w:tc>
                <w:tcPr>
                  <w:tcW w:w="347" w:type="pct"/>
                  <w:vAlign w:val="center"/>
                </w:tcPr>
                <w:p w14:paraId="4CC4D1D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0.009</w:t>
                  </w:r>
                </w:p>
                <w:p w14:paraId="6028D9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4</w:t>
                  </w:r>
                </w:p>
              </w:tc>
              <w:tc>
                <w:tcPr>
                  <w:tcW w:w="342" w:type="pct"/>
                  <w:vAlign w:val="center"/>
                </w:tcPr>
                <w:p w14:paraId="363C5C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w:t>
                  </w:r>
                </w:p>
                <w:p w14:paraId="193DA3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w:t>
                  </w:r>
                </w:p>
              </w:tc>
            </w:tr>
            <w:tr w14:paraId="6F875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58D906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氨氮</w:t>
                  </w:r>
                </w:p>
              </w:tc>
              <w:tc>
                <w:tcPr>
                  <w:tcW w:w="359" w:type="pct"/>
                  <w:vAlign w:val="center"/>
                </w:tcPr>
                <w:p w14:paraId="7C82B7F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4.68</w:t>
                  </w:r>
                </w:p>
              </w:tc>
              <w:tc>
                <w:tcPr>
                  <w:tcW w:w="362" w:type="pct"/>
                  <w:vAlign w:val="center"/>
                </w:tcPr>
                <w:p w14:paraId="3352CF1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5.61</w:t>
                  </w:r>
                </w:p>
              </w:tc>
              <w:tc>
                <w:tcPr>
                  <w:tcW w:w="515" w:type="pct"/>
                  <w:vAlign w:val="center"/>
                </w:tcPr>
                <w:p w14:paraId="5BFF0A0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2.88</w:t>
                  </w:r>
                </w:p>
              </w:tc>
              <w:tc>
                <w:tcPr>
                  <w:tcW w:w="414" w:type="pct"/>
                  <w:vAlign w:val="center"/>
                </w:tcPr>
                <w:p w14:paraId="04E826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2.90</w:t>
                  </w:r>
                </w:p>
              </w:tc>
              <w:tc>
                <w:tcPr>
                  <w:tcW w:w="486" w:type="pct"/>
                  <w:vAlign w:val="center"/>
                </w:tcPr>
                <w:p w14:paraId="53FBDD6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2.87</w:t>
                  </w:r>
                </w:p>
              </w:tc>
              <w:tc>
                <w:tcPr>
                  <w:tcW w:w="461" w:type="pct"/>
                  <w:vAlign w:val="center"/>
                </w:tcPr>
                <w:p w14:paraId="0025D7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2.76</w:t>
                  </w:r>
                </w:p>
              </w:tc>
              <w:tc>
                <w:tcPr>
                  <w:tcW w:w="473" w:type="pct"/>
                  <w:vAlign w:val="center"/>
                </w:tcPr>
                <w:p w14:paraId="501CA4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2.93</w:t>
                  </w:r>
                </w:p>
              </w:tc>
              <w:tc>
                <w:tcPr>
                  <w:tcW w:w="477" w:type="pct"/>
                  <w:vAlign w:val="center"/>
                </w:tcPr>
                <w:p w14:paraId="18B56E7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2.96</w:t>
                  </w:r>
                </w:p>
              </w:tc>
              <w:tc>
                <w:tcPr>
                  <w:tcW w:w="347" w:type="pct"/>
                  <w:vAlign w:val="center"/>
                </w:tcPr>
                <w:p w14:paraId="25EA0A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5.15</w:t>
                  </w:r>
                </w:p>
              </w:tc>
              <w:tc>
                <w:tcPr>
                  <w:tcW w:w="342" w:type="pct"/>
                  <w:vAlign w:val="center"/>
                </w:tcPr>
                <w:p w14:paraId="54A9FA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2.88</w:t>
                  </w:r>
                </w:p>
              </w:tc>
            </w:tr>
            <w:tr w14:paraId="053F5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06BF892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pacing w:val="-1"/>
                      <w:sz w:val="21"/>
                    </w:rPr>
                    <w:t>磷酸盐</w:t>
                  </w:r>
                  <w:r>
                    <w:rPr>
                      <w:rFonts w:hint="default"/>
                      <w:spacing w:val="-3"/>
                      <w:sz w:val="21"/>
                    </w:rPr>
                    <w:t>（</w:t>
                  </w:r>
                  <w:r>
                    <w:rPr>
                      <w:rFonts w:hint="default"/>
                      <w:spacing w:val="-25"/>
                      <w:sz w:val="21"/>
                    </w:rPr>
                    <w:t xml:space="preserve">以 </w:t>
                  </w:r>
                  <w:r>
                    <w:rPr>
                      <w:rFonts w:hint="default"/>
                      <w:sz w:val="21"/>
                    </w:rPr>
                    <w:t>P</w:t>
                  </w:r>
                  <w:r>
                    <w:rPr>
                      <w:rFonts w:hint="default"/>
                      <w:spacing w:val="-27"/>
                      <w:sz w:val="21"/>
                    </w:rPr>
                    <w:t xml:space="preserve"> 计</w:t>
                  </w:r>
                  <w:r>
                    <w:rPr>
                      <w:rFonts w:hint="default"/>
                      <w:spacing w:val="-80"/>
                      <w:sz w:val="21"/>
                    </w:rPr>
                    <w:t>）</w:t>
                  </w:r>
                </w:p>
              </w:tc>
              <w:tc>
                <w:tcPr>
                  <w:tcW w:w="359" w:type="pct"/>
                  <w:vAlign w:val="center"/>
                </w:tcPr>
                <w:p w14:paraId="76DCA1C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1.36</w:t>
                  </w:r>
                </w:p>
              </w:tc>
              <w:tc>
                <w:tcPr>
                  <w:tcW w:w="362" w:type="pct"/>
                  <w:vAlign w:val="center"/>
                </w:tcPr>
                <w:p w14:paraId="5749C6F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1.48</w:t>
                  </w:r>
                </w:p>
              </w:tc>
              <w:tc>
                <w:tcPr>
                  <w:tcW w:w="515" w:type="pct"/>
                  <w:vAlign w:val="center"/>
                </w:tcPr>
                <w:p w14:paraId="57633DD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414" w:type="pct"/>
                  <w:vAlign w:val="center"/>
                </w:tcPr>
                <w:p w14:paraId="7EABA2E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486" w:type="pct"/>
                  <w:vAlign w:val="center"/>
                </w:tcPr>
                <w:p w14:paraId="16FDB3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0.76</w:t>
                  </w:r>
                </w:p>
              </w:tc>
              <w:tc>
                <w:tcPr>
                  <w:tcW w:w="461" w:type="pct"/>
                  <w:vAlign w:val="center"/>
                </w:tcPr>
                <w:p w14:paraId="494C5F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0.72</w:t>
                  </w:r>
                </w:p>
              </w:tc>
              <w:tc>
                <w:tcPr>
                  <w:tcW w:w="473" w:type="pct"/>
                  <w:vAlign w:val="center"/>
                </w:tcPr>
                <w:p w14:paraId="0D016D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477" w:type="pct"/>
                  <w:vAlign w:val="center"/>
                </w:tcPr>
                <w:p w14:paraId="517EFD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347" w:type="pct"/>
                  <w:vAlign w:val="center"/>
                </w:tcPr>
                <w:p w14:paraId="3C230A4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1.42</w:t>
                  </w:r>
                </w:p>
              </w:tc>
              <w:tc>
                <w:tcPr>
                  <w:tcW w:w="342" w:type="pct"/>
                  <w:vAlign w:val="center"/>
                </w:tcPr>
                <w:p w14:paraId="17896DF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r>
          </w:tbl>
          <w:p w14:paraId="580D15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污染物产排情况及达标情况见下表。</w:t>
            </w:r>
          </w:p>
          <w:p w14:paraId="11D29F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4</w:t>
            </w:r>
            <w:r>
              <w:rPr>
                <w:rFonts w:hint="eastAsia" w:cs="Times New Roman"/>
                <w:b/>
                <w:bCs/>
                <w:color w:val="auto"/>
                <w:sz w:val="21"/>
                <w:szCs w:val="21"/>
                <w:lang w:val="en-US" w:eastAsia="zh-CN"/>
              </w:rPr>
              <w:t>-13</w:t>
            </w:r>
            <w:r>
              <w:rPr>
                <w:rFonts w:hint="default" w:ascii="Times New Roman" w:hAnsi="Times New Roman" w:eastAsia="宋体" w:cs="Times New Roman"/>
                <w:b/>
                <w:bCs/>
                <w:color w:val="auto"/>
                <w:sz w:val="21"/>
                <w:szCs w:val="21"/>
                <w:lang w:val="en-US" w:eastAsia="zh-CN"/>
              </w:rPr>
              <w:tab/>
            </w:r>
            <w:r>
              <w:rPr>
                <w:rFonts w:hint="eastAsia" w:cs="Times New Roman"/>
                <w:b/>
                <w:bCs/>
                <w:color w:val="auto"/>
                <w:sz w:val="21"/>
                <w:szCs w:val="21"/>
                <w:lang w:val="en-US" w:eastAsia="zh-CN"/>
              </w:rPr>
              <w:t xml:space="preserve"> 废水污染物产排情况一览表</w:t>
            </w:r>
            <w:r>
              <w:rPr>
                <w:rFonts w:hint="default" w:ascii="Times New Roman" w:hAnsi="Times New Roman" w:eastAsia="宋体" w:cs="Times New Roman"/>
                <w:b/>
                <w:bCs/>
                <w:color w:val="auto"/>
                <w:sz w:val="21"/>
                <w:szCs w:val="21"/>
                <w:lang w:val="en-US" w:eastAsia="zh-CN"/>
              </w:rPr>
              <w:tab/>
            </w:r>
          </w:p>
          <w:tbl>
            <w:tblPr>
              <w:tblStyle w:val="28"/>
              <w:tblW w:w="492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89"/>
              <w:gridCol w:w="966"/>
              <w:gridCol w:w="757"/>
              <w:gridCol w:w="745"/>
              <w:gridCol w:w="863"/>
              <w:gridCol w:w="629"/>
              <w:gridCol w:w="670"/>
              <w:gridCol w:w="709"/>
              <w:gridCol w:w="620"/>
              <w:gridCol w:w="620"/>
              <w:gridCol w:w="710"/>
              <w:gridCol w:w="621"/>
            </w:tblGrid>
            <w:tr w14:paraId="44D3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trPr>
              <w:tc>
                <w:tcPr>
                  <w:tcW w:w="817" w:type="pct"/>
                  <w:gridSpan w:val="2"/>
                  <w:shd w:val="clear" w:color="auto" w:fill="auto"/>
                  <w:vAlign w:val="center"/>
                </w:tcPr>
                <w:p w14:paraId="4B357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项目废水</w:t>
                  </w:r>
                </w:p>
              </w:tc>
              <w:tc>
                <w:tcPr>
                  <w:tcW w:w="455" w:type="pct"/>
                  <w:shd w:val="clear" w:color="auto" w:fill="auto"/>
                  <w:vAlign w:val="center"/>
                </w:tcPr>
                <w:p w14:paraId="1523AF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水量（</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/a</w:t>
                  </w:r>
                  <w:r>
                    <w:rPr>
                      <w:rFonts w:hint="eastAsia" w:ascii="宋体" w:hAnsi="宋体" w:eastAsia="宋体" w:cs="宋体"/>
                      <w:i w:val="0"/>
                      <w:iCs w:val="0"/>
                      <w:color w:val="000000"/>
                      <w:kern w:val="0"/>
                      <w:sz w:val="21"/>
                      <w:szCs w:val="21"/>
                      <w:u w:val="none"/>
                      <w:lang w:val="en-US" w:eastAsia="zh-CN" w:bidi="ar"/>
                    </w:rPr>
                    <w:t>）</w:t>
                  </w:r>
                </w:p>
              </w:tc>
              <w:tc>
                <w:tcPr>
                  <w:tcW w:w="449" w:type="pct"/>
                  <w:shd w:val="clear" w:color="auto" w:fill="auto"/>
                  <w:vAlign w:val="center"/>
                </w:tcPr>
                <w:p w14:paraId="3F2F66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519" w:type="pct"/>
                  <w:shd w:val="clear" w:color="auto" w:fill="auto"/>
                  <w:vAlign w:val="center"/>
                </w:tcPr>
                <w:p w14:paraId="608AF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悬浮物</w:t>
                  </w:r>
                </w:p>
              </w:tc>
              <w:tc>
                <w:tcPr>
                  <w:tcW w:w="378" w:type="pct"/>
                  <w:shd w:val="clear" w:color="auto" w:fill="auto"/>
                  <w:vAlign w:val="center"/>
                </w:tcPr>
                <w:p w14:paraId="6DF964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CODcr</w:t>
                  </w:r>
                </w:p>
              </w:tc>
              <w:tc>
                <w:tcPr>
                  <w:tcW w:w="403" w:type="pct"/>
                  <w:shd w:val="clear" w:color="auto" w:fill="auto"/>
                  <w:vAlign w:val="center"/>
                </w:tcPr>
                <w:p w14:paraId="7FA7D0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427" w:type="pct"/>
                  <w:shd w:val="clear" w:color="auto" w:fill="auto"/>
                  <w:vAlign w:val="center"/>
                </w:tcPr>
                <w:p w14:paraId="2974F0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w:t>
                  </w:r>
                </w:p>
              </w:tc>
              <w:tc>
                <w:tcPr>
                  <w:tcW w:w="373" w:type="pct"/>
                  <w:shd w:val="clear" w:color="auto" w:fill="auto"/>
                  <w:vAlign w:val="center"/>
                </w:tcPr>
                <w:p w14:paraId="1C41DA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石油</w:t>
                  </w:r>
                </w:p>
              </w:tc>
              <w:tc>
                <w:tcPr>
                  <w:tcW w:w="373" w:type="pct"/>
                  <w:shd w:val="clear" w:color="auto" w:fill="auto"/>
                  <w:vAlign w:val="center"/>
                </w:tcPr>
                <w:p w14:paraId="40996C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LAS</w:t>
                  </w:r>
                </w:p>
              </w:tc>
              <w:tc>
                <w:tcPr>
                  <w:tcW w:w="427" w:type="pct"/>
                  <w:shd w:val="clear" w:color="auto" w:fill="auto"/>
                  <w:vAlign w:val="center"/>
                </w:tcPr>
                <w:p w14:paraId="03D347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挥发酚</w:t>
                  </w:r>
                </w:p>
              </w:tc>
              <w:tc>
                <w:tcPr>
                  <w:tcW w:w="373" w:type="pct"/>
                  <w:shd w:val="clear" w:color="auto" w:fill="auto"/>
                  <w:vAlign w:val="center"/>
                </w:tcPr>
                <w:p w14:paraId="4D1481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w:t>
                  </w:r>
                </w:p>
              </w:tc>
            </w:tr>
            <w:tr w14:paraId="7007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817" w:type="pct"/>
                  <w:gridSpan w:val="2"/>
                  <w:shd w:val="clear" w:color="auto" w:fill="auto"/>
                  <w:vAlign w:val="center"/>
                </w:tcPr>
                <w:p w14:paraId="49D32E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产生浓度（</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宋体" w:hAnsi="宋体" w:eastAsia="宋体" w:cs="宋体"/>
                      <w:i w:val="0"/>
                      <w:iCs w:val="0"/>
                      <w:color w:val="000000"/>
                      <w:kern w:val="0"/>
                      <w:sz w:val="21"/>
                      <w:szCs w:val="21"/>
                      <w:u w:val="none"/>
                      <w:vertAlign w:val="superscript"/>
                      <w:lang w:val="en-US" w:eastAsia="zh-CN" w:bidi="ar"/>
                    </w:rPr>
                    <w:t>）</w:t>
                  </w:r>
                </w:p>
              </w:tc>
              <w:tc>
                <w:tcPr>
                  <w:tcW w:w="455" w:type="pct"/>
                  <w:shd w:val="clear" w:color="auto" w:fill="auto"/>
                  <w:vAlign w:val="center"/>
                </w:tcPr>
                <w:p w14:paraId="658A40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12526</w:t>
                  </w:r>
                </w:p>
              </w:tc>
              <w:tc>
                <w:tcPr>
                  <w:tcW w:w="449" w:type="pct"/>
                  <w:shd w:val="clear" w:color="auto" w:fill="auto"/>
                  <w:vAlign w:val="center"/>
                </w:tcPr>
                <w:p w14:paraId="593772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7.45</w:t>
                  </w:r>
                </w:p>
              </w:tc>
              <w:tc>
                <w:tcPr>
                  <w:tcW w:w="863" w:type="dxa"/>
                  <w:shd w:val="clear" w:color="auto" w:fill="auto"/>
                  <w:vAlign w:val="center"/>
                </w:tcPr>
                <w:p w14:paraId="203EE3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629" w:type="dxa"/>
                  <w:shd w:val="clear" w:color="auto" w:fill="auto"/>
                  <w:vAlign w:val="center"/>
                </w:tcPr>
                <w:p w14:paraId="2EE7B0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1531</w:t>
                  </w:r>
                </w:p>
              </w:tc>
              <w:tc>
                <w:tcPr>
                  <w:tcW w:w="670" w:type="dxa"/>
                  <w:shd w:val="clear" w:color="auto" w:fill="auto"/>
                  <w:vAlign w:val="center"/>
                </w:tcPr>
                <w:p w14:paraId="3D40EB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09" w:type="dxa"/>
                  <w:shd w:val="clear" w:color="auto" w:fill="auto"/>
                  <w:vAlign w:val="center"/>
                </w:tcPr>
                <w:p w14:paraId="7ABCA9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620" w:type="dxa"/>
                  <w:shd w:val="clear" w:color="auto" w:fill="auto"/>
                  <w:vAlign w:val="center"/>
                </w:tcPr>
                <w:p w14:paraId="351F11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620" w:type="dxa"/>
                  <w:shd w:val="clear" w:color="auto" w:fill="auto"/>
                  <w:vAlign w:val="center"/>
                </w:tcPr>
                <w:p w14:paraId="730F12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2.74</w:t>
                  </w:r>
                </w:p>
              </w:tc>
              <w:tc>
                <w:tcPr>
                  <w:tcW w:w="710" w:type="dxa"/>
                  <w:shd w:val="clear" w:color="auto" w:fill="auto"/>
                  <w:vAlign w:val="center"/>
                </w:tcPr>
                <w:p w14:paraId="3C775F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0.0094</w:t>
                  </w:r>
                </w:p>
              </w:tc>
              <w:tc>
                <w:tcPr>
                  <w:tcW w:w="620" w:type="dxa"/>
                  <w:shd w:val="clear" w:color="auto" w:fill="auto"/>
                  <w:vAlign w:val="center"/>
                </w:tcPr>
                <w:p w14:paraId="490D1A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5.15</w:t>
                  </w:r>
                </w:p>
              </w:tc>
            </w:tr>
            <w:tr w14:paraId="228A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35" w:type="pct"/>
                  <w:vMerge w:val="restart"/>
                  <w:shd w:val="clear" w:color="auto" w:fill="auto"/>
                  <w:vAlign w:val="center"/>
                </w:tcPr>
                <w:p w14:paraId="3B84F7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污水处理系统</w:t>
                  </w:r>
                </w:p>
              </w:tc>
              <w:tc>
                <w:tcPr>
                  <w:tcW w:w="581" w:type="pct"/>
                  <w:shd w:val="clear" w:color="auto" w:fill="auto"/>
                  <w:vAlign w:val="center"/>
                </w:tcPr>
                <w:p w14:paraId="38DA6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污染物产生量</w:t>
                  </w:r>
                </w:p>
              </w:tc>
              <w:tc>
                <w:tcPr>
                  <w:tcW w:w="455" w:type="pct"/>
                  <w:shd w:val="clear" w:color="auto" w:fill="auto"/>
                  <w:vAlign w:val="center"/>
                </w:tcPr>
                <w:p w14:paraId="5515C2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49" w:type="pct"/>
                  <w:shd w:val="clear" w:color="auto" w:fill="auto"/>
                  <w:vAlign w:val="center"/>
                </w:tcPr>
                <w:p w14:paraId="414BFA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63" w:type="dxa"/>
                  <w:shd w:val="clear" w:color="auto" w:fill="auto"/>
                  <w:vAlign w:val="center"/>
                </w:tcPr>
                <w:p w14:paraId="5AC454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1.428 </w:t>
                  </w:r>
                </w:p>
              </w:tc>
              <w:tc>
                <w:tcPr>
                  <w:tcW w:w="629" w:type="dxa"/>
                  <w:shd w:val="clear" w:color="auto" w:fill="auto"/>
                  <w:vAlign w:val="center"/>
                </w:tcPr>
                <w:p w14:paraId="0BF96F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19.177 </w:t>
                  </w:r>
                </w:p>
              </w:tc>
              <w:tc>
                <w:tcPr>
                  <w:tcW w:w="670" w:type="dxa"/>
                  <w:shd w:val="clear" w:color="auto" w:fill="auto"/>
                  <w:vAlign w:val="center"/>
                </w:tcPr>
                <w:p w14:paraId="0FB63F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2.505 </w:t>
                  </w:r>
                </w:p>
              </w:tc>
              <w:tc>
                <w:tcPr>
                  <w:tcW w:w="709" w:type="dxa"/>
                  <w:shd w:val="clear" w:color="auto" w:fill="auto"/>
                  <w:vAlign w:val="center"/>
                </w:tcPr>
                <w:p w14:paraId="3F66ED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0.178 </w:t>
                  </w:r>
                </w:p>
              </w:tc>
              <w:tc>
                <w:tcPr>
                  <w:tcW w:w="620" w:type="dxa"/>
                  <w:shd w:val="clear" w:color="auto" w:fill="auto"/>
                  <w:vAlign w:val="center"/>
                </w:tcPr>
                <w:p w14:paraId="2DB458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0.036 </w:t>
                  </w:r>
                </w:p>
              </w:tc>
              <w:tc>
                <w:tcPr>
                  <w:tcW w:w="620" w:type="dxa"/>
                  <w:shd w:val="clear" w:color="auto" w:fill="auto"/>
                  <w:vAlign w:val="center"/>
                </w:tcPr>
                <w:p w14:paraId="4922EC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0.034 </w:t>
                  </w:r>
                </w:p>
              </w:tc>
              <w:tc>
                <w:tcPr>
                  <w:tcW w:w="710" w:type="dxa"/>
                  <w:shd w:val="clear" w:color="auto" w:fill="auto"/>
                  <w:vAlign w:val="center"/>
                </w:tcPr>
                <w:p w14:paraId="6631C2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620" w:type="dxa"/>
                  <w:shd w:val="clear" w:color="auto" w:fill="auto"/>
                  <w:vAlign w:val="center"/>
                </w:tcPr>
                <w:p w14:paraId="7E0E50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0.065 </w:t>
                  </w:r>
                </w:p>
              </w:tc>
            </w:tr>
            <w:tr w14:paraId="1454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235" w:type="pct"/>
                  <w:vMerge w:val="continue"/>
                  <w:shd w:val="clear" w:color="auto" w:fill="auto"/>
                  <w:vAlign w:val="center"/>
                </w:tcPr>
                <w:p w14:paraId="45E105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81" w:type="pct"/>
                  <w:shd w:val="clear" w:color="auto" w:fill="auto"/>
                  <w:vAlign w:val="center"/>
                </w:tcPr>
                <w:p w14:paraId="1DDFC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去除效率（</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w:t>
                  </w:r>
                </w:p>
              </w:tc>
              <w:tc>
                <w:tcPr>
                  <w:tcW w:w="455" w:type="pct"/>
                  <w:shd w:val="clear" w:color="auto" w:fill="auto"/>
                  <w:vAlign w:val="center"/>
                </w:tcPr>
                <w:p w14:paraId="702004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49" w:type="pct"/>
                  <w:shd w:val="clear" w:color="auto" w:fill="auto"/>
                  <w:vAlign w:val="center"/>
                </w:tcPr>
                <w:p w14:paraId="0A195F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63" w:type="dxa"/>
                  <w:shd w:val="clear" w:color="auto" w:fill="auto"/>
                  <w:vAlign w:val="center"/>
                </w:tcPr>
                <w:p w14:paraId="7449F8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89.91 </w:t>
                  </w:r>
                </w:p>
              </w:tc>
              <w:tc>
                <w:tcPr>
                  <w:tcW w:w="629" w:type="dxa"/>
                  <w:shd w:val="clear" w:color="auto" w:fill="auto"/>
                  <w:vAlign w:val="center"/>
                </w:tcPr>
                <w:p w14:paraId="2357E6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93.89 </w:t>
                  </w:r>
                </w:p>
              </w:tc>
              <w:tc>
                <w:tcPr>
                  <w:tcW w:w="670" w:type="dxa"/>
                  <w:shd w:val="clear" w:color="auto" w:fill="auto"/>
                  <w:vAlign w:val="center"/>
                </w:tcPr>
                <w:p w14:paraId="4AAE33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90.85 </w:t>
                  </w:r>
                </w:p>
              </w:tc>
              <w:tc>
                <w:tcPr>
                  <w:tcW w:w="709" w:type="dxa"/>
                  <w:shd w:val="clear" w:color="auto" w:fill="auto"/>
                  <w:vAlign w:val="center"/>
                </w:tcPr>
                <w:p w14:paraId="3D5CFE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99.99 </w:t>
                  </w:r>
                </w:p>
              </w:tc>
              <w:tc>
                <w:tcPr>
                  <w:tcW w:w="620" w:type="dxa"/>
                  <w:shd w:val="clear" w:color="auto" w:fill="auto"/>
                  <w:vAlign w:val="center"/>
                </w:tcPr>
                <w:p w14:paraId="6C102F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99.99 </w:t>
                  </w:r>
                </w:p>
              </w:tc>
              <w:tc>
                <w:tcPr>
                  <w:tcW w:w="620" w:type="dxa"/>
                  <w:shd w:val="clear" w:color="auto" w:fill="auto"/>
                  <w:vAlign w:val="center"/>
                </w:tcPr>
                <w:p w14:paraId="09CA28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93.43 </w:t>
                  </w:r>
                </w:p>
              </w:tc>
              <w:tc>
                <w:tcPr>
                  <w:tcW w:w="710" w:type="dxa"/>
                  <w:shd w:val="clear" w:color="auto" w:fill="auto"/>
                  <w:vAlign w:val="center"/>
                </w:tcPr>
                <w:p w14:paraId="47C457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99.99 </w:t>
                  </w:r>
                </w:p>
              </w:tc>
              <w:tc>
                <w:tcPr>
                  <w:tcW w:w="620" w:type="dxa"/>
                  <w:shd w:val="clear" w:color="auto" w:fill="auto"/>
                  <w:vAlign w:val="center"/>
                </w:tcPr>
                <w:p w14:paraId="696CF2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44.08 </w:t>
                  </w:r>
                </w:p>
              </w:tc>
            </w:tr>
            <w:tr w14:paraId="40F6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35" w:type="pct"/>
                  <w:vMerge w:val="continue"/>
                  <w:shd w:val="clear" w:color="auto" w:fill="auto"/>
                  <w:vAlign w:val="center"/>
                </w:tcPr>
                <w:p w14:paraId="596B7E6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81" w:type="pct"/>
                  <w:shd w:val="clear" w:color="auto" w:fill="auto"/>
                  <w:vAlign w:val="center"/>
                </w:tcPr>
                <w:p w14:paraId="6B1EBA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削减量（</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ascii="宋体" w:hAnsi="宋体" w:eastAsia="宋体" w:cs="宋体"/>
                      <w:i w:val="0"/>
                      <w:iCs w:val="0"/>
                      <w:color w:val="000000"/>
                      <w:kern w:val="0"/>
                      <w:sz w:val="21"/>
                      <w:szCs w:val="21"/>
                      <w:u w:val="none"/>
                      <w:lang w:val="en-US" w:eastAsia="zh-CN" w:bidi="ar"/>
                    </w:rPr>
                    <w:t>）</w:t>
                  </w:r>
                </w:p>
              </w:tc>
              <w:tc>
                <w:tcPr>
                  <w:tcW w:w="455" w:type="pct"/>
                  <w:shd w:val="clear" w:color="auto" w:fill="auto"/>
                  <w:vAlign w:val="center"/>
                </w:tcPr>
                <w:p w14:paraId="109590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49" w:type="pct"/>
                  <w:shd w:val="clear" w:color="auto" w:fill="auto"/>
                  <w:vAlign w:val="center"/>
                </w:tcPr>
                <w:p w14:paraId="75C736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63" w:type="dxa"/>
                  <w:shd w:val="clear" w:color="auto" w:fill="auto"/>
                  <w:vAlign w:val="center"/>
                </w:tcPr>
                <w:p w14:paraId="06ECE8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1.284 </w:t>
                  </w:r>
                </w:p>
              </w:tc>
              <w:tc>
                <w:tcPr>
                  <w:tcW w:w="629" w:type="dxa"/>
                  <w:shd w:val="clear" w:color="auto" w:fill="auto"/>
                  <w:vAlign w:val="center"/>
                </w:tcPr>
                <w:p w14:paraId="6E76EB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18.006 </w:t>
                  </w:r>
                </w:p>
              </w:tc>
              <w:tc>
                <w:tcPr>
                  <w:tcW w:w="670" w:type="dxa"/>
                  <w:shd w:val="clear" w:color="auto" w:fill="auto"/>
                  <w:vAlign w:val="center"/>
                </w:tcPr>
                <w:p w14:paraId="3CF8D1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2.276 </w:t>
                  </w:r>
                </w:p>
              </w:tc>
              <w:tc>
                <w:tcPr>
                  <w:tcW w:w="709" w:type="dxa"/>
                  <w:shd w:val="clear" w:color="auto" w:fill="auto"/>
                  <w:vAlign w:val="center"/>
                </w:tcPr>
                <w:p w14:paraId="79E019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1.428 </w:t>
                  </w:r>
                </w:p>
              </w:tc>
              <w:tc>
                <w:tcPr>
                  <w:tcW w:w="620" w:type="dxa"/>
                  <w:shd w:val="clear" w:color="auto" w:fill="auto"/>
                  <w:vAlign w:val="center"/>
                </w:tcPr>
                <w:p w14:paraId="1629EE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1.428 </w:t>
                  </w:r>
                </w:p>
              </w:tc>
              <w:tc>
                <w:tcPr>
                  <w:tcW w:w="620" w:type="dxa"/>
                  <w:shd w:val="clear" w:color="auto" w:fill="auto"/>
                  <w:vAlign w:val="center"/>
                </w:tcPr>
                <w:p w14:paraId="3F96E2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0.032 </w:t>
                  </w:r>
                </w:p>
              </w:tc>
              <w:tc>
                <w:tcPr>
                  <w:tcW w:w="710" w:type="dxa"/>
                  <w:shd w:val="clear" w:color="auto" w:fill="auto"/>
                  <w:vAlign w:val="center"/>
                </w:tcPr>
                <w:p w14:paraId="0AED9C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620" w:type="dxa"/>
                  <w:shd w:val="clear" w:color="auto" w:fill="auto"/>
                  <w:vAlign w:val="center"/>
                </w:tcPr>
                <w:p w14:paraId="7057BE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0.028 </w:t>
                  </w:r>
                </w:p>
              </w:tc>
            </w:tr>
            <w:tr w14:paraId="1C22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35" w:type="pct"/>
                  <w:vMerge w:val="continue"/>
                  <w:shd w:val="clear" w:color="auto" w:fill="auto"/>
                  <w:vAlign w:val="center"/>
                </w:tcPr>
                <w:p w14:paraId="2D1027D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81" w:type="pct"/>
                  <w:vMerge w:val="restart"/>
                  <w:shd w:val="clear" w:color="auto" w:fill="auto"/>
                  <w:vAlign w:val="center"/>
                </w:tcPr>
                <w:p w14:paraId="5A3D22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出水浓度（</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宋体" w:hAnsi="宋体" w:eastAsia="宋体" w:cs="宋体"/>
                      <w:i w:val="0"/>
                      <w:iCs w:val="0"/>
                      <w:color w:val="000000"/>
                      <w:kern w:val="0"/>
                      <w:sz w:val="21"/>
                      <w:szCs w:val="21"/>
                      <w:u w:val="none"/>
                      <w:lang w:val="en-US" w:eastAsia="zh-CN" w:bidi="ar"/>
                    </w:rPr>
                    <w:t>）</w:t>
                  </w:r>
                </w:p>
              </w:tc>
              <w:tc>
                <w:tcPr>
                  <w:tcW w:w="455" w:type="pct"/>
                  <w:vMerge w:val="restart"/>
                  <w:shd w:val="clear" w:color="auto" w:fill="auto"/>
                  <w:vAlign w:val="center"/>
                </w:tcPr>
                <w:p w14:paraId="3D1D51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49" w:type="pct"/>
                  <w:vMerge w:val="restart"/>
                  <w:shd w:val="clear" w:color="auto" w:fill="auto"/>
                  <w:vAlign w:val="center"/>
                </w:tcPr>
                <w:p w14:paraId="551FF6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7.86</w:t>
                  </w:r>
                </w:p>
              </w:tc>
              <w:tc>
                <w:tcPr>
                  <w:tcW w:w="863" w:type="dxa"/>
                  <w:vMerge w:val="restart"/>
                  <w:shd w:val="clear" w:color="auto" w:fill="auto"/>
                  <w:vAlign w:val="center"/>
                </w:tcPr>
                <w:p w14:paraId="0A7F8C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11.5</w:t>
                  </w:r>
                </w:p>
              </w:tc>
              <w:tc>
                <w:tcPr>
                  <w:tcW w:w="629" w:type="dxa"/>
                  <w:vMerge w:val="restart"/>
                  <w:shd w:val="clear" w:color="auto" w:fill="auto"/>
                  <w:vAlign w:val="center"/>
                </w:tcPr>
                <w:p w14:paraId="159386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93.5</w:t>
                  </w:r>
                </w:p>
              </w:tc>
              <w:tc>
                <w:tcPr>
                  <w:tcW w:w="670" w:type="dxa"/>
                  <w:vMerge w:val="restart"/>
                  <w:shd w:val="clear" w:color="auto" w:fill="auto"/>
                  <w:vAlign w:val="center"/>
                </w:tcPr>
                <w:p w14:paraId="4E4DFC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18.3</w:t>
                  </w:r>
                </w:p>
              </w:tc>
              <w:tc>
                <w:tcPr>
                  <w:tcW w:w="709" w:type="dxa"/>
                  <w:vMerge w:val="restart"/>
                  <w:shd w:val="clear" w:color="auto" w:fill="auto"/>
                  <w:vAlign w:val="center"/>
                </w:tcPr>
                <w:p w14:paraId="772C45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0</w:t>
                  </w:r>
                </w:p>
              </w:tc>
              <w:tc>
                <w:tcPr>
                  <w:tcW w:w="620" w:type="dxa"/>
                  <w:vMerge w:val="restart"/>
                  <w:shd w:val="clear" w:color="auto" w:fill="auto"/>
                  <w:vAlign w:val="center"/>
                </w:tcPr>
                <w:p w14:paraId="4C9A44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0</w:t>
                  </w:r>
                </w:p>
              </w:tc>
              <w:tc>
                <w:tcPr>
                  <w:tcW w:w="620" w:type="dxa"/>
                  <w:vMerge w:val="restart"/>
                  <w:shd w:val="clear" w:color="auto" w:fill="auto"/>
                  <w:vAlign w:val="center"/>
                </w:tcPr>
                <w:p w14:paraId="440631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0.18</w:t>
                  </w:r>
                </w:p>
              </w:tc>
              <w:tc>
                <w:tcPr>
                  <w:tcW w:w="710" w:type="dxa"/>
                  <w:vMerge w:val="restart"/>
                  <w:shd w:val="clear" w:color="auto" w:fill="auto"/>
                  <w:vAlign w:val="center"/>
                </w:tcPr>
                <w:p w14:paraId="337796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0.0007</w:t>
                  </w:r>
                </w:p>
              </w:tc>
              <w:tc>
                <w:tcPr>
                  <w:tcW w:w="620" w:type="dxa"/>
                  <w:vMerge w:val="restart"/>
                  <w:shd w:val="clear" w:color="auto" w:fill="auto"/>
                  <w:vAlign w:val="center"/>
                </w:tcPr>
                <w:p w14:paraId="757996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2.88</w:t>
                  </w:r>
                </w:p>
              </w:tc>
            </w:tr>
            <w:tr w14:paraId="15F1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5" w:type="pct"/>
                  <w:vMerge w:val="continue"/>
                  <w:shd w:val="clear" w:color="auto" w:fill="auto"/>
                  <w:vAlign w:val="center"/>
                </w:tcPr>
                <w:p w14:paraId="652BEB0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81" w:type="pct"/>
                  <w:vMerge w:val="continue"/>
                  <w:shd w:val="clear" w:color="auto" w:fill="auto"/>
                  <w:vAlign w:val="center"/>
                </w:tcPr>
                <w:p w14:paraId="51B818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455" w:type="pct"/>
                  <w:vMerge w:val="continue"/>
                  <w:shd w:val="clear" w:color="auto" w:fill="auto"/>
                  <w:vAlign w:val="center"/>
                </w:tcPr>
                <w:p w14:paraId="52CF5BF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449" w:type="pct"/>
                  <w:vMerge w:val="continue"/>
                  <w:shd w:val="clear" w:color="auto" w:fill="auto"/>
                  <w:vAlign w:val="center"/>
                </w:tcPr>
                <w:p w14:paraId="71C293B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519" w:type="pct"/>
                  <w:vMerge w:val="continue"/>
                  <w:shd w:val="clear" w:color="auto" w:fill="auto"/>
                  <w:vAlign w:val="center"/>
                </w:tcPr>
                <w:p w14:paraId="79D7108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378" w:type="pct"/>
                  <w:vMerge w:val="continue"/>
                  <w:shd w:val="clear" w:color="auto" w:fill="auto"/>
                  <w:vAlign w:val="center"/>
                </w:tcPr>
                <w:p w14:paraId="443BD49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403" w:type="pct"/>
                  <w:vMerge w:val="continue"/>
                  <w:shd w:val="clear" w:color="auto" w:fill="auto"/>
                  <w:vAlign w:val="center"/>
                </w:tcPr>
                <w:p w14:paraId="6F4183A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427" w:type="pct"/>
                  <w:vMerge w:val="continue"/>
                  <w:shd w:val="clear" w:color="auto" w:fill="auto"/>
                  <w:vAlign w:val="center"/>
                </w:tcPr>
                <w:p w14:paraId="0603AE7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373" w:type="pct"/>
                  <w:vMerge w:val="continue"/>
                  <w:shd w:val="clear" w:color="auto" w:fill="auto"/>
                  <w:vAlign w:val="center"/>
                </w:tcPr>
                <w:p w14:paraId="3C34F61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373" w:type="pct"/>
                  <w:vMerge w:val="continue"/>
                  <w:shd w:val="clear" w:color="auto" w:fill="auto"/>
                  <w:vAlign w:val="center"/>
                </w:tcPr>
                <w:p w14:paraId="30809B0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427" w:type="pct"/>
                  <w:vMerge w:val="continue"/>
                  <w:shd w:val="clear" w:color="auto" w:fill="auto"/>
                  <w:vAlign w:val="center"/>
                </w:tcPr>
                <w:p w14:paraId="65B70F8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373" w:type="pct"/>
                  <w:vMerge w:val="continue"/>
                  <w:shd w:val="clear" w:color="auto" w:fill="auto"/>
                  <w:vAlign w:val="center"/>
                </w:tcPr>
                <w:p w14:paraId="6C30A22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r>
            <w:tr w14:paraId="65A1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35" w:type="pct"/>
                  <w:vMerge w:val="continue"/>
                  <w:shd w:val="clear" w:color="auto" w:fill="auto"/>
                  <w:vAlign w:val="center"/>
                </w:tcPr>
                <w:p w14:paraId="6E7EEA9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81" w:type="pct"/>
                  <w:shd w:val="clear" w:color="auto" w:fill="auto"/>
                  <w:vAlign w:val="center"/>
                </w:tcPr>
                <w:p w14:paraId="570485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排放量（</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ascii="宋体" w:hAnsi="宋体" w:eastAsia="宋体" w:cs="宋体"/>
                      <w:i w:val="0"/>
                      <w:iCs w:val="0"/>
                      <w:color w:val="000000"/>
                      <w:kern w:val="0"/>
                      <w:sz w:val="21"/>
                      <w:szCs w:val="21"/>
                      <w:u w:val="none"/>
                      <w:lang w:val="en-US" w:eastAsia="zh-CN" w:bidi="ar"/>
                    </w:rPr>
                    <w:t>）</w:t>
                  </w:r>
                </w:p>
              </w:tc>
              <w:tc>
                <w:tcPr>
                  <w:tcW w:w="455" w:type="pct"/>
                  <w:shd w:val="clear" w:color="auto" w:fill="auto"/>
                  <w:vAlign w:val="center"/>
                </w:tcPr>
                <w:p w14:paraId="5F711B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12526</w:t>
                  </w:r>
                </w:p>
              </w:tc>
              <w:tc>
                <w:tcPr>
                  <w:tcW w:w="449" w:type="pct"/>
                  <w:shd w:val="clear" w:color="auto" w:fill="auto"/>
                  <w:vAlign w:val="center"/>
                </w:tcPr>
                <w:p w14:paraId="594498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63" w:type="dxa"/>
                  <w:shd w:val="clear" w:color="auto" w:fill="auto"/>
                  <w:vAlign w:val="center"/>
                </w:tcPr>
                <w:p w14:paraId="4F700F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0.144 </w:t>
                  </w:r>
                </w:p>
              </w:tc>
              <w:tc>
                <w:tcPr>
                  <w:tcW w:w="629" w:type="dxa"/>
                  <w:shd w:val="clear" w:color="auto" w:fill="auto"/>
                  <w:vAlign w:val="center"/>
                </w:tcPr>
                <w:p w14:paraId="30E688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1.171 </w:t>
                  </w:r>
                </w:p>
              </w:tc>
              <w:tc>
                <w:tcPr>
                  <w:tcW w:w="670" w:type="dxa"/>
                  <w:shd w:val="clear" w:color="auto" w:fill="auto"/>
                  <w:vAlign w:val="center"/>
                </w:tcPr>
                <w:p w14:paraId="282FAA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0.229 </w:t>
                  </w:r>
                </w:p>
              </w:tc>
              <w:tc>
                <w:tcPr>
                  <w:tcW w:w="709" w:type="dxa"/>
                  <w:shd w:val="clear" w:color="auto" w:fill="auto"/>
                  <w:vAlign w:val="center"/>
                </w:tcPr>
                <w:p w14:paraId="6CFC3B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20" w:type="dxa"/>
                  <w:shd w:val="clear" w:color="auto" w:fill="auto"/>
                  <w:vAlign w:val="center"/>
                </w:tcPr>
                <w:p w14:paraId="57C1FA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20" w:type="dxa"/>
                  <w:shd w:val="clear" w:color="auto" w:fill="auto"/>
                  <w:vAlign w:val="center"/>
                </w:tcPr>
                <w:p w14:paraId="0AD57B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710" w:type="dxa"/>
                  <w:shd w:val="clear" w:color="auto" w:fill="auto"/>
                  <w:vAlign w:val="center"/>
                </w:tcPr>
                <w:p w14:paraId="0E88F2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620" w:type="dxa"/>
                  <w:shd w:val="clear" w:color="auto" w:fill="auto"/>
                  <w:vAlign w:val="center"/>
                </w:tcPr>
                <w:p w14:paraId="7028C7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0.036 </w:t>
                  </w:r>
                </w:p>
              </w:tc>
            </w:tr>
            <w:tr w14:paraId="2EEA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1273" w:type="pct"/>
                  <w:gridSpan w:val="3"/>
                  <w:shd w:val="clear" w:color="auto" w:fill="auto"/>
                  <w:noWrap/>
                  <w:vAlign w:val="center"/>
                </w:tcPr>
                <w:p w14:paraId="0E7D8E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标准值</w:t>
                  </w:r>
                </w:p>
              </w:tc>
              <w:tc>
                <w:tcPr>
                  <w:tcW w:w="449" w:type="pct"/>
                  <w:shd w:val="clear" w:color="auto" w:fill="auto"/>
                  <w:noWrap/>
                  <w:vAlign w:val="center"/>
                </w:tcPr>
                <w:p w14:paraId="24D471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6.5</w:t>
                  </w:r>
                  <w:r>
                    <w:rPr>
                      <w:rFonts w:hint="eastAsia" w:ascii="宋体" w:hAnsi="宋体" w:eastAsia="宋体" w:cs="宋体"/>
                      <w:b/>
                      <w:bCs/>
                      <w:i w:val="0"/>
                      <w:iCs w:val="0"/>
                      <w:color w:val="000000"/>
                      <w:kern w:val="0"/>
                      <w:sz w:val="21"/>
                      <w:szCs w:val="21"/>
                      <w:u w:val="none"/>
                      <w:lang w:val="en-US" w:eastAsia="zh-CN" w:bidi="ar"/>
                    </w:rPr>
                    <w:t>～</w:t>
                  </w:r>
                  <w:r>
                    <w:rPr>
                      <w:rFonts w:hint="default" w:ascii="Times New Roman" w:hAnsi="Times New Roman" w:eastAsia="宋体" w:cs="Times New Roman"/>
                      <w:b/>
                      <w:bCs/>
                      <w:i w:val="0"/>
                      <w:iCs w:val="0"/>
                      <w:color w:val="000000"/>
                      <w:kern w:val="0"/>
                      <w:sz w:val="21"/>
                      <w:szCs w:val="21"/>
                      <w:u w:val="none"/>
                      <w:lang w:val="en-US" w:eastAsia="zh-CN" w:bidi="ar"/>
                    </w:rPr>
                    <w:t>9.5</w:t>
                  </w:r>
                </w:p>
              </w:tc>
              <w:tc>
                <w:tcPr>
                  <w:tcW w:w="863" w:type="dxa"/>
                  <w:shd w:val="clear" w:color="auto" w:fill="auto"/>
                  <w:noWrap/>
                  <w:vAlign w:val="center"/>
                </w:tcPr>
                <w:p w14:paraId="57F1EF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400</w:t>
                  </w:r>
                </w:p>
              </w:tc>
              <w:tc>
                <w:tcPr>
                  <w:tcW w:w="629" w:type="dxa"/>
                  <w:shd w:val="clear" w:color="auto" w:fill="auto"/>
                  <w:noWrap/>
                  <w:vAlign w:val="center"/>
                </w:tcPr>
                <w:p w14:paraId="428AE0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500</w:t>
                  </w:r>
                </w:p>
              </w:tc>
              <w:tc>
                <w:tcPr>
                  <w:tcW w:w="670" w:type="dxa"/>
                  <w:shd w:val="clear" w:color="auto" w:fill="auto"/>
                  <w:noWrap/>
                  <w:vAlign w:val="center"/>
                </w:tcPr>
                <w:p w14:paraId="7DDDC6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350</w:t>
                  </w:r>
                </w:p>
              </w:tc>
              <w:tc>
                <w:tcPr>
                  <w:tcW w:w="709" w:type="dxa"/>
                  <w:shd w:val="clear" w:color="auto" w:fill="auto"/>
                  <w:noWrap/>
                  <w:vAlign w:val="center"/>
                </w:tcPr>
                <w:p w14:paraId="5D9862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100</w:t>
                  </w:r>
                </w:p>
              </w:tc>
              <w:tc>
                <w:tcPr>
                  <w:tcW w:w="620" w:type="dxa"/>
                  <w:shd w:val="clear" w:color="auto" w:fill="auto"/>
                  <w:noWrap/>
                  <w:vAlign w:val="center"/>
                </w:tcPr>
                <w:p w14:paraId="592AA2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15</w:t>
                  </w:r>
                </w:p>
              </w:tc>
              <w:tc>
                <w:tcPr>
                  <w:tcW w:w="620" w:type="dxa"/>
                  <w:shd w:val="clear" w:color="auto" w:fill="auto"/>
                  <w:noWrap/>
                  <w:vAlign w:val="center"/>
                </w:tcPr>
                <w:p w14:paraId="1D795F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20</w:t>
                  </w:r>
                </w:p>
              </w:tc>
              <w:tc>
                <w:tcPr>
                  <w:tcW w:w="710" w:type="dxa"/>
                  <w:shd w:val="clear" w:color="auto" w:fill="auto"/>
                  <w:noWrap/>
                  <w:vAlign w:val="center"/>
                </w:tcPr>
                <w:p w14:paraId="2BA934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w:t>
                  </w:r>
                </w:p>
              </w:tc>
              <w:tc>
                <w:tcPr>
                  <w:tcW w:w="620" w:type="dxa"/>
                  <w:shd w:val="clear" w:color="auto" w:fill="auto"/>
                  <w:noWrap/>
                  <w:vAlign w:val="center"/>
                </w:tcPr>
                <w:p w14:paraId="63F3B8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45</w:t>
                  </w:r>
                </w:p>
              </w:tc>
            </w:tr>
            <w:tr w14:paraId="799F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1273" w:type="pct"/>
                  <w:gridSpan w:val="3"/>
                  <w:shd w:val="clear" w:color="auto" w:fill="auto"/>
                  <w:noWrap/>
                  <w:vAlign w:val="center"/>
                </w:tcPr>
                <w:p w14:paraId="404E9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达标情况</w:t>
                  </w:r>
                </w:p>
              </w:tc>
              <w:tc>
                <w:tcPr>
                  <w:tcW w:w="449" w:type="pct"/>
                  <w:shd w:val="clear" w:color="auto" w:fill="auto"/>
                  <w:noWrap/>
                  <w:vAlign w:val="center"/>
                </w:tcPr>
                <w:p w14:paraId="0AE200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519" w:type="pct"/>
                  <w:shd w:val="clear" w:color="auto" w:fill="auto"/>
                  <w:noWrap/>
                  <w:vAlign w:val="center"/>
                </w:tcPr>
                <w:p w14:paraId="75A84F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378" w:type="pct"/>
                  <w:shd w:val="clear" w:color="auto" w:fill="auto"/>
                  <w:noWrap/>
                  <w:vAlign w:val="center"/>
                </w:tcPr>
                <w:p w14:paraId="4A32E9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403" w:type="pct"/>
                  <w:shd w:val="clear" w:color="auto" w:fill="auto"/>
                  <w:noWrap/>
                  <w:vAlign w:val="center"/>
                </w:tcPr>
                <w:p w14:paraId="7AC1AD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427" w:type="pct"/>
                  <w:shd w:val="clear" w:color="auto" w:fill="auto"/>
                  <w:noWrap/>
                  <w:vAlign w:val="center"/>
                </w:tcPr>
                <w:p w14:paraId="1DF338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373" w:type="pct"/>
                  <w:shd w:val="clear" w:color="auto" w:fill="auto"/>
                  <w:noWrap/>
                  <w:vAlign w:val="center"/>
                </w:tcPr>
                <w:p w14:paraId="5144F0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373" w:type="pct"/>
                  <w:shd w:val="clear" w:color="auto" w:fill="auto"/>
                  <w:noWrap/>
                  <w:vAlign w:val="center"/>
                </w:tcPr>
                <w:p w14:paraId="741B5A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427" w:type="pct"/>
                  <w:shd w:val="clear" w:color="auto" w:fill="auto"/>
                  <w:noWrap/>
                  <w:vAlign w:val="center"/>
                </w:tcPr>
                <w:p w14:paraId="5D723A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373" w:type="pct"/>
                  <w:shd w:val="clear" w:color="auto" w:fill="auto"/>
                  <w:noWrap/>
                  <w:vAlign w:val="center"/>
                </w:tcPr>
                <w:p w14:paraId="210CDF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bl>
          <w:p w14:paraId="4F17C9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根据上表可知，本项目生活污水经隔油池、化粪池预处理后，与生产废水一同进入自建的污水处理系统进行处理后，可</w:t>
            </w:r>
            <w:r>
              <w:rPr>
                <w:rFonts w:hint="eastAsia" w:cs="Times New Roman"/>
                <w:color w:val="auto"/>
                <w:sz w:val="24"/>
                <w:szCs w:val="24"/>
                <w:lang w:val="en-US" w:eastAsia="zh-CN"/>
              </w:rPr>
              <w:t>达</w:t>
            </w:r>
            <w:r>
              <w:rPr>
                <w:rFonts w:hint="default" w:ascii="Times New Roman" w:hAnsi="Times New Roman" w:eastAsia="宋体" w:cs="Times New Roman"/>
                <w:color w:val="auto"/>
                <w:sz w:val="24"/>
                <w:szCs w:val="24"/>
                <w:lang w:val="en-US" w:eastAsia="zh-CN"/>
              </w:rPr>
              <w:t>《污水排入城镇下水道水质标准》（GB/T131962-2015）表1中A级标准后进入园区污水管网。</w:t>
            </w:r>
          </w:p>
          <w:p w14:paraId="1C74F37D">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b/>
                <w:bCs/>
                <w:color w:val="auto"/>
                <w:kern w:val="2"/>
                <w:sz w:val="24"/>
                <w:szCs w:val="24"/>
                <w:lang w:val="en-US" w:eastAsia="zh-CN" w:bidi="ar"/>
              </w:rPr>
              <w:t>（3）污水处理设施的可行性</w:t>
            </w:r>
          </w:p>
          <w:p w14:paraId="36EE4F34">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b/>
                <w:bCs/>
                <w:color w:val="auto"/>
                <w:kern w:val="2"/>
                <w:sz w:val="24"/>
                <w:szCs w:val="24"/>
                <w:lang w:val="en-US" w:eastAsia="zh-CN" w:bidi="ar"/>
              </w:rPr>
              <w:t>①化粪池的效果分析</w:t>
            </w:r>
          </w:p>
          <w:p w14:paraId="21DCA84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本项目为扩建项目，本次项目扩建依托使用原项目已建成1个容积为20m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的化粪池，厂区内工作人员劳动定员150人，产生的办公生活污水量为14.4m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vertAlign w:val="baseline"/>
                <w:lang w:val="en-US" w:eastAsia="zh-CN" w:bidi="ar"/>
              </w:rPr>
              <w:t>/d，化粪池满足对生活污水的处理，</w:t>
            </w:r>
            <w:r>
              <w:rPr>
                <w:rFonts w:hint="default" w:ascii="Times New Roman" w:hAnsi="Times New Roman" w:eastAsia="宋体" w:cs="Times New Roman"/>
                <w:color w:val="auto"/>
                <w:kern w:val="2"/>
                <w:sz w:val="24"/>
                <w:szCs w:val="24"/>
                <w:lang w:val="en-US" w:eastAsia="zh-CN" w:bidi="ar"/>
              </w:rPr>
              <w:t>项目办公生活污水水质简单不会影响化粪池的处理效果</w:t>
            </w:r>
            <w:r>
              <w:rPr>
                <w:rFonts w:hint="eastAsia" w:cs="Times New Roman"/>
                <w:color w:val="auto"/>
                <w:kern w:val="2"/>
                <w:sz w:val="24"/>
                <w:szCs w:val="24"/>
                <w:lang w:val="en-US" w:eastAsia="zh-CN" w:bidi="ar"/>
              </w:rPr>
              <w:t>，因此本项目</w:t>
            </w:r>
            <w:r>
              <w:rPr>
                <w:rFonts w:hint="default" w:ascii="Times New Roman" w:hAnsi="Times New Roman" w:eastAsia="宋体" w:cs="Times New Roman"/>
                <w:color w:val="auto"/>
                <w:kern w:val="2"/>
                <w:sz w:val="24"/>
                <w:szCs w:val="24"/>
                <w:lang w:val="en-US" w:eastAsia="zh-CN" w:bidi="ar"/>
              </w:rPr>
              <w:t>生活污水依托原项目已建成化粪池处理是可行。</w:t>
            </w:r>
          </w:p>
          <w:p w14:paraId="2892AC6F">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b/>
                <w:bCs/>
                <w:color w:val="auto"/>
                <w:kern w:val="2"/>
                <w:sz w:val="24"/>
                <w:szCs w:val="24"/>
                <w:lang w:val="en-US" w:eastAsia="zh-CN" w:bidi="ar"/>
              </w:rPr>
              <w:t>②隔油池</w:t>
            </w:r>
          </w:p>
          <w:p w14:paraId="2F4AFE4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本项目为扩建项目，本次项目扩建依托使用原项目已建成1个容积为4m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的隔油池，产生的含油废水量为2.4m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vertAlign w:val="baseline"/>
                <w:lang w:val="en-US" w:eastAsia="zh-CN" w:bidi="ar"/>
              </w:rPr>
              <w:t>/d，隔油池满足对含油废水的处理</w:t>
            </w:r>
            <w:r>
              <w:rPr>
                <w:rFonts w:hint="default" w:ascii="Times New Roman" w:hAnsi="Times New Roman" w:eastAsia="宋体" w:cs="Times New Roman"/>
                <w:color w:val="auto"/>
                <w:kern w:val="2"/>
                <w:sz w:val="24"/>
                <w:szCs w:val="24"/>
                <w:lang w:val="en-US" w:eastAsia="zh-CN" w:bidi="ar"/>
              </w:rPr>
              <w:t>，隔油池设置合理可行。</w:t>
            </w:r>
          </w:p>
          <w:p w14:paraId="29F4770F">
            <w:pPr>
              <w:pStyle w:val="6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snapToGrid/>
                <w:color w:val="auto"/>
                <w:kern w:val="2"/>
                <w:sz w:val="24"/>
                <w:szCs w:val="24"/>
                <w:lang w:val="en-US" w:eastAsia="zh-CN" w:bidi="ar-SA"/>
              </w:rPr>
            </w:pPr>
            <w:r>
              <w:rPr>
                <w:rFonts w:hint="default" w:ascii="Times New Roman" w:hAnsi="Times New Roman" w:eastAsia="宋体" w:cs="Times New Roman"/>
                <w:b/>
                <w:bCs/>
                <w:snapToGrid/>
                <w:color w:val="auto"/>
                <w:kern w:val="2"/>
                <w:sz w:val="24"/>
                <w:szCs w:val="24"/>
                <w:lang w:val="en-US" w:eastAsia="zh-CN" w:bidi="ar-SA"/>
              </w:rPr>
              <w:t>（4）污水进入</w:t>
            </w:r>
            <w:r>
              <w:rPr>
                <w:rFonts w:hint="eastAsia" w:ascii="Times New Roman" w:hAnsi="Times New Roman" w:eastAsia="宋体" w:cs="Times New Roman"/>
                <w:b/>
                <w:bCs/>
                <w:snapToGrid/>
                <w:color w:val="auto"/>
                <w:kern w:val="2"/>
                <w:sz w:val="24"/>
                <w:szCs w:val="24"/>
                <w:lang w:val="en-US" w:eastAsia="zh-CN" w:bidi="ar-SA"/>
              </w:rPr>
              <w:t>富民工业园区哨箐机械加工园污水处理厂</w:t>
            </w:r>
            <w:r>
              <w:rPr>
                <w:rFonts w:hint="default" w:ascii="Times New Roman" w:hAnsi="Times New Roman" w:eastAsia="宋体" w:cs="Times New Roman"/>
                <w:b/>
                <w:bCs/>
                <w:snapToGrid/>
                <w:color w:val="auto"/>
                <w:kern w:val="2"/>
                <w:sz w:val="24"/>
                <w:szCs w:val="24"/>
                <w:lang w:val="en-US" w:eastAsia="zh-CN" w:bidi="ar-SA"/>
              </w:rPr>
              <w:t>的可行性分析</w:t>
            </w:r>
          </w:p>
          <w:p w14:paraId="6EDE0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富民工业园区哨箐机械加工园污水处理厂</w:t>
            </w:r>
            <w:r>
              <w:rPr>
                <w:rFonts w:hint="default" w:ascii="Times New Roman" w:hAnsi="Times New Roman" w:eastAsia="宋体" w:cs="Times New Roman"/>
                <w:color w:val="auto"/>
                <w:sz w:val="24"/>
                <w:szCs w:val="24"/>
                <w:highlight w:val="none"/>
                <w:lang w:val="en-US" w:eastAsia="zh-CN"/>
              </w:rPr>
              <w:t>位于昆明富民工业园区哨箐富民工业园区，污水处理工艺为MBR，污水处理厂总投资1243万元，净用地面积4.32亩，设计处理规模为每天500立方米，出水执行《城镇污水处理厂污染物排放标准》（GB18918-2002）一级 A 标准。该污水处理厂于 2018 年 1 年19 投产运行，出水水质满足设计水质要求，目前运行稳定，出水水质达标。</w:t>
            </w:r>
          </w:p>
          <w:p w14:paraId="18741DD7">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本项目位于富民工业园区哨箐</w:t>
            </w:r>
            <w:r>
              <w:rPr>
                <w:rFonts w:hint="eastAsia" w:ascii="Times New Roman" w:hAnsi="Times New Roman" w:eastAsia="宋体" w:cs="Times New Roman"/>
                <w:color w:val="auto"/>
                <w:sz w:val="24"/>
                <w:szCs w:val="24"/>
                <w:highlight w:val="none"/>
                <w:lang w:val="en-US" w:eastAsia="zh-CN"/>
              </w:rPr>
              <w:t>机械加工园</w:t>
            </w:r>
            <w:r>
              <w:rPr>
                <w:rFonts w:hint="default" w:ascii="Times New Roman" w:hAnsi="Times New Roman" w:eastAsia="宋体" w:cs="Times New Roman"/>
                <w:color w:val="auto"/>
                <w:sz w:val="24"/>
                <w:szCs w:val="24"/>
                <w:highlight w:val="none"/>
                <w:lang w:val="en-US" w:eastAsia="zh-CN"/>
              </w:rPr>
              <w:t>，属于富民工业园区哨箐</w:t>
            </w:r>
            <w:r>
              <w:rPr>
                <w:rFonts w:hint="eastAsia" w:ascii="Times New Roman" w:hAnsi="Times New Roman" w:eastAsia="宋体" w:cs="Times New Roman"/>
                <w:color w:val="auto"/>
                <w:sz w:val="24"/>
                <w:szCs w:val="24"/>
                <w:highlight w:val="none"/>
                <w:lang w:val="en-US" w:eastAsia="zh-CN"/>
              </w:rPr>
              <w:t>机械加工园</w:t>
            </w:r>
            <w:r>
              <w:rPr>
                <w:rFonts w:hint="default" w:ascii="Times New Roman" w:hAnsi="Times New Roman" w:eastAsia="宋体" w:cs="Times New Roman"/>
                <w:color w:val="auto"/>
                <w:sz w:val="24"/>
                <w:szCs w:val="24"/>
                <w:highlight w:val="none"/>
                <w:lang w:val="en-US" w:eastAsia="zh-CN"/>
              </w:rPr>
              <w:t>污水处理厂的纳污范围，</w:t>
            </w:r>
            <w:r>
              <w:rPr>
                <w:rFonts w:hint="eastAsia"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lang w:val="en-US" w:eastAsia="zh-CN"/>
              </w:rPr>
              <w:t>生活污水经隔油池、化粪池预处理后同生产废水一并进入自建的污水处理系统处理达</w:t>
            </w:r>
            <w:r>
              <w:rPr>
                <w:rFonts w:hint="default" w:ascii="Times New Roman" w:hAnsi="Times New Roman" w:eastAsia="宋体" w:cs="Times New Roman"/>
                <w:color w:val="auto"/>
                <w:kern w:val="2"/>
                <w:sz w:val="24"/>
                <w:szCs w:val="24"/>
                <w:lang w:val="en-US" w:eastAsia="zh-CN" w:bidi="ar"/>
              </w:rPr>
              <w:t>《污水排入城镇下水道水质标准》（GB/T31962-2015）表1中A级标准后</w:t>
            </w:r>
            <w:r>
              <w:rPr>
                <w:rFonts w:hint="default" w:ascii="Times New Roman" w:hAnsi="Times New Roman" w:eastAsia="宋体" w:cs="Times New Roman"/>
                <w:color w:val="auto"/>
                <w:sz w:val="24"/>
                <w:szCs w:val="24"/>
                <w:highlight w:val="none"/>
                <w:lang w:val="en-US" w:eastAsia="zh-CN"/>
              </w:rPr>
              <w:t>进入</w:t>
            </w:r>
            <w:r>
              <w:rPr>
                <w:rFonts w:hint="eastAsia" w:ascii="Times New Roman" w:hAnsi="Times New Roman" w:eastAsia="宋体" w:cs="Times New Roman"/>
                <w:color w:val="auto"/>
                <w:sz w:val="24"/>
                <w:szCs w:val="24"/>
                <w:highlight w:val="none"/>
                <w:lang w:val="en-US" w:eastAsia="zh-CN"/>
              </w:rPr>
              <w:t>富民工业园区哨箐机械加工园污水处理厂</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 xml:space="preserve">  </w:t>
            </w:r>
          </w:p>
          <w:p w14:paraId="39AE069A">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lang w:val="en-US"/>
              </w:rPr>
            </w:pPr>
            <w:r>
              <w:rPr>
                <w:rFonts w:hint="eastAsia" w:ascii="Times New Roman" w:hAnsi="Times New Roman" w:eastAsia="宋体" w:cs="Times New Roman"/>
                <w:color w:val="auto"/>
                <w:sz w:val="24"/>
                <w:szCs w:val="24"/>
                <w:highlight w:val="none"/>
                <w:lang w:val="en-US" w:eastAsia="zh-CN"/>
              </w:rPr>
              <w:t>根据现场调查，</w:t>
            </w:r>
            <w:r>
              <w:rPr>
                <w:rFonts w:hint="eastAsia" w:cs="Times New Roman"/>
                <w:color w:val="auto"/>
                <w:sz w:val="24"/>
                <w:szCs w:val="24"/>
                <w:highlight w:val="none"/>
                <w:lang w:val="en-US" w:eastAsia="zh-CN"/>
              </w:rPr>
              <w:t>本次扩建不新增生产线、厂区占地面积，不涉及初期雨水的增加，增加的仅为新增员工20人的生活污水量以及少量的生产废水，因此</w:t>
            </w:r>
            <w:r>
              <w:rPr>
                <w:rFonts w:hint="eastAsia" w:cs="Times New Roman"/>
                <w:color w:val="000000"/>
                <w:kern w:val="0"/>
                <w:sz w:val="24"/>
                <w:szCs w:val="24"/>
                <w:lang w:val="en-US" w:eastAsia="zh-CN" w:bidi="ar"/>
              </w:rPr>
              <w:t>项目扩建完成后增加的废水对污水处理厂的冲击较小。</w:t>
            </w:r>
          </w:p>
          <w:p w14:paraId="559FA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pacing w:val="11"/>
                <w:sz w:val="24"/>
                <w:lang w:val="en-US" w:eastAsia="zh-CN"/>
              </w:rPr>
            </w:pPr>
            <w:r>
              <w:rPr>
                <w:rFonts w:hint="eastAsia" w:cs="Times New Roman"/>
                <w:color w:val="000000"/>
                <w:kern w:val="0"/>
                <w:sz w:val="24"/>
                <w:szCs w:val="24"/>
                <w:lang w:val="en-US" w:eastAsia="zh-CN" w:bidi="ar"/>
              </w:rPr>
              <w:t>据了解，</w:t>
            </w:r>
            <w:r>
              <w:rPr>
                <w:rFonts w:hint="default" w:ascii="Times New Roman" w:hAnsi="Times New Roman" w:eastAsia="宋体" w:cs="Times New Roman"/>
                <w:color w:val="000000"/>
                <w:kern w:val="0"/>
                <w:sz w:val="24"/>
                <w:szCs w:val="24"/>
                <w:lang w:val="en-US" w:eastAsia="zh-CN" w:bidi="ar"/>
              </w:rPr>
              <w:t>目前</w:t>
            </w:r>
            <w:r>
              <w:rPr>
                <w:rFonts w:hint="default" w:ascii="Times New Roman" w:hAnsi="Times New Roman" w:eastAsia="宋体" w:cs="Times New Roman"/>
                <w:color w:val="auto"/>
                <w:sz w:val="24"/>
                <w:szCs w:val="24"/>
                <w:highlight w:val="none"/>
                <w:lang w:val="en-US" w:eastAsia="zh-CN"/>
              </w:rPr>
              <w:t>哨箐</w:t>
            </w:r>
            <w:r>
              <w:rPr>
                <w:rFonts w:hint="eastAsia" w:ascii="Times New Roman" w:hAnsi="Times New Roman" w:eastAsia="宋体" w:cs="Times New Roman"/>
                <w:color w:val="auto"/>
                <w:sz w:val="24"/>
                <w:szCs w:val="24"/>
                <w:highlight w:val="none"/>
                <w:lang w:val="en-US" w:eastAsia="zh-CN"/>
              </w:rPr>
              <w:t>机械加工园</w:t>
            </w:r>
            <w:r>
              <w:rPr>
                <w:rFonts w:hint="default" w:ascii="Times New Roman" w:hAnsi="Times New Roman" w:eastAsia="宋体" w:cs="Times New Roman"/>
                <w:color w:val="000000"/>
                <w:kern w:val="0"/>
                <w:sz w:val="24"/>
                <w:szCs w:val="24"/>
                <w:lang w:val="en-US" w:eastAsia="zh-CN" w:bidi="ar"/>
              </w:rPr>
              <w:t>入园企业有30家，</w:t>
            </w:r>
            <w:r>
              <w:rPr>
                <w:rFonts w:hint="eastAsia" w:cs="Times New Roman"/>
                <w:color w:val="000000"/>
                <w:kern w:val="0"/>
                <w:sz w:val="24"/>
                <w:szCs w:val="24"/>
                <w:lang w:val="en-US" w:eastAsia="zh-CN" w:bidi="ar"/>
              </w:rPr>
              <w:t>污水处理厂</w:t>
            </w:r>
            <w:r>
              <w:rPr>
                <w:rFonts w:hint="default" w:ascii="Times New Roman" w:hAnsi="Times New Roman" w:eastAsia="宋体" w:cs="Times New Roman"/>
                <w:color w:val="auto"/>
                <w:sz w:val="24"/>
                <w:szCs w:val="24"/>
                <w:highlight w:val="none"/>
                <w:lang w:val="en-US" w:eastAsia="zh-CN"/>
              </w:rPr>
              <w:t>运行负荷约为</w:t>
            </w:r>
            <w:r>
              <w:rPr>
                <w:rFonts w:hint="eastAsia" w:ascii="Times New Roman" w:hAnsi="Times New Roman" w:eastAsia="宋体" w:cs="Times New Roman"/>
                <w:color w:val="auto"/>
                <w:sz w:val="24"/>
                <w:szCs w:val="24"/>
                <w:highlight w:val="none"/>
                <w:lang w:val="en-US" w:eastAsia="zh-CN"/>
              </w:rPr>
              <w:t>350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尚有余量处理本项目</w:t>
            </w:r>
            <w:r>
              <w:rPr>
                <w:rFonts w:hint="eastAsia" w:cs="Times New Roman"/>
                <w:color w:val="auto"/>
                <w:sz w:val="24"/>
                <w:szCs w:val="24"/>
                <w:highlight w:val="none"/>
                <w:lang w:val="en-US" w:eastAsia="zh-CN"/>
              </w:rPr>
              <w:t>新增</w:t>
            </w:r>
            <w:r>
              <w:rPr>
                <w:rFonts w:hint="default" w:ascii="Times New Roman" w:hAnsi="Times New Roman" w:eastAsia="宋体" w:cs="Times New Roman"/>
                <w:color w:val="auto"/>
                <w:sz w:val="24"/>
                <w:szCs w:val="24"/>
                <w:highlight w:val="none"/>
                <w:lang w:val="en-US" w:eastAsia="zh-CN"/>
              </w:rPr>
              <w:t>的废水。因此、本项目</w:t>
            </w:r>
            <w:r>
              <w:rPr>
                <w:rFonts w:hint="eastAsia" w:ascii="Times New Roman" w:hAnsi="Times New Roman" w:eastAsia="宋体" w:cs="Times New Roman"/>
                <w:color w:val="auto"/>
                <w:sz w:val="24"/>
                <w:szCs w:val="24"/>
                <w:highlight w:val="none"/>
                <w:lang w:val="en-US" w:eastAsia="zh-CN"/>
              </w:rPr>
              <w:t>扩建后废水</w:t>
            </w:r>
            <w:r>
              <w:rPr>
                <w:rFonts w:hint="default" w:ascii="Times New Roman" w:hAnsi="Times New Roman" w:eastAsia="宋体" w:cs="Times New Roman"/>
                <w:color w:val="auto"/>
                <w:sz w:val="24"/>
                <w:szCs w:val="24"/>
                <w:highlight w:val="none"/>
                <w:lang w:val="en-US" w:eastAsia="zh-CN"/>
              </w:rPr>
              <w:t>进入</w:t>
            </w:r>
            <w:r>
              <w:rPr>
                <w:rFonts w:hint="eastAsia" w:ascii="Times New Roman" w:hAnsi="Times New Roman" w:eastAsia="宋体" w:cs="Times New Roman"/>
                <w:color w:val="auto"/>
                <w:sz w:val="24"/>
                <w:szCs w:val="24"/>
                <w:highlight w:val="none"/>
                <w:lang w:val="en-US" w:eastAsia="zh-CN"/>
              </w:rPr>
              <w:t>富民工业园区哨箐机械加工园污水处理厂</w:t>
            </w:r>
            <w:r>
              <w:rPr>
                <w:rFonts w:hint="default" w:ascii="Times New Roman" w:hAnsi="Times New Roman" w:eastAsia="宋体" w:cs="Times New Roman"/>
                <w:color w:val="auto"/>
                <w:sz w:val="24"/>
                <w:szCs w:val="24"/>
                <w:highlight w:val="none"/>
                <w:lang w:val="en-US" w:eastAsia="zh-CN"/>
              </w:rPr>
              <w:t>是可行的。</w:t>
            </w:r>
          </w:p>
          <w:p w14:paraId="0B7D6B55">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三、噪声</w:t>
            </w:r>
          </w:p>
          <w:p w14:paraId="3CD1B63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zh-CN"/>
              </w:rPr>
            </w:pPr>
            <w:r>
              <w:rPr>
                <w:rFonts w:hint="default" w:ascii="Times New Roman" w:hAnsi="Times New Roman" w:eastAsia="宋体" w:cs="Times New Roman"/>
                <w:b/>
                <w:bCs/>
                <w:color w:val="auto"/>
                <w:sz w:val="24"/>
                <w:lang w:val="zh-CN"/>
              </w:rPr>
              <w:t>（1）运输车辆噪声</w:t>
            </w:r>
          </w:p>
          <w:p w14:paraId="75D645E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经类比调查可知，运输车辆进出厂区噪声值一般在65~80dB（A），会对周围环境造成一定影响。因运输车辆在厂区内为低速行驶状态，通过加强管理、禁止厂区鸣笛，则运输车辆对周围环境的影响是可以接受的。</w:t>
            </w:r>
          </w:p>
          <w:p w14:paraId="14D25EA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为进一步减小项目区各类噪声对周围环境及保护目标的影响，本环评要求：</w:t>
            </w:r>
          </w:p>
          <w:p w14:paraId="2B7B02C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①运输车辆在厂区内为低速行驶状态，通过加强管理、禁止厂区鸣笛；</w:t>
            </w:r>
          </w:p>
          <w:p w14:paraId="7396FD4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②装卸时应该尽量减少装卸机械的运作时间，快速有序的完成作业，以降低噪声影响时间。</w:t>
            </w:r>
          </w:p>
          <w:p w14:paraId="43A0E51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zh-CN"/>
              </w:rPr>
              <w:t>（</w:t>
            </w:r>
            <w:r>
              <w:rPr>
                <w:rFonts w:hint="default" w:ascii="Times New Roman" w:hAnsi="Times New Roman" w:eastAsia="宋体" w:cs="Times New Roman"/>
                <w:b/>
                <w:bCs/>
                <w:color w:val="auto"/>
                <w:sz w:val="24"/>
              </w:rPr>
              <w:t>2</w:t>
            </w:r>
            <w:r>
              <w:rPr>
                <w:rFonts w:hint="default" w:ascii="Times New Roman" w:hAnsi="Times New Roman" w:eastAsia="宋体" w:cs="Times New Roman"/>
                <w:b/>
                <w:bCs/>
                <w:color w:val="auto"/>
                <w:sz w:val="24"/>
                <w:lang w:val="zh-CN"/>
              </w:rPr>
              <w:t>）</w:t>
            </w:r>
            <w:r>
              <w:rPr>
                <w:rFonts w:hint="default" w:ascii="Times New Roman" w:hAnsi="Times New Roman" w:eastAsia="宋体" w:cs="Times New Roman"/>
                <w:b/>
                <w:bCs/>
                <w:color w:val="auto"/>
                <w:sz w:val="24"/>
              </w:rPr>
              <w:t>固定污染源</w:t>
            </w:r>
          </w:p>
          <w:p w14:paraId="350E9C86">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right="0"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本项目主要噪声源为</w:t>
            </w:r>
            <w:r>
              <w:rPr>
                <w:rFonts w:hint="default" w:ascii="Times New Roman" w:hAnsi="Times New Roman" w:eastAsia="宋体" w:cs="Times New Roman"/>
                <w:color w:val="auto"/>
                <w:sz w:val="24"/>
                <w:lang w:val="en-US" w:eastAsia="zh-CN"/>
              </w:rPr>
              <w:t>生产</w:t>
            </w:r>
            <w:r>
              <w:rPr>
                <w:rFonts w:hint="default" w:ascii="Times New Roman" w:hAnsi="Times New Roman" w:eastAsia="宋体" w:cs="Times New Roman"/>
                <w:color w:val="auto"/>
                <w:sz w:val="24"/>
                <w:lang w:val="zh-CN"/>
              </w:rPr>
              <w:t>设备，为了实现噪声达标排放，减轻对周边环境的影响，厂方采用的噪声防治措施包括：合理布置厂区格局，对噪声设备安装减震垫。源强在</w:t>
            </w:r>
            <w:r>
              <w:rPr>
                <w:rFonts w:hint="default" w:ascii="Times New Roman" w:hAnsi="Times New Roman" w:eastAsia="宋体" w:cs="Times New Roman"/>
                <w:color w:val="auto"/>
                <w:sz w:val="24"/>
                <w:lang w:val="en-US" w:eastAsia="zh-CN"/>
              </w:rPr>
              <w:t>75</w:t>
            </w:r>
            <w:r>
              <w:rPr>
                <w:rFonts w:hint="default"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en-US" w:eastAsia="zh-CN"/>
              </w:rPr>
              <w:t>85</w:t>
            </w:r>
            <w:r>
              <w:rPr>
                <w:rFonts w:hint="default" w:ascii="Times New Roman" w:hAnsi="Times New Roman" w:eastAsia="宋体" w:cs="Times New Roman"/>
                <w:color w:val="auto"/>
                <w:sz w:val="24"/>
                <w:lang w:val="zh-CN"/>
              </w:rPr>
              <w:t>dB（A），具体噪声污染源强见表</w:t>
            </w:r>
            <w:r>
              <w:rPr>
                <w:rFonts w:hint="default" w:ascii="Times New Roman" w:hAnsi="Times New Roman" w:eastAsia="宋体" w:cs="Times New Roman"/>
                <w:color w:val="auto"/>
                <w:sz w:val="24"/>
              </w:rPr>
              <w:t>4-</w:t>
            </w:r>
            <w:r>
              <w:rPr>
                <w:rFonts w:hint="eastAsia" w:cs="Times New Roman"/>
                <w:color w:val="auto"/>
                <w:sz w:val="24"/>
                <w:lang w:val="en-US" w:eastAsia="zh-CN"/>
              </w:rPr>
              <w:t>14</w:t>
            </w:r>
            <w:r>
              <w:rPr>
                <w:rFonts w:hint="default" w:ascii="Times New Roman" w:hAnsi="Times New Roman" w:eastAsia="宋体" w:cs="Times New Roman"/>
                <w:color w:val="auto"/>
                <w:sz w:val="24"/>
                <w:lang w:val="zh-CN"/>
              </w:rPr>
              <w:t>。</w:t>
            </w:r>
          </w:p>
          <w:p w14:paraId="77B68EF1">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14</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zh-CN"/>
              </w:rPr>
              <w:t>噪声源强情况一览表</w:t>
            </w:r>
          </w:p>
          <w:tbl>
            <w:tblPr>
              <w:tblStyle w:val="2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3"/>
              <w:gridCol w:w="694"/>
              <w:gridCol w:w="696"/>
              <w:gridCol w:w="600"/>
              <w:gridCol w:w="430"/>
              <w:gridCol w:w="625"/>
              <w:gridCol w:w="662"/>
              <w:gridCol w:w="566"/>
              <w:gridCol w:w="632"/>
              <w:gridCol w:w="733"/>
              <w:gridCol w:w="393"/>
              <w:gridCol w:w="865"/>
              <w:gridCol w:w="733"/>
              <w:gridCol w:w="394"/>
            </w:tblGrid>
            <w:tr w14:paraId="2900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vMerge w:val="restart"/>
                  <w:shd w:val="clear" w:color="auto" w:fill="auto"/>
                  <w:vAlign w:val="center"/>
                </w:tcPr>
                <w:p w14:paraId="0721B2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序号</w:t>
                  </w:r>
                </w:p>
              </w:tc>
              <w:tc>
                <w:tcPr>
                  <w:tcW w:w="412" w:type="pct"/>
                  <w:vMerge w:val="restart"/>
                  <w:shd w:val="clear" w:color="auto" w:fill="auto"/>
                  <w:vAlign w:val="center"/>
                </w:tcPr>
                <w:p w14:paraId="65C2BD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建筑物名称</w:t>
                  </w:r>
                </w:p>
              </w:tc>
              <w:tc>
                <w:tcPr>
                  <w:tcW w:w="413" w:type="pct"/>
                  <w:vMerge w:val="restart"/>
                  <w:shd w:val="clear" w:color="auto" w:fill="auto"/>
                  <w:vAlign w:val="center"/>
                </w:tcPr>
                <w:p w14:paraId="4E06D96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声源名称</w:t>
                  </w:r>
                </w:p>
              </w:tc>
              <w:tc>
                <w:tcPr>
                  <w:tcW w:w="356" w:type="pct"/>
                  <w:shd w:val="clear" w:color="auto" w:fill="auto"/>
                  <w:vAlign w:val="center"/>
                </w:tcPr>
                <w:p w14:paraId="461017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lang w:eastAsia="zh-CN"/>
                    </w:rPr>
                  </w:pPr>
                  <w:r>
                    <w:rPr>
                      <w:rFonts w:hint="default" w:ascii="Times New Roman" w:hAnsi="Times New Roman" w:eastAsia="宋体" w:cs="Times New Roman"/>
                      <w:b/>
                      <w:bCs w:val="0"/>
                      <w:color w:val="auto"/>
                      <w:sz w:val="18"/>
                      <w:szCs w:val="18"/>
                      <w:lang w:eastAsia="zh-CN"/>
                    </w:rPr>
                    <w:t>声源源强</w:t>
                  </w:r>
                </w:p>
              </w:tc>
              <w:tc>
                <w:tcPr>
                  <w:tcW w:w="255" w:type="pct"/>
                  <w:vMerge w:val="restart"/>
                  <w:shd w:val="clear" w:color="auto" w:fill="auto"/>
                  <w:vAlign w:val="center"/>
                </w:tcPr>
                <w:p w14:paraId="5AD4EA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声源控制措施</w:t>
                  </w:r>
                </w:p>
              </w:tc>
              <w:tc>
                <w:tcPr>
                  <w:tcW w:w="1100" w:type="pct"/>
                  <w:gridSpan w:val="3"/>
                  <w:shd w:val="clear" w:color="auto" w:fill="auto"/>
                  <w:vAlign w:val="center"/>
                </w:tcPr>
                <w:p w14:paraId="30C78D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空间相对位置/m</w:t>
                  </w:r>
                </w:p>
              </w:tc>
              <w:tc>
                <w:tcPr>
                  <w:tcW w:w="375" w:type="pct"/>
                  <w:vMerge w:val="restart"/>
                  <w:shd w:val="clear" w:color="auto" w:fill="auto"/>
                  <w:vAlign w:val="center"/>
                </w:tcPr>
                <w:p w14:paraId="500FB7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距室内边界距离/m</w:t>
                  </w:r>
                </w:p>
              </w:tc>
              <w:tc>
                <w:tcPr>
                  <w:tcW w:w="435" w:type="pct"/>
                  <w:vMerge w:val="restart"/>
                  <w:shd w:val="clear" w:color="auto" w:fill="auto"/>
                  <w:vAlign w:val="center"/>
                </w:tcPr>
                <w:p w14:paraId="27FD52D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室内边界声级/dB(A)</w:t>
                  </w:r>
                </w:p>
              </w:tc>
              <w:tc>
                <w:tcPr>
                  <w:tcW w:w="233" w:type="pct"/>
                  <w:vMerge w:val="restart"/>
                  <w:shd w:val="clear" w:color="auto" w:fill="auto"/>
                  <w:vAlign w:val="center"/>
                </w:tcPr>
                <w:p w14:paraId="239D4F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运行时段</w:t>
                  </w:r>
                </w:p>
              </w:tc>
              <w:tc>
                <w:tcPr>
                  <w:tcW w:w="513" w:type="pct"/>
                  <w:vMerge w:val="restart"/>
                  <w:shd w:val="clear" w:color="auto" w:fill="auto"/>
                  <w:vAlign w:val="center"/>
                </w:tcPr>
                <w:p w14:paraId="78A1AA9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建筑物插入损失 / dB(A)</w:t>
                  </w:r>
                  <w:bookmarkStart w:id="11" w:name="PT_10"/>
                  <w:bookmarkEnd w:id="11"/>
                </w:p>
              </w:tc>
              <w:tc>
                <w:tcPr>
                  <w:tcW w:w="669" w:type="pct"/>
                  <w:gridSpan w:val="2"/>
                  <w:shd w:val="clear" w:color="auto" w:fill="auto"/>
                  <w:vAlign w:val="center"/>
                </w:tcPr>
                <w:p w14:paraId="10B3BA9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建筑物外噪声</w:t>
                  </w:r>
                </w:p>
              </w:tc>
            </w:tr>
            <w:tr w14:paraId="1636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vMerge w:val="continue"/>
                  <w:shd w:val="clear" w:color="auto" w:fill="auto"/>
                  <w:vAlign w:val="center"/>
                </w:tcPr>
                <w:p w14:paraId="7B33705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412" w:type="pct"/>
                  <w:vMerge w:val="continue"/>
                  <w:shd w:val="clear" w:color="auto" w:fill="auto"/>
                  <w:vAlign w:val="center"/>
                </w:tcPr>
                <w:p w14:paraId="3B15C7D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413" w:type="pct"/>
                  <w:vMerge w:val="continue"/>
                  <w:shd w:val="clear" w:color="auto" w:fill="auto"/>
                  <w:vAlign w:val="center"/>
                </w:tcPr>
                <w:p w14:paraId="5F93DF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p>
              </w:tc>
              <w:tc>
                <w:tcPr>
                  <w:tcW w:w="356" w:type="pct"/>
                  <w:shd w:val="clear" w:color="auto" w:fill="auto"/>
                  <w:vAlign w:val="center"/>
                </w:tcPr>
                <w:p w14:paraId="3644701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声功率级/dB(A)</w:t>
                  </w:r>
                </w:p>
              </w:tc>
              <w:tc>
                <w:tcPr>
                  <w:tcW w:w="255" w:type="pct"/>
                  <w:vMerge w:val="continue"/>
                  <w:shd w:val="clear" w:color="auto" w:fill="auto"/>
                  <w:vAlign w:val="center"/>
                </w:tcPr>
                <w:p w14:paraId="568044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p>
              </w:tc>
              <w:tc>
                <w:tcPr>
                  <w:tcW w:w="371" w:type="pct"/>
                  <w:shd w:val="clear" w:color="auto" w:fill="auto"/>
                  <w:vAlign w:val="center"/>
                </w:tcPr>
                <w:p w14:paraId="2818FDB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X</w:t>
                  </w:r>
                </w:p>
              </w:tc>
              <w:tc>
                <w:tcPr>
                  <w:tcW w:w="393" w:type="pct"/>
                  <w:shd w:val="clear" w:color="auto" w:fill="auto"/>
                  <w:vAlign w:val="center"/>
                </w:tcPr>
                <w:p w14:paraId="1D0548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Y</w:t>
                  </w:r>
                </w:p>
              </w:tc>
              <w:tc>
                <w:tcPr>
                  <w:tcW w:w="334" w:type="pct"/>
                  <w:shd w:val="clear" w:color="auto" w:fill="auto"/>
                  <w:vAlign w:val="center"/>
                </w:tcPr>
                <w:p w14:paraId="2713CD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Z</w:t>
                  </w:r>
                </w:p>
              </w:tc>
              <w:tc>
                <w:tcPr>
                  <w:tcW w:w="375" w:type="pct"/>
                  <w:vMerge w:val="continue"/>
                  <w:shd w:val="clear" w:color="auto" w:fill="auto"/>
                  <w:vAlign w:val="center"/>
                </w:tcPr>
                <w:p w14:paraId="3D1053A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lang w:val="en-US" w:eastAsia="zh-CN"/>
                    </w:rPr>
                  </w:pPr>
                </w:p>
              </w:tc>
              <w:tc>
                <w:tcPr>
                  <w:tcW w:w="435" w:type="pct"/>
                  <w:vMerge w:val="continue"/>
                  <w:shd w:val="clear" w:color="auto" w:fill="auto"/>
                  <w:vAlign w:val="center"/>
                </w:tcPr>
                <w:p w14:paraId="7928E9A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lang w:val="en-US" w:eastAsia="zh-CN"/>
                    </w:rPr>
                  </w:pPr>
                </w:p>
              </w:tc>
              <w:tc>
                <w:tcPr>
                  <w:tcW w:w="233" w:type="pct"/>
                  <w:vMerge w:val="continue"/>
                  <w:shd w:val="clear" w:color="auto" w:fill="auto"/>
                  <w:vAlign w:val="center"/>
                </w:tcPr>
                <w:p w14:paraId="4A70E51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p>
              </w:tc>
              <w:tc>
                <w:tcPr>
                  <w:tcW w:w="513" w:type="pct"/>
                  <w:vMerge w:val="continue"/>
                  <w:shd w:val="clear" w:color="auto" w:fill="auto"/>
                  <w:vAlign w:val="center"/>
                </w:tcPr>
                <w:p w14:paraId="4D4487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p>
              </w:tc>
              <w:tc>
                <w:tcPr>
                  <w:tcW w:w="435" w:type="pct"/>
                  <w:shd w:val="clear" w:color="auto" w:fill="auto"/>
                  <w:vAlign w:val="center"/>
                </w:tcPr>
                <w:p w14:paraId="6DDEBE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声压级/dB(A)</w:t>
                  </w:r>
                </w:p>
              </w:tc>
              <w:tc>
                <w:tcPr>
                  <w:tcW w:w="233" w:type="pct"/>
                  <w:shd w:val="clear" w:color="auto" w:fill="auto"/>
                  <w:vAlign w:val="center"/>
                </w:tcPr>
                <w:p w14:paraId="55E6708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建筑物外距离</w:t>
                  </w:r>
                </w:p>
              </w:tc>
            </w:tr>
            <w:tr w14:paraId="28E9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0B8C60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12" w:type="pct"/>
                  <w:shd w:val="clear" w:color="auto" w:fill="auto"/>
                  <w:vAlign w:val="center"/>
                </w:tcPr>
                <w:p w14:paraId="69EF7E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3969F45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33FCC8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restart"/>
                  <w:shd w:val="clear" w:color="auto" w:fill="auto"/>
                  <w:vAlign w:val="center"/>
                </w:tcPr>
                <w:p w14:paraId="46C584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厂房隔音、距离衰减基础减震</w:t>
                  </w:r>
                </w:p>
              </w:tc>
              <w:tc>
                <w:tcPr>
                  <w:tcW w:w="371" w:type="pct"/>
                  <w:shd w:val="clear" w:color="auto" w:fill="auto"/>
                  <w:vAlign w:val="center"/>
                </w:tcPr>
                <w:p w14:paraId="7CF580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-41.6</w:t>
                  </w:r>
                </w:p>
              </w:tc>
              <w:tc>
                <w:tcPr>
                  <w:tcW w:w="393" w:type="pct"/>
                  <w:shd w:val="clear" w:color="auto" w:fill="auto"/>
                  <w:vAlign w:val="center"/>
                </w:tcPr>
                <w:p w14:paraId="126634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-20.8</w:t>
                  </w:r>
                </w:p>
              </w:tc>
              <w:tc>
                <w:tcPr>
                  <w:tcW w:w="334" w:type="pct"/>
                  <w:shd w:val="clear" w:color="auto" w:fill="auto"/>
                  <w:vAlign w:val="center"/>
                </w:tcPr>
                <w:p w14:paraId="5BC512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1BD2C1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10.1</w:t>
                  </w:r>
                </w:p>
              </w:tc>
              <w:tc>
                <w:tcPr>
                  <w:tcW w:w="435" w:type="pct"/>
                  <w:shd w:val="clear" w:color="auto" w:fill="auto"/>
                  <w:vAlign w:val="center"/>
                </w:tcPr>
                <w:p w14:paraId="0256F2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59.7</w:t>
                  </w:r>
                </w:p>
              </w:tc>
              <w:tc>
                <w:tcPr>
                  <w:tcW w:w="233" w:type="pct"/>
                  <w:shd w:val="clear" w:color="auto" w:fill="auto"/>
                  <w:vAlign w:val="center"/>
                </w:tcPr>
                <w:p w14:paraId="04EDB8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0D5AF19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0C8542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18.7</w:t>
                  </w:r>
                </w:p>
              </w:tc>
              <w:tc>
                <w:tcPr>
                  <w:tcW w:w="233" w:type="pct"/>
                  <w:shd w:val="clear" w:color="auto" w:fill="auto"/>
                  <w:vAlign w:val="center"/>
                </w:tcPr>
                <w:p w14:paraId="19D378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022B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44E60F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412" w:type="pct"/>
                  <w:shd w:val="clear" w:color="auto" w:fill="auto"/>
                  <w:vAlign w:val="center"/>
                </w:tcPr>
                <w:p w14:paraId="64B602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138593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27AFEB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51F520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0F4129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-32.6</w:t>
                  </w:r>
                </w:p>
              </w:tc>
              <w:tc>
                <w:tcPr>
                  <w:tcW w:w="393" w:type="pct"/>
                  <w:shd w:val="clear" w:color="auto" w:fill="auto"/>
                  <w:vAlign w:val="center"/>
                </w:tcPr>
                <w:p w14:paraId="2E3F25E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-24.7</w:t>
                  </w:r>
                </w:p>
              </w:tc>
              <w:tc>
                <w:tcPr>
                  <w:tcW w:w="334" w:type="pct"/>
                  <w:shd w:val="clear" w:color="auto" w:fill="auto"/>
                  <w:vAlign w:val="center"/>
                </w:tcPr>
                <w:p w14:paraId="37291F9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3B5D55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9.1</w:t>
                  </w:r>
                </w:p>
              </w:tc>
              <w:tc>
                <w:tcPr>
                  <w:tcW w:w="435" w:type="pct"/>
                  <w:shd w:val="clear" w:color="auto" w:fill="auto"/>
                  <w:vAlign w:val="center"/>
                </w:tcPr>
                <w:p w14:paraId="130FF2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59.7</w:t>
                  </w:r>
                </w:p>
              </w:tc>
              <w:tc>
                <w:tcPr>
                  <w:tcW w:w="233" w:type="pct"/>
                  <w:shd w:val="clear" w:color="auto" w:fill="auto"/>
                  <w:vAlign w:val="center"/>
                </w:tcPr>
                <w:p w14:paraId="4F47F3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674B4D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128CE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18.7</w:t>
                  </w:r>
                </w:p>
              </w:tc>
              <w:tc>
                <w:tcPr>
                  <w:tcW w:w="233" w:type="pct"/>
                  <w:shd w:val="clear" w:color="auto" w:fill="auto"/>
                  <w:vAlign w:val="center"/>
                </w:tcPr>
                <w:p w14:paraId="62CC00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23E9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6FE9BF8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12" w:type="pct"/>
                  <w:shd w:val="clear" w:color="auto" w:fill="auto"/>
                  <w:vAlign w:val="center"/>
                </w:tcPr>
                <w:p w14:paraId="100D905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3399B0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7104E6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29C5BD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09C5AA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-28.2</w:t>
                  </w:r>
                </w:p>
              </w:tc>
              <w:tc>
                <w:tcPr>
                  <w:tcW w:w="393" w:type="pct"/>
                  <w:shd w:val="clear" w:color="auto" w:fill="auto"/>
                  <w:vAlign w:val="center"/>
                </w:tcPr>
                <w:p w14:paraId="07A297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-13.9</w:t>
                  </w:r>
                </w:p>
              </w:tc>
              <w:tc>
                <w:tcPr>
                  <w:tcW w:w="334" w:type="pct"/>
                  <w:shd w:val="clear" w:color="auto" w:fill="auto"/>
                  <w:vAlign w:val="center"/>
                </w:tcPr>
                <w:p w14:paraId="41F1C44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48BBC9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20.7</w:t>
                  </w:r>
                </w:p>
              </w:tc>
              <w:tc>
                <w:tcPr>
                  <w:tcW w:w="435" w:type="pct"/>
                  <w:shd w:val="clear" w:color="auto" w:fill="auto"/>
                  <w:vAlign w:val="center"/>
                </w:tcPr>
                <w:p w14:paraId="72435E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7711A9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3618DA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43CEFF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7B95CFC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2688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6A6B7D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412" w:type="pct"/>
                  <w:shd w:val="clear" w:color="auto" w:fill="auto"/>
                  <w:vAlign w:val="center"/>
                </w:tcPr>
                <w:p w14:paraId="54D598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185852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空气压缩机</w:t>
                  </w:r>
                </w:p>
              </w:tc>
              <w:tc>
                <w:tcPr>
                  <w:tcW w:w="356" w:type="pct"/>
                  <w:shd w:val="clear" w:color="auto" w:fill="auto"/>
                  <w:vAlign w:val="center"/>
                </w:tcPr>
                <w:p w14:paraId="2EF87E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w:t>
                  </w:r>
                </w:p>
              </w:tc>
              <w:tc>
                <w:tcPr>
                  <w:tcW w:w="255" w:type="pct"/>
                  <w:vMerge w:val="continue"/>
                  <w:shd w:val="clear" w:color="auto" w:fill="auto"/>
                  <w:vAlign w:val="center"/>
                </w:tcPr>
                <w:p w14:paraId="056731F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E8A67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-39.5</w:t>
                  </w:r>
                </w:p>
              </w:tc>
              <w:tc>
                <w:tcPr>
                  <w:tcW w:w="393" w:type="pct"/>
                  <w:shd w:val="clear" w:color="auto" w:fill="auto"/>
                  <w:vAlign w:val="center"/>
                </w:tcPr>
                <w:p w14:paraId="07D43A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334" w:type="pct"/>
                  <w:shd w:val="clear" w:color="auto" w:fill="auto"/>
                  <w:vAlign w:val="center"/>
                </w:tcPr>
                <w:p w14:paraId="5D8779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C2BE9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13.8</w:t>
                  </w:r>
                </w:p>
              </w:tc>
              <w:tc>
                <w:tcPr>
                  <w:tcW w:w="435" w:type="pct"/>
                  <w:shd w:val="clear" w:color="auto" w:fill="auto"/>
                  <w:vAlign w:val="center"/>
                </w:tcPr>
                <w:p w14:paraId="3D742F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69.6</w:t>
                  </w:r>
                </w:p>
              </w:tc>
              <w:tc>
                <w:tcPr>
                  <w:tcW w:w="233" w:type="pct"/>
                  <w:shd w:val="clear" w:color="auto" w:fill="auto"/>
                  <w:vAlign w:val="center"/>
                </w:tcPr>
                <w:p w14:paraId="66B280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793241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7926F99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28.6</w:t>
                  </w:r>
                </w:p>
              </w:tc>
              <w:tc>
                <w:tcPr>
                  <w:tcW w:w="233" w:type="pct"/>
                  <w:shd w:val="clear" w:color="auto" w:fill="auto"/>
                  <w:vAlign w:val="center"/>
                </w:tcPr>
                <w:p w14:paraId="6FE5D6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2140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6931C5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412" w:type="pct"/>
                  <w:shd w:val="clear" w:color="auto" w:fill="auto"/>
                  <w:vAlign w:val="center"/>
                </w:tcPr>
                <w:p w14:paraId="780034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312D67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空气压缩机</w:t>
                  </w:r>
                </w:p>
              </w:tc>
              <w:tc>
                <w:tcPr>
                  <w:tcW w:w="356" w:type="pct"/>
                  <w:shd w:val="clear" w:color="auto" w:fill="auto"/>
                  <w:vAlign w:val="center"/>
                </w:tcPr>
                <w:p w14:paraId="6C2861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w:t>
                  </w:r>
                </w:p>
              </w:tc>
              <w:tc>
                <w:tcPr>
                  <w:tcW w:w="255" w:type="pct"/>
                  <w:vMerge w:val="continue"/>
                  <w:shd w:val="clear" w:color="auto" w:fill="auto"/>
                  <w:vAlign w:val="center"/>
                </w:tcPr>
                <w:p w14:paraId="3B176F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288169F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-21.8</w:t>
                  </w:r>
                </w:p>
              </w:tc>
              <w:tc>
                <w:tcPr>
                  <w:tcW w:w="393" w:type="pct"/>
                  <w:shd w:val="clear" w:color="auto" w:fill="auto"/>
                  <w:vAlign w:val="center"/>
                </w:tcPr>
                <w:p w14:paraId="036771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-29.4</w:t>
                  </w:r>
                </w:p>
              </w:tc>
              <w:tc>
                <w:tcPr>
                  <w:tcW w:w="334" w:type="pct"/>
                  <w:shd w:val="clear" w:color="auto" w:fill="auto"/>
                  <w:vAlign w:val="center"/>
                </w:tcPr>
                <w:p w14:paraId="1C4B0A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2F8927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7.9</w:t>
                  </w:r>
                </w:p>
              </w:tc>
              <w:tc>
                <w:tcPr>
                  <w:tcW w:w="435" w:type="pct"/>
                  <w:shd w:val="clear" w:color="auto" w:fill="auto"/>
                  <w:vAlign w:val="center"/>
                </w:tcPr>
                <w:p w14:paraId="2BCF77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69.7</w:t>
                  </w:r>
                </w:p>
              </w:tc>
              <w:tc>
                <w:tcPr>
                  <w:tcW w:w="233" w:type="pct"/>
                  <w:shd w:val="clear" w:color="auto" w:fill="auto"/>
                  <w:vAlign w:val="center"/>
                </w:tcPr>
                <w:p w14:paraId="469BAD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5DDB40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6809F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28.7</w:t>
                  </w:r>
                </w:p>
              </w:tc>
              <w:tc>
                <w:tcPr>
                  <w:tcW w:w="233" w:type="pct"/>
                  <w:shd w:val="clear" w:color="auto" w:fill="auto"/>
                  <w:vAlign w:val="center"/>
                </w:tcPr>
                <w:p w14:paraId="067B73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59EB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2DA9C5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412" w:type="pct"/>
                  <w:shd w:val="clear" w:color="auto" w:fill="auto"/>
                  <w:vAlign w:val="center"/>
                </w:tcPr>
                <w:p w14:paraId="5F7140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6ED7C1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空气压缩机</w:t>
                  </w:r>
                </w:p>
              </w:tc>
              <w:tc>
                <w:tcPr>
                  <w:tcW w:w="356" w:type="pct"/>
                  <w:shd w:val="clear" w:color="auto" w:fill="auto"/>
                  <w:vAlign w:val="center"/>
                </w:tcPr>
                <w:p w14:paraId="48A260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w:t>
                  </w:r>
                </w:p>
              </w:tc>
              <w:tc>
                <w:tcPr>
                  <w:tcW w:w="255" w:type="pct"/>
                  <w:vMerge w:val="continue"/>
                  <w:shd w:val="clear" w:color="auto" w:fill="auto"/>
                  <w:vAlign w:val="center"/>
                </w:tcPr>
                <w:p w14:paraId="4B41FA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39AB35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-17.9</w:t>
                  </w:r>
                </w:p>
              </w:tc>
              <w:tc>
                <w:tcPr>
                  <w:tcW w:w="393" w:type="pct"/>
                  <w:shd w:val="clear" w:color="auto" w:fill="auto"/>
                  <w:vAlign w:val="center"/>
                </w:tcPr>
                <w:p w14:paraId="2CF6349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-20.8</w:t>
                  </w:r>
                </w:p>
              </w:tc>
              <w:tc>
                <w:tcPr>
                  <w:tcW w:w="334" w:type="pct"/>
                  <w:shd w:val="clear" w:color="auto" w:fill="auto"/>
                  <w:vAlign w:val="center"/>
                </w:tcPr>
                <w:p w14:paraId="223358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1BBCCB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17.2</w:t>
                  </w:r>
                </w:p>
              </w:tc>
              <w:tc>
                <w:tcPr>
                  <w:tcW w:w="435" w:type="pct"/>
                  <w:shd w:val="clear" w:color="auto" w:fill="auto"/>
                  <w:vAlign w:val="center"/>
                </w:tcPr>
                <w:p w14:paraId="53DDC7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69.6</w:t>
                  </w:r>
                </w:p>
              </w:tc>
              <w:tc>
                <w:tcPr>
                  <w:tcW w:w="233" w:type="pct"/>
                  <w:shd w:val="clear" w:color="auto" w:fill="auto"/>
                  <w:vAlign w:val="center"/>
                </w:tcPr>
                <w:p w14:paraId="3C6544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5CBF641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26700B1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28.6</w:t>
                  </w:r>
                </w:p>
              </w:tc>
              <w:tc>
                <w:tcPr>
                  <w:tcW w:w="233" w:type="pct"/>
                  <w:shd w:val="clear" w:color="auto" w:fill="auto"/>
                  <w:vAlign w:val="center"/>
                </w:tcPr>
                <w:p w14:paraId="689F30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0F47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353C1B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412" w:type="pct"/>
                  <w:shd w:val="clear" w:color="auto" w:fill="auto"/>
                  <w:vAlign w:val="center"/>
                </w:tcPr>
                <w:p w14:paraId="305DDD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684E363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空气压缩机</w:t>
                  </w:r>
                </w:p>
              </w:tc>
              <w:tc>
                <w:tcPr>
                  <w:tcW w:w="356" w:type="pct"/>
                  <w:shd w:val="clear" w:color="auto" w:fill="auto"/>
                  <w:vAlign w:val="center"/>
                </w:tcPr>
                <w:p w14:paraId="53BA05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w:t>
                  </w:r>
                </w:p>
              </w:tc>
              <w:tc>
                <w:tcPr>
                  <w:tcW w:w="255" w:type="pct"/>
                  <w:vMerge w:val="continue"/>
                  <w:shd w:val="clear" w:color="auto" w:fill="auto"/>
                  <w:vAlign w:val="center"/>
                </w:tcPr>
                <w:p w14:paraId="749C37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3BF958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-33.9</w:t>
                  </w:r>
                </w:p>
              </w:tc>
              <w:tc>
                <w:tcPr>
                  <w:tcW w:w="393" w:type="pct"/>
                  <w:shd w:val="clear" w:color="auto" w:fill="auto"/>
                  <w:vAlign w:val="center"/>
                </w:tcPr>
                <w:p w14:paraId="505480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-17.1</w:t>
                  </w:r>
                </w:p>
              </w:tc>
              <w:tc>
                <w:tcPr>
                  <w:tcW w:w="334" w:type="pct"/>
                  <w:shd w:val="clear" w:color="auto" w:fill="auto"/>
                  <w:vAlign w:val="center"/>
                </w:tcPr>
                <w:p w14:paraId="6C2517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727591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16.0</w:t>
                  </w:r>
                </w:p>
              </w:tc>
              <w:tc>
                <w:tcPr>
                  <w:tcW w:w="435" w:type="pct"/>
                  <w:shd w:val="clear" w:color="auto" w:fill="auto"/>
                  <w:vAlign w:val="center"/>
                </w:tcPr>
                <w:p w14:paraId="2E7CEB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69.6</w:t>
                  </w:r>
                </w:p>
              </w:tc>
              <w:tc>
                <w:tcPr>
                  <w:tcW w:w="233" w:type="pct"/>
                  <w:shd w:val="clear" w:color="auto" w:fill="auto"/>
                  <w:vAlign w:val="center"/>
                </w:tcPr>
                <w:p w14:paraId="69F89F9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746BF8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1CE212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28.6</w:t>
                  </w:r>
                </w:p>
              </w:tc>
              <w:tc>
                <w:tcPr>
                  <w:tcW w:w="233" w:type="pct"/>
                  <w:shd w:val="clear" w:color="auto" w:fill="auto"/>
                  <w:vAlign w:val="center"/>
                </w:tcPr>
                <w:p w14:paraId="7CC5B07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3EDF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3654A5F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412" w:type="pct"/>
                  <w:shd w:val="clear" w:color="auto" w:fill="auto"/>
                  <w:vAlign w:val="center"/>
                </w:tcPr>
                <w:p w14:paraId="2910BE1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3D0C3E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冷冻式干燥机</w:t>
                  </w:r>
                </w:p>
              </w:tc>
              <w:tc>
                <w:tcPr>
                  <w:tcW w:w="356" w:type="pct"/>
                  <w:shd w:val="clear" w:color="auto" w:fill="auto"/>
                  <w:vAlign w:val="center"/>
                </w:tcPr>
                <w:p w14:paraId="191F35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tc>
              <w:tc>
                <w:tcPr>
                  <w:tcW w:w="255" w:type="pct"/>
                  <w:vMerge w:val="continue"/>
                  <w:shd w:val="clear" w:color="auto" w:fill="auto"/>
                  <w:vAlign w:val="center"/>
                </w:tcPr>
                <w:p w14:paraId="331878E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0ECE359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-26.1</w:t>
                  </w:r>
                </w:p>
              </w:tc>
              <w:tc>
                <w:tcPr>
                  <w:tcW w:w="393" w:type="pct"/>
                  <w:shd w:val="clear" w:color="auto" w:fill="auto"/>
                  <w:vAlign w:val="center"/>
                </w:tcPr>
                <w:p w14:paraId="3D16BEF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-23.4</w:t>
                  </w:r>
                </w:p>
              </w:tc>
              <w:tc>
                <w:tcPr>
                  <w:tcW w:w="334" w:type="pct"/>
                  <w:shd w:val="clear" w:color="auto" w:fill="auto"/>
                  <w:vAlign w:val="center"/>
                </w:tcPr>
                <w:p w14:paraId="04EDA49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6AE6CE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12.3</w:t>
                  </w:r>
                </w:p>
              </w:tc>
              <w:tc>
                <w:tcPr>
                  <w:tcW w:w="435" w:type="pct"/>
                  <w:shd w:val="clear" w:color="auto" w:fill="auto"/>
                  <w:vAlign w:val="center"/>
                </w:tcPr>
                <w:p w14:paraId="5C2837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64.6</w:t>
                  </w:r>
                </w:p>
              </w:tc>
              <w:tc>
                <w:tcPr>
                  <w:tcW w:w="233" w:type="pct"/>
                  <w:shd w:val="clear" w:color="auto" w:fill="auto"/>
                  <w:vAlign w:val="center"/>
                </w:tcPr>
                <w:p w14:paraId="6725EC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6FC3EE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52F617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23.6</w:t>
                  </w:r>
                </w:p>
              </w:tc>
              <w:tc>
                <w:tcPr>
                  <w:tcW w:w="233" w:type="pct"/>
                  <w:shd w:val="clear" w:color="auto" w:fill="auto"/>
                  <w:vAlign w:val="center"/>
                </w:tcPr>
                <w:p w14:paraId="26F1F8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7818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161080C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412" w:type="pct"/>
                  <w:shd w:val="clear" w:color="auto" w:fill="auto"/>
                  <w:vAlign w:val="center"/>
                </w:tcPr>
                <w:p w14:paraId="169F27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098EDE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工艺水泵</w:t>
                  </w:r>
                </w:p>
              </w:tc>
              <w:tc>
                <w:tcPr>
                  <w:tcW w:w="356" w:type="pct"/>
                  <w:shd w:val="clear" w:color="auto" w:fill="auto"/>
                  <w:vAlign w:val="center"/>
                </w:tcPr>
                <w:p w14:paraId="25862D9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704463A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34B8F3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-36.4</w:t>
                  </w:r>
                </w:p>
              </w:tc>
              <w:tc>
                <w:tcPr>
                  <w:tcW w:w="393" w:type="pct"/>
                  <w:shd w:val="clear" w:color="auto" w:fill="auto"/>
                  <w:vAlign w:val="center"/>
                </w:tcPr>
                <w:p w14:paraId="4D1871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-21.6</w:t>
                  </w:r>
                </w:p>
              </w:tc>
              <w:tc>
                <w:tcPr>
                  <w:tcW w:w="334" w:type="pct"/>
                  <w:shd w:val="clear" w:color="auto" w:fill="auto"/>
                  <w:vAlign w:val="center"/>
                </w:tcPr>
                <w:p w14:paraId="13B6A89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7C696F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10.9</w:t>
                  </w:r>
                </w:p>
              </w:tc>
              <w:tc>
                <w:tcPr>
                  <w:tcW w:w="435" w:type="pct"/>
                  <w:shd w:val="clear" w:color="auto" w:fill="auto"/>
                  <w:vAlign w:val="center"/>
                </w:tcPr>
                <w:p w14:paraId="654BEC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59.7</w:t>
                  </w:r>
                </w:p>
              </w:tc>
              <w:tc>
                <w:tcPr>
                  <w:tcW w:w="233" w:type="pct"/>
                  <w:shd w:val="clear" w:color="auto" w:fill="auto"/>
                  <w:vAlign w:val="center"/>
                </w:tcPr>
                <w:p w14:paraId="3777EE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2E90D0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21E5691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18.7</w:t>
                  </w:r>
                </w:p>
              </w:tc>
              <w:tc>
                <w:tcPr>
                  <w:tcW w:w="233" w:type="pct"/>
                  <w:shd w:val="clear" w:color="auto" w:fill="auto"/>
                  <w:vAlign w:val="center"/>
                </w:tcPr>
                <w:p w14:paraId="3DDC44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5769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67FFE1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412" w:type="pct"/>
                  <w:shd w:val="clear" w:color="auto" w:fill="auto"/>
                  <w:vAlign w:val="center"/>
                </w:tcPr>
                <w:p w14:paraId="3D9EC5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688918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工艺水泵</w:t>
                  </w:r>
                </w:p>
              </w:tc>
              <w:tc>
                <w:tcPr>
                  <w:tcW w:w="356" w:type="pct"/>
                  <w:shd w:val="clear" w:color="auto" w:fill="auto"/>
                  <w:vAlign w:val="center"/>
                </w:tcPr>
                <w:p w14:paraId="3AC879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0A10DF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7789E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-35.6</w:t>
                  </w:r>
                </w:p>
              </w:tc>
              <w:tc>
                <w:tcPr>
                  <w:tcW w:w="393" w:type="pct"/>
                  <w:shd w:val="clear" w:color="auto" w:fill="auto"/>
                  <w:vAlign w:val="center"/>
                </w:tcPr>
                <w:p w14:paraId="123C494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-12.1</w:t>
                  </w:r>
                </w:p>
              </w:tc>
              <w:tc>
                <w:tcPr>
                  <w:tcW w:w="334" w:type="pct"/>
                  <w:shd w:val="clear" w:color="auto" w:fill="auto"/>
                  <w:vAlign w:val="center"/>
                </w:tcPr>
                <w:p w14:paraId="7CC10E0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1B65BB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18.2</w:t>
                  </w:r>
                </w:p>
              </w:tc>
              <w:tc>
                <w:tcPr>
                  <w:tcW w:w="435" w:type="pct"/>
                  <w:shd w:val="clear" w:color="auto" w:fill="auto"/>
                  <w:vAlign w:val="center"/>
                </w:tcPr>
                <w:p w14:paraId="78F2D8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337F03A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2B2A5D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4780135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70998D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5AEB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3D6404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w:t>
                  </w:r>
                </w:p>
              </w:tc>
              <w:tc>
                <w:tcPr>
                  <w:tcW w:w="412" w:type="pct"/>
                  <w:shd w:val="clear" w:color="auto" w:fill="auto"/>
                  <w:vAlign w:val="center"/>
                </w:tcPr>
                <w:p w14:paraId="49E71F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45D0DF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高压水泵</w:t>
                  </w:r>
                </w:p>
              </w:tc>
              <w:tc>
                <w:tcPr>
                  <w:tcW w:w="356" w:type="pct"/>
                  <w:shd w:val="clear" w:color="auto" w:fill="auto"/>
                  <w:vAlign w:val="center"/>
                </w:tcPr>
                <w:p w14:paraId="15C187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3DEC8B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45C910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-39.9</w:t>
                  </w:r>
                </w:p>
              </w:tc>
              <w:tc>
                <w:tcPr>
                  <w:tcW w:w="393" w:type="pct"/>
                  <w:shd w:val="clear" w:color="auto" w:fill="auto"/>
                  <w:vAlign w:val="center"/>
                </w:tcPr>
                <w:p w14:paraId="2FBCC5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-16.9</w:t>
                  </w:r>
                </w:p>
              </w:tc>
              <w:tc>
                <w:tcPr>
                  <w:tcW w:w="334" w:type="pct"/>
                  <w:shd w:val="clear" w:color="auto" w:fill="auto"/>
                  <w:vAlign w:val="center"/>
                </w:tcPr>
                <w:p w14:paraId="62DA9B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6FE1CB7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14.4</w:t>
                  </w:r>
                </w:p>
              </w:tc>
              <w:tc>
                <w:tcPr>
                  <w:tcW w:w="435" w:type="pct"/>
                  <w:shd w:val="clear" w:color="auto" w:fill="auto"/>
                  <w:vAlign w:val="center"/>
                </w:tcPr>
                <w:p w14:paraId="4289C31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3073FF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358837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0E8DED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0ED94E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433D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3C7C87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412" w:type="pct"/>
                  <w:shd w:val="clear" w:color="auto" w:fill="auto"/>
                  <w:vAlign w:val="center"/>
                </w:tcPr>
                <w:p w14:paraId="0DC3B8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1DB120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115D0A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6D97E6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161B26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-32.6</w:t>
                  </w:r>
                </w:p>
              </w:tc>
              <w:tc>
                <w:tcPr>
                  <w:tcW w:w="393" w:type="pct"/>
                  <w:shd w:val="clear" w:color="auto" w:fill="auto"/>
                  <w:vAlign w:val="center"/>
                </w:tcPr>
                <w:p w14:paraId="0B8A3D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334" w:type="pct"/>
                  <w:shd w:val="clear" w:color="auto" w:fill="auto"/>
                  <w:vAlign w:val="center"/>
                </w:tcPr>
                <w:p w14:paraId="5F32553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4BC3A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14.9</w:t>
                  </w:r>
                </w:p>
              </w:tc>
              <w:tc>
                <w:tcPr>
                  <w:tcW w:w="435" w:type="pct"/>
                  <w:shd w:val="clear" w:color="auto" w:fill="auto"/>
                  <w:vAlign w:val="center"/>
                </w:tcPr>
                <w:p w14:paraId="78AB13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469B0A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61D023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1C0613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1C37B8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3DD1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7734B0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w:t>
                  </w:r>
                </w:p>
              </w:tc>
              <w:tc>
                <w:tcPr>
                  <w:tcW w:w="412" w:type="pct"/>
                  <w:shd w:val="clear" w:color="auto" w:fill="auto"/>
                  <w:vAlign w:val="center"/>
                </w:tcPr>
                <w:p w14:paraId="35FA52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518722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497CCE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517940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B7B561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-30.8</w:t>
                  </w:r>
                </w:p>
              </w:tc>
              <w:tc>
                <w:tcPr>
                  <w:tcW w:w="393" w:type="pct"/>
                  <w:shd w:val="clear" w:color="auto" w:fill="auto"/>
                  <w:vAlign w:val="center"/>
                </w:tcPr>
                <w:p w14:paraId="36AAE4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17.2</w:t>
                  </w:r>
                </w:p>
              </w:tc>
              <w:tc>
                <w:tcPr>
                  <w:tcW w:w="334" w:type="pct"/>
                  <w:shd w:val="clear" w:color="auto" w:fill="auto"/>
                  <w:vAlign w:val="center"/>
                </w:tcPr>
                <w:p w14:paraId="3B8498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446D80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14.2</w:t>
                  </w:r>
                </w:p>
              </w:tc>
              <w:tc>
                <w:tcPr>
                  <w:tcW w:w="435" w:type="pct"/>
                  <w:shd w:val="clear" w:color="auto" w:fill="auto"/>
                  <w:vAlign w:val="center"/>
                </w:tcPr>
                <w:p w14:paraId="77057B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271F4E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0F328E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5ED9EF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6A92B3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01E7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5A90B1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w:t>
                  </w:r>
                </w:p>
              </w:tc>
              <w:tc>
                <w:tcPr>
                  <w:tcW w:w="412" w:type="pct"/>
                  <w:shd w:val="clear" w:color="auto" w:fill="auto"/>
                  <w:vAlign w:val="center"/>
                </w:tcPr>
                <w:p w14:paraId="43ECEEB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4042FFD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73AFE2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44918C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4E939C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-28.7</w:t>
                  </w:r>
                </w:p>
              </w:tc>
              <w:tc>
                <w:tcPr>
                  <w:tcW w:w="393" w:type="pct"/>
                  <w:shd w:val="clear" w:color="auto" w:fill="auto"/>
                  <w:vAlign w:val="center"/>
                </w:tcPr>
                <w:p w14:paraId="643D43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24.1</w:t>
                  </w:r>
                </w:p>
              </w:tc>
              <w:tc>
                <w:tcPr>
                  <w:tcW w:w="334" w:type="pct"/>
                  <w:shd w:val="clear" w:color="auto" w:fill="auto"/>
                  <w:vAlign w:val="center"/>
                </w:tcPr>
                <w:p w14:paraId="4BBE69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69357F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13.9</w:t>
                  </w:r>
                </w:p>
              </w:tc>
              <w:tc>
                <w:tcPr>
                  <w:tcW w:w="435" w:type="pct"/>
                  <w:shd w:val="clear" w:color="auto" w:fill="auto"/>
                  <w:vAlign w:val="center"/>
                </w:tcPr>
                <w:p w14:paraId="386402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5D2C5D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0D40C3C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4B0B5C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4439AE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6CA7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6D503F7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412" w:type="pct"/>
                  <w:shd w:val="clear" w:color="auto" w:fill="auto"/>
                  <w:vAlign w:val="center"/>
                </w:tcPr>
                <w:p w14:paraId="5B4BD2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695964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5509CD6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440942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7F09FD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-21.3</w:t>
                  </w:r>
                </w:p>
              </w:tc>
              <w:tc>
                <w:tcPr>
                  <w:tcW w:w="393" w:type="pct"/>
                  <w:shd w:val="clear" w:color="auto" w:fill="auto"/>
                  <w:vAlign w:val="center"/>
                </w:tcPr>
                <w:p w14:paraId="6C61B80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19.8</w:t>
                  </w:r>
                </w:p>
              </w:tc>
              <w:tc>
                <w:tcPr>
                  <w:tcW w:w="334" w:type="pct"/>
                  <w:shd w:val="clear" w:color="auto" w:fill="auto"/>
                  <w:vAlign w:val="center"/>
                </w:tcPr>
                <w:p w14:paraId="4C2F95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344936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16.0</w:t>
                  </w:r>
                </w:p>
              </w:tc>
              <w:tc>
                <w:tcPr>
                  <w:tcW w:w="435" w:type="pct"/>
                  <w:shd w:val="clear" w:color="auto" w:fill="auto"/>
                  <w:vAlign w:val="center"/>
                </w:tcPr>
                <w:p w14:paraId="1C71F4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048FB3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410589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04CB6FB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60F52A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1C69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0723DB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w:t>
                  </w:r>
                </w:p>
              </w:tc>
              <w:tc>
                <w:tcPr>
                  <w:tcW w:w="412" w:type="pct"/>
                  <w:shd w:val="clear" w:color="auto" w:fill="auto"/>
                  <w:vAlign w:val="center"/>
                </w:tcPr>
                <w:p w14:paraId="57DB4B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2AF867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7D2A1A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471007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1470987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-23.5</w:t>
                  </w:r>
                </w:p>
              </w:tc>
              <w:tc>
                <w:tcPr>
                  <w:tcW w:w="393" w:type="pct"/>
                  <w:shd w:val="clear" w:color="auto" w:fill="auto"/>
                  <w:vAlign w:val="center"/>
                </w:tcPr>
                <w:p w14:paraId="6AF9A1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w:t>
                  </w:r>
                </w:p>
              </w:tc>
              <w:tc>
                <w:tcPr>
                  <w:tcW w:w="334" w:type="pct"/>
                  <w:shd w:val="clear" w:color="auto" w:fill="auto"/>
                  <w:vAlign w:val="center"/>
                </w:tcPr>
                <w:p w14:paraId="5866F4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746848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22.4</w:t>
                  </w:r>
                </w:p>
              </w:tc>
              <w:tc>
                <w:tcPr>
                  <w:tcW w:w="435" w:type="pct"/>
                  <w:shd w:val="clear" w:color="auto" w:fill="auto"/>
                  <w:vAlign w:val="center"/>
                </w:tcPr>
                <w:p w14:paraId="3D3A65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227230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6EB646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1D9F0A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72E1E6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4C73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5A2E17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w:t>
                  </w:r>
                </w:p>
              </w:tc>
              <w:tc>
                <w:tcPr>
                  <w:tcW w:w="412" w:type="pct"/>
                  <w:shd w:val="clear" w:color="auto" w:fill="auto"/>
                  <w:vAlign w:val="center"/>
                </w:tcPr>
                <w:p w14:paraId="50C2BF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556E3C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3183172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5AF9B5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CA9CD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-26.1</w:t>
                  </w:r>
                </w:p>
              </w:tc>
              <w:tc>
                <w:tcPr>
                  <w:tcW w:w="393" w:type="pct"/>
                  <w:shd w:val="clear" w:color="auto" w:fill="auto"/>
                  <w:vAlign w:val="center"/>
                </w:tcPr>
                <w:p w14:paraId="76CFF4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7.3</w:t>
                  </w:r>
                </w:p>
              </w:tc>
              <w:tc>
                <w:tcPr>
                  <w:tcW w:w="334" w:type="pct"/>
                  <w:shd w:val="clear" w:color="auto" w:fill="auto"/>
                  <w:vAlign w:val="center"/>
                </w:tcPr>
                <w:p w14:paraId="17779B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70CDB5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21.6</w:t>
                  </w:r>
                </w:p>
              </w:tc>
              <w:tc>
                <w:tcPr>
                  <w:tcW w:w="435" w:type="pct"/>
                  <w:shd w:val="clear" w:color="auto" w:fill="auto"/>
                  <w:vAlign w:val="center"/>
                </w:tcPr>
                <w:p w14:paraId="2F4B61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04B71D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5E3AABB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01011B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33544C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28FF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036F4A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w:t>
                  </w:r>
                </w:p>
              </w:tc>
              <w:tc>
                <w:tcPr>
                  <w:tcW w:w="412" w:type="pct"/>
                  <w:shd w:val="clear" w:color="auto" w:fill="auto"/>
                  <w:vAlign w:val="center"/>
                </w:tcPr>
                <w:p w14:paraId="798258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67F80D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空压机及储罐</w:t>
                  </w:r>
                </w:p>
              </w:tc>
              <w:tc>
                <w:tcPr>
                  <w:tcW w:w="356" w:type="pct"/>
                  <w:shd w:val="clear" w:color="auto" w:fill="auto"/>
                  <w:vAlign w:val="center"/>
                </w:tcPr>
                <w:p w14:paraId="1346BE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31F2E6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7D969F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-23.1</w:t>
                  </w:r>
                </w:p>
              </w:tc>
              <w:tc>
                <w:tcPr>
                  <w:tcW w:w="393" w:type="pct"/>
                  <w:shd w:val="clear" w:color="auto" w:fill="auto"/>
                  <w:vAlign w:val="center"/>
                </w:tcPr>
                <w:p w14:paraId="430A6AA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27.6</w:t>
                  </w:r>
                </w:p>
              </w:tc>
              <w:tc>
                <w:tcPr>
                  <w:tcW w:w="334" w:type="pct"/>
                  <w:shd w:val="clear" w:color="auto" w:fill="auto"/>
                  <w:vAlign w:val="center"/>
                </w:tcPr>
                <w:p w14:paraId="64D036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291F7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w:t>
                  </w:r>
                </w:p>
              </w:tc>
              <w:tc>
                <w:tcPr>
                  <w:tcW w:w="435" w:type="pct"/>
                  <w:shd w:val="clear" w:color="auto" w:fill="auto"/>
                  <w:vAlign w:val="center"/>
                </w:tcPr>
                <w:p w14:paraId="423CA65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59.7</w:t>
                  </w:r>
                </w:p>
              </w:tc>
              <w:tc>
                <w:tcPr>
                  <w:tcW w:w="233" w:type="pct"/>
                  <w:shd w:val="clear" w:color="auto" w:fill="auto"/>
                  <w:vAlign w:val="center"/>
                </w:tcPr>
                <w:p w14:paraId="4826AD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13141F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FBA50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18.7</w:t>
                  </w:r>
                </w:p>
              </w:tc>
              <w:tc>
                <w:tcPr>
                  <w:tcW w:w="233" w:type="pct"/>
                  <w:shd w:val="clear" w:color="auto" w:fill="auto"/>
                  <w:vAlign w:val="center"/>
                </w:tcPr>
                <w:p w14:paraId="553D940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2BC4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59C597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w:t>
                  </w:r>
                </w:p>
              </w:tc>
              <w:tc>
                <w:tcPr>
                  <w:tcW w:w="412" w:type="pct"/>
                  <w:shd w:val="clear" w:color="auto" w:fill="auto"/>
                  <w:vAlign w:val="center"/>
                </w:tcPr>
                <w:p w14:paraId="14AFD7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73BE90D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高压水泵</w:t>
                  </w:r>
                </w:p>
              </w:tc>
              <w:tc>
                <w:tcPr>
                  <w:tcW w:w="356" w:type="pct"/>
                  <w:shd w:val="clear" w:color="auto" w:fill="auto"/>
                  <w:vAlign w:val="center"/>
                </w:tcPr>
                <w:p w14:paraId="50C2DB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26BCCD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1EF85ED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-17.9</w:t>
                  </w:r>
                </w:p>
              </w:tc>
              <w:tc>
                <w:tcPr>
                  <w:tcW w:w="393" w:type="pct"/>
                  <w:shd w:val="clear" w:color="auto" w:fill="auto"/>
                  <w:vAlign w:val="center"/>
                </w:tcPr>
                <w:p w14:paraId="5D9B0A7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25.9</w:t>
                  </w:r>
                </w:p>
              </w:tc>
              <w:tc>
                <w:tcPr>
                  <w:tcW w:w="334" w:type="pct"/>
                  <w:shd w:val="clear" w:color="auto" w:fill="auto"/>
                  <w:vAlign w:val="center"/>
                </w:tcPr>
                <w:p w14:paraId="2295CB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635F4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9.2</w:t>
                  </w:r>
                </w:p>
              </w:tc>
              <w:tc>
                <w:tcPr>
                  <w:tcW w:w="435" w:type="pct"/>
                  <w:shd w:val="clear" w:color="auto" w:fill="auto"/>
                  <w:vAlign w:val="center"/>
                </w:tcPr>
                <w:p w14:paraId="1325B3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59.7</w:t>
                  </w:r>
                </w:p>
              </w:tc>
              <w:tc>
                <w:tcPr>
                  <w:tcW w:w="233" w:type="pct"/>
                  <w:shd w:val="clear" w:color="auto" w:fill="auto"/>
                  <w:vAlign w:val="center"/>
                </w:tcPr>
                <w:p w14:paraId="7B9088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7BA76F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70C416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18.7</w:t>
                  </w:r>
                </w:p>
              </w:tc>
              <w:tc>
                <w:tcPr>
                  <w:tcW w:w="233" w:type="pct"/>
                  <w:shd w:val="clear" w:color="auto" w:fill="auto"/>
                  <w:vAlign w:val="center"/>
                </w:tcPr>
                <w:p w14:paraId="6CD2D4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74F7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07F920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412" w:type="pct"/>
                  <w:shd w:val="clear" w:color="auto" w:fill="auto"/>
                  <w:vAlign w:val="center"/>
                </w:tcPr>
                <w:p w14:paraId="2D8EDD7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1FDFE3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砂壁高粘包装机</w:t>
                  </w:r>
                </w:p>
              </w:tc>
              <w:tc>
                <w:tcPr>
                  <w:tcW w:w="356" w:type="pct"/>
                  <w:shd w:val="clear" w:color="auto" w:fill="auto"/>
                  <w:vAlign w:val="center"/>
                </w:tcPr>
                <w:p w14:paraId="5BE390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5882226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B42F7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-13.6</w:t>
                  </w:r>
                </w:p>
              </w:tc>
              <w:tc>
                <w:tcPr>
                  <w:tcW w:w="393" w:type="pct"/>
                  <w:shd w:val="clear" w:color="auto" w:fill="auto"/>
                  <w:vAlign w:val="center"/>
                </w:tcPr>
                <w:p w14:paraId="389540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15.5</w:t>
                  </w:r>
                </w:p>
              </w:tc>
              <w:tc>
                <w:tcPr>
                  <w:tcW w:w="334" w:type="pct"/>
                  <w:shd w:val="clear" w:color="auto" w:fill="auto"/>
                  <w:vAlign w:val="center"/>
                </w:tcPr>
                <w:p w14:paraId="433888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A60C7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17.9</w:t>
                  </w:r>
                </w:p>
              </w:tc>
              <w:tc>
                <w:tcPr>
                  <w:tcW w:w="435" w:type="pct"/>
                  <w:shd w:val="clear" w:color="auto" w:fill="auto"/>
                  <w:vAlign w:val="center"/>
                </w:tcPr>
                <w:p w14:paraId="629A58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7FD9F99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341E5D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2D54F1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74BE1E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6EB0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679527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w:t>
                  </w:r>
                </w:p>
              </w:tc>
              <w:tc>
                <w:tcPr>
                  <w:tcW w:w="412" w:type="pct"/>
                  <w:shd w:val="clear" w:color="auto" w:fill="auto"/>
                  <w:vAlign w:val="center"/>
                </w:tcPr>
                <w:p w14:paraId="1A6C177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1CA13A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砂壁包装机</w:t>
                  </w:r>
                </w:p>
              </w:tc>
              <w:tc>
                <w:tcPr>
                  <w:tcW w:w="356" w:type="pct"/>
                  <w:shd w:val="clear" w:color="auto" w:fill="auto"/>
                  <w:vAlign w:val="center"/>
                </w:tcPr>
                <w:p w14:paraId="093580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c>
                <w:tcPr>
                  <w:tcW w:w="255" w:type="pct"/>
                  <w:vMerge w:val="continue"/>
                  <w:shd w:val="clear" w:color="auto" w:fill="auto"/>
                  <w:vAlign w:val="center"/>
                </w:tcPr>
                <w:p w14:paraId="57A13D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80F841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-13.6</w:t>
                  </w:r>
                </w:p>
              </w:tc>
              <w:tc>
                <w:tcPr>
                  <w:tcW w:w="393" w:type="pct"/>
                  <w:shd w:val="clear" w:color="auto" w:fill="auto"/>
                  <w:vAlign w:val="center"/>
                </w:tcPr>
                <w:p w14:paraId="465025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w:t>
                  </w:r>
                </w:p>
              </w:tc>
              <w:tc>
                <w:tcPr>
                  <w:tcW w:w="334" w:type="pct"/>
                  <w:shd w:val="clear" w:color="auto" w:fill="auto"/>
                  <w:vAlign w:val="center"/>
                </w:tcPr>
                <w:p w14:paraId="0A72570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7E054C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26.7</w:t>
                  </w:r>
                </w:p>
              </w:tc>
              <w:tc>
                <w:tcPr>
                  <w:tcW w:w="435" w:type="pct"/>
                  <w:shd w:val="clear" w:color="auto" w:fill="auto"/>
                  <w:vAlign w:val="center"/>
                </w:tcPr>
                <w:p w14:paraId="596D1C3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54.6</w:t>
                  </w:r>
                </w:p>
              </w:tc>
              <w:tc>
                <w:tcPr>
                  <w:tcW w:w="233" w:type="pct"/>
                  <w:shd w:val="clear" w:color="auto" w:fill="auto"/>
                  <w:vAlign w:val="center"/>
                </w:tcPr>
                <w:p w14:paraId="7EF8DF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624357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763427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13.6</w:t>
                  </w:r>
                </w:p>
              </w:tc>
              <w:tc>
                <w:tcPr>
                  <w:tcW w:w="233" w:type="pct"/>
                  <w:shd w:val="clear" w:color="auto" w:fill="auto"/>
                  <w:vAlign w:val="center"/>
                </w:tcPr>
                <w:p w14:paraId="65E561A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540B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33BCEA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w:t>
                  </w:r>
                </w:p>
              </w:tc>
              <w:tc>
                <w:tcPr>
                  <w:tcW w:w="412" w:type="pct"/>
                  <w:shd w:val="clear" w:color="auto" w:fill="auto"/>
                  <w:vAlign w:val="center"/>
                </w:tcPr>
                <w:p w14:paraId="154DE6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腻子粉生产车间</w:t>
                  </w:r>
                </w:p>
              </w:tc>
              <w:tc>
                <w:tcPr>
                  <w:tcW w:w="413" w:type="pct"/>
                  <w:shd w:val="clear" w:color="auto" w:fill="auto"/>
                  <w:vAlign w:val="center"/>
                </w:tcPr>
                <w:p w14:paraId="6917C31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腻子粉生产设备</w:t>
                  </w:r>
                </w:p>
              </w:tc>
              <w:tc>
                <w:tcPr>
                  <w:tcW w:w="356" w:type="pct"/>
                  <w:shd w:val="clear" w:color="auto" w:fill="auto"/>
                  <w:vAlign w:val="center"/>
                </w:tcPr>
                <w:p w14:paraId="2F9AD4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tc>
              <w:tc>
                <w:tcPr>
                  <w:tcW w:w="255" w:type="pct"/>
                  <w:vMerge w:val="continue"/>
                  <w:shd w:val="clear" w:color="auto" w:fill="auto"/>
                  <w:vAlign w:val="center"/>
                </w:tcPr>
                <w:p w14:paraId="532F55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2F311E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26.6</w:t>
                  </w:r>
                </w:p>
              </w:tc>
              <w:tc>
                <w:tcPr>
                  <w:tcW w:w="393" w:type="pct"/>
                  <w:shd w:val="clear" w:color="auto" w:fill="auto"/>
                  <w:vAlign w:val="center"/>
                </w:tcPr>
                <w:p w14:paraId="6CC401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66.9</w:t>
                  </w:r>
                </w:p>
              </w:tc>
              <w:tc>
                <w:tcPr>
                  <w:tcW w:w="334" w:type="pct"/>
                  <w:shd w:val="clear" w:color="auto" w:fill="auto"/>
                  <w:vAlign w:val="center"/>
                </w:tcPr>
                <w:p w14:paraId="4C46CB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2AA4C7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13.7</w:t>
                  </w:r>
                </w:p>
              </w:tc>
              <w:tc>
                <w:tcPr>
                  <w:tcW w:w="435" w:type="pct"/>
                  <w:shd w:val="clear" w:color="auto" w:fill="auto"/>
                  <w:vAlign w:val="center"/>
                </w:tcPr>
                <w:p w14:paraId="78FD54D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65.7</w:t>
                  </w:r>
                </w:p>
              </w:tc>
              <w:tc>
                <w:tcPr>
                  <w:tcW w:w="233" w:type="pct"/>
                  <w:shd w:val="clear" w:color="auto" w:fill="auto"/>
                  <w:vAlign w:val="center"/>
                </w:tcPr>
                <w:p w14:paraId="499216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4DEFFF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49F07E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24.7</w:t>
                  </w:r>
                </w:p>
              </w:tc>
              <w:tc>
                <w:tcPr>
                  <w:tcW w:w="233" w:type="pct"/>
                  <w:shd w:val="clear" w:color="auto" w:fill="auto"/>
                  <w:vAlign w:val="center"/>
                </w:tcPr>
                <w:p w14:paraId="47812AC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5C6F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0A841B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w:t>
                  </w:r>
                </w:p>
              </w:tc>
              <w:tc>
                <w:tcPr>
                  <w:tcW w:w="412" w:type="pct"/>
                  <w:shd w:val="clear" w:color="auto" w:fill="auto"/>
                  <w:vAlign w:val="center"/>
                </w:tcPr>
                <w:p w14:paraId="77F8DD7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腻子粉生产车间</w:t>
                  </w:r>
                </w:p>
              </w:tc>
              <w:tc>
                <w:tcPr>
                  <w:tcW w:w="413" w:type="pct"/>
                  <w:shd w:val="clear" w:color="auto" w:fill="auto"/>
                  <w:vAlign w:val="center"/>
                </w:tcPr>
                <w:p w14:paraId="760C5D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腻子粉生产设备</w:t>
                  </w:r>
                </w:p>
              </w:tc>
              <w:tc>
                <w:tcPr>
                  <w:tcW w:w="356" w:type="pct"/>
                  <w:shd w:val="clear" w:color="auto" w:fill="auto"/>
                  <w:vAlign w:val="center"/>
                </w:tcPr>
                <w:p w14:paraId="21807C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tc>
              <w:tc>
                <w:tcPr>
                  <w:tcW w:w="255" w:type="pct"/>
                  <w:vMerge w:val="continue"/>
                  <w:shd w:val="clear" w:color="auto" w:fill="auto"/>
                  <w:vAlign w:val="center"/>
                </w:tcPr>
                <w:p w14:paraId="7EE7C4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08C4CD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33.1</w:t>
                  </w:r>
                </w:p>
              </w:tc>
              <w:tc>
                <w:tcPr>
                  <w:tcW w:w="393" w:type="pct"/>
                  <w:shd w:val="clear" w:color="auto" w:fill="auto"/>
                  <w:vAlign w:val="center"/>
                </w:tcPr>
                <w:p w14:paraId="01E85C4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79.4</w:t>
                  </w:r>
                </w:p>
              </w:tc>
              <w:tc>
                <w:tcPr>
                  <w:tcW w:w="334" w:type="pct"/>
                  <w:shd w:val="clear" w:color="auto" w:fill="auto"/>
                  <w:vAlign w:val="center"/>
                </w:tcPr>
                <w:p w14:paraId="543275D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4CF4C8E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16.1</w:t>
                  </w:r>
                </w:p>
              </w:tc>
              <w:tc>
                <w:tcPr>
                  <w:tcW w:w="435" w:type="pct"/>
                  <w:shd w:val="clear" w:color="auto" w:fill="auto"/>
                  <w:vAlign w:val="center"/>
                </w:tcPr>
                <w:p w14:paraId="6EA23D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65.6</w:t>
                  </w:r>
                </w:p>
              </w:tc>
              <w:tc>
                <w:tcPr>
                  <w:tcW w:w="233" w:type="pct"/>
                  <w:shd w:val="clear" w:color="auto" w:fill="auto"/>
                  <w:vAlign w:val="center"/>
                </w:tcPr>
                <w:p w14:paraId="1E4BD95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09B3F6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FEC64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24.6</w:t>
                  </w:r>
                </w:p>
              </w:tc>
              <w:tc>
                <w:tcPr>
                  <w:tcW w:w="233" w:type="pct"/>
                  <w:shd w:val="clear" w:color="auto" w:fill="auto"/>
                  <w:vAlign w:val="center"/>
                </w:tcPr>
                <w:p w14:paraId="19A1A8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1067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7A529B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w:t>
                  </w:r>
                </w:p>
              </w:tc>
              <w:tc>
                <w:tcPr>
                  <w:tcW w:w="412" w:type="pct"/>
                  <w:shd w:val="clear" w:color="auto" w:fill="auto"/>
                  <w:vAlign w:val="center"/>
                </w:tcPr>
                <w:p w14:paraId="60EC9C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腻子粉生产车间</w:t>
                  </w:r>
                </w:p>
              </w:tc>
              <w:tc>
                <w:tcPr>
                  <w:tcW w:w="413" w:type="pct"/>
                  <w:shd w:val="clear" w:color="auto" w:fill="auto"/>
                  <w:vAlign w:val="center"/>
                </w:tcPr>
                <w:p w14:paraId="673D5C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包装机</w:t>
                  </w:r>
                </w:p>
              </w:tc>
              <w:tc>
                <w:tcPr>
                  <w:tcW w:w="356" w:type="pct"/>
                  <w:shd w:val="clear" w:color="auto" w:fill="auto"/>
                  <w:vAlign w:val="center"/>
                </w:tcPr>
                <w:p w14:paraId="34B5511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46A37F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72329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37.9</w:t>
                  </w:r>
                </w:p>
              </w:tc>
              <w:tc>
                <w:tcPr>
                  <w:tcW w:w="393" w:type="pct"/>
                  <w:shd w:val="clear" w:color="auto" w:fill="auto"/>
                  <w:vAlign w:val="center"/>
                </w:tcPr>
                <w:p w14:paraId="3A187A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63.9</w:t>
                  </w:r>
                </w:p>
              </w:tc>
              <w:tc>
                <w:tcPr>
                  <w:tcW w:w="334" w:type="pct"/>
                  <w:shd w:val="clear" w:color="auto" w:fill="auto"/>
                  <w:vAlign w:val="center"/>
                </w:tcPr>
                <w:p w14:paraId="249ADE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67E3B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25.4</w:t>
                  </w:r>
                </w:p>
              </w:tc>
              <w:tc>
                <w:tcPr>
                  <w:tcW w:w="435" w:type="pct"/>
                  <w:shd w:val="clear" w:color="auto" w:fill="auto"/>
                  <w:vAlign w:val="center"/>
                </w:tcPr>
                <w:p w14:paraId="63CC15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60.6</w:t>
                  </w:r>
                </w:p>
              </w:tc>
              <w:tc>
                <w:tcPr>
                  <w:tcW w:w="233" w:type="pct"/>
                  <w:shd w:val="clear" w:color="auto" w:fill="auto"/>
                  <w:vAlign w:val="center"/>
                </w:tcPr>
                <w:p w14:paraId="21C488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6A8F98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F54021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19.6</w:t>
                  </w:r>
                </w:p>
              </w:tc>
              <w:tc>
                <w:tcPr>
                  <w:tcW w:w="233" w:type="pct"/>
                  <w:shd w:val="clear" w:color="auto" w:fill="auto"/>
                  <w:vAlign w:val="center"/>
                </w:tcPr>
                <w:p w14:paraId="4B5C20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bl>
          <w:p w14:paraId="7CFA11B6">
            <w:pPr>
              <w:keepNext/>
              <w:keepLines/>
              <w:suppressLineNumbers w:val="0"/>
              <w:spacing w:before="0" w:beforeAutospacing="0" w:after="0" w:afterAutospacing="0" w:line="360" w:lineRule="auto"/>
              <w:ind w:left="0" w:right="0" w:firstLine="480" w:firstLineChars="200"/>
              <w:jc w:val="left"/>
              <w:outlineLvl w:val="3"/>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1）预测范围、点位与评价因子</w:t>
            </w:r>
          </w:p>
          <w:p w14:paraId="7180DE6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（1）噪声预测范围为：厂界外1m。</w:t>
            </w:r>
          </w:p>
          <w:p w14:paraId="50413E3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（2）预测点位：厂界噪声，在东、南、西、北厂界各设置一个。</w:t>
            </w:r>
          </w:p>
          <w:p w14:paraId="6B68504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（3）厂界噪声预测因子：昼夜等效连续A声级。</w:t>
            </w:r>
          </w:p>
          <w:p w14:paraId="455300D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（4）基础数据</w:t>
            </w:r>
          </w:p>
          <w:p w14:paraId="4F4676A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项目噪声环境影响预测基础数据见表4-</w:t>
            </w:r>
            <w:r>
              <w:rPr>
                <w:rFonts w:hint="eastAsia" w:cs="Times New Roman"/>
                <w:color w:val="auto"/>
                <w:sz w:val="24"/>
                <w:lang w:val="en-US" w:eastAsia="zh-CN"/>
              </w:rPr>
              <w:t>15</w:t>
            </w:r>
            <w:r>
              <w:rPr>
                <w:rFonts w:hint="default" w:ascii="Times New Roman" w:hAnsi="Times New Roman" w:eastAsia="宋体" w:cs="Times New Roman"/>
                <w:color w:val="auto"/>
                <w:sz w:val="24"/>
              </w:rPr>
              <w:t>。</w:t>
            </w:r>
          </w:p>
          <w:p w14:paraId="1373A30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15</w:t>
            </w:r>
            <w:r>
              <w:rPr>
                <w:rFonts w:hint="default" w:ascii="Times New Roman" w:hAnsi="Times New Roman" w:eastAsia="宋体" w:cs="Times New Roman"/>
                <w:b/>
                <w:bCs/>
                <w:color w:val="auto"/>
                <w:sz w:val="21"/>
                <w:szCs w:val="21"/>
              </w:rPr>
              <w:t xml:space="preserve"> 项目噪声环境影响预测基础数据表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45"/>
              <w:gridCol w:w="2177"/>
              <w:gridCol w:w="1661"/>
              <w:gridCol w:w="1661"/>
              <w:gridCol w:w="1661"/>
            </w:tblGrid>
            <w:tr w14:paraId="06D0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1145" w:type="dxa"/>
                  <w:shd w:val="clear" w:color="auto" w:fill="auto"/>
                  <w:vAlign w:val="center"/>
                </w:tcPr>
                <w:p w14:paraId="200A8078">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177" w:type="dxa"/>
                  <w:shd w:val="clear" w:color="auto" w:fill="auto"/>
                  <w:vAlign w:val="center"/>
                </w:tcPr>
                <w:p w14:paraId="08B2D986">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661" w:type="dxa"/>
                  <w:shd w:val="clear" w:color="auto" w:fill="auto"/>
                  <w:vAlign w:val="center"/>
                </w:tcPr>
                <w:p w14:paraId="1198F57B">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1661" w:type="dxa"/>
                  <w:shd w:val="clear" w:color="auto" w:fill="auto"/>
                  <w:vAlign w:val="center"/>
                </w:tcPr>
                <w:p w14:paraId="026C7422">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数据</w:t>
                  </w:r>
                </w:p>
              </w:tc>
              <w:tc>
                <w:tcPr>
                  <w:tcW w:w="1661" w:type="dxa"/>
                  <w:shd w:val="clear" w:color="auto" w:fill="auto"/>
                  <w:vAlign w:val="center"/>
                </w:tcPr>
                <w:p w14:paraId="646F22E9">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14:paraId="0C6E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5" w:type="dxa"/>
                  <w:shd w:val="clear" w:color="auto" w:fill="auto"/>
                  <w:vAlign w:val="center"/>
                </w:tcPr>
                <w:p w14:paraId="0A5AE4CD">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177" w:type="dxa"/>
                  <w:shd w:val="clear" w:color="auto" w:fill="auto"/>
                  <w:vAlign w:val="center"/>
                </w:tcPr>
                <w:p w14:paraId="1043DEE0">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年平均风速</w:t>
                  </w:r>
                </w:p>
              </w:tc>
              <w:tc>
                <w:tcPr>
                  <w:tcW w:w="1661" w:type="dxa"/>
                  <w:shd w:val="clear" w:color="auto" w:fill="auto"/>
                  <w:vAlign w:val="center"/>
                </w:tcPr>
                <w:p w14:paraId="56888FCE">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m/s</w:t>
                  </w:r>
                </w:p>
              </w:tc>
              <w:tc>
                <w:tcPr>
                  <w:tcW w:w="1661" w:type="dxa"/>
                  <w:shd w:val="clear" w:color="auto" w:fill="auto"/>
                  <w:vAlign w:val="center"/>
                </w:tcPr>
                <w:p w14:paraId="6597D7A9">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661" w:type="dxa"/>
                  <w:shd w:val="clear" w:color="auto" w:fill="auto"/>
                  <w:vAlign w:val="center"/>
                </w:tcPr>
                <w:p w14:paraId="52A757FA">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r w14:paraId="6F73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5" w:type="dxa"/>
                  <w:shd w:val="clear" w:color="auto" w:fill="auto"/>
                  <w:vAlign w:val="center"/>
                </w:tcPr>
                <w:p w14:paraId="4AEA115A">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177" w:type="dxa"/>
                  <w:shd w:val="clear" w:color="auto" w:fill="auto"/>
                  <w:vAlign w:val="center"/>
                </w:tcPr>
                <w:p w14:paraId="2B9872AB">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主导风向</w:t>
                  </w:r>
                </w:p>
              </w:tc>
              <w:tc>
                <w:tcPr>
                  <w:tcW w:w="1661" w:type="dxa"/>
                  <w:shd w:val="clear" w:color="auto" w:fill="auto"/>
                  <w:vAlign w:val="center"/>
                </w:tcPr>
                <w:p w14:paraId="583E9F6C">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61" w:type="dxa"/>
                  <w:shd w:val="clear" w:color="auto" w:fill="auto"/>
                  <w:vAlign w:val="center"/>
                </w:tcPr>
                <w:p w14:paraId="4A9511AB">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西南风</w:t>
                  </w:r>
                </w:p>
              </w:tc>
              <w:tc>
                <w:tcPr>
                  <w:tcW w:w="1661" w:type="dxa"/>
                  <w:shd w:val="clear" w:color="auto" w:fill="auto"/>
                  <w:vAlign w:val="center"/>
                </w:tcPr>
                <w:p w14:paraId="4223C774">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r w14:paraId="3E80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1145" w:type="dxa"/>
                  <w:shd w:val="clear" w:color="auto" w:fill="auto"/>
                  <w:vAlign w:val="center"/>
                </w:tcPr>
                <w:p w14:paraId="3E37874B">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177" w:type="dxa"/>
                  <w:shd w:val="clear" w:color="auto" w:fill="auto"/>
                  <w:vAlign w:val="center"/>
                </w:tcPr>
                <w:p w14:paraId="28A729F7">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年平均气温</w:t>
                  </w:r>
                </w:p>
              </w:tc>
              <w:tc>
                <w:tcPr>
                  <w:tcW w:w="1661" w:type="dxa"/>
                  <w:shd w:val="clear" w:color="auto" w:fill="auto"/>
                  <w:vAlign w:val="center"/>
                </w:tcPr>
                <w:p w14:paraId="4B3CFFD8">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61" w:type="dxa"/>
                  <w:shd w:val="clear" w:color="auto" w:fill="auto"/>
                  <w:vAlign w:val="center"/>
                </w:tcPr>
                <w:p w14:paraId="26E083FD">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661" w:type="dxa"/>
                  <w:shd w:val="clear" w:color="auto" w:fill="auto"/>
                  <w:vAlign w:val="center"/>
                </w:tcPr>
                <w:p w14:paraId="477F51E3">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r w14:paraId="52EA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1145" w:type="dxa"/>
                  <w:shd w:val="clear" w:color="auto" w:fill="auto"/>
                  <w:vAlign w:val="center"/>
                </w:tcPr>
                <w:p w14:paraId="2BA55DB8">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177" w:type="dxa"/>
                  <w:shd w:val="clear" w:color="auto" w:fill="auto"/>
                  <w:vAlign w:val="center"/>
                </w:tcPr>
                <w:p w14:paraId="2C29A055">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年平均相对湿度</w:t>
                  </w:r>
                </w:p>
              </w:tc>
              <w:tc>
                <w:tcPr>
                  <w:tcW w:w="1661" w:type="dxa"/>
                  <w:shd w:val="clear" w:color="auto" w:fill="auto"/>
                  <w:vAlign w:val="center"/>
                </w:tcPr>
                <w:p w14:paraId="610CE164">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61" w:type="dxa"/>
                  <w:shd w:val="clear" w:color="auto" w:fill="auto"/>
                  <w:vAlign w:val="center"/>
                </w:tcPr>
                <w:p w14:paraId="2221ABC6">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1661" w:type="dxa"/>
                  <w:shd w:val="clear" w:color="auto" w:fill="auto"/>
                  <w:vAlign w:val="center"/>
                </w:tcPr>
                <w:p w14:paraId="2F367352">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r w14:paraId="6C88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1145" w:type="dxa"/>
                  <w:shd w:val="clear" w:color="auto" w:fill="auto"/>
                  <w:vAlign w:val="center"/>
                </w:tcPr>
                <w:p w14:paraId="170E7FFC">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177" w:type="dxa"/>
                  <w:shd w:val="clear" w:color="auto" w:fill="auto"/>
                  <w:vAlign w:val="center"/>
                </w:tcPr>
                <w:p w14:paraId="78BC2048">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大气压强</w:t>
                  </w:r>
                </w:p>
              </w:tc>
              <w:tc>
                <w:tcPr>
                  <w:tcW w:w="1661" w:type="dxa"/>
                  <w:shd w:val="clear" w:color="auto" w:fill="auto"/>
                  <w:vAlign w:val="center"/>
                </w:tcPr>
                <w:p w14:paraId="22077261">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atm</w:t>
                  </w:r>
                </w:p>
              </w:tc>
              <w:tc>
                <w:tcPr>
                  <w:tcW w:w="1661" w:type="dxa"/>
                  <w:shd w:val="clear" w:color="auto" w:fill="auto"/>
                  <w:vAlign w:val="center"/>
                </w:tcPr>
                <w:p w14:paraId="32C35B6E">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661" w:type="dxa"/>
                  <w:shd w:val="clear" w:color="auto" w:fill="auto"/>
                  <w:vAlign w:val="center"/>
                </w:tcPr>
                <w:p w14:paraId="5AEE2544">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bl>
          <w:p w14:paraId="17CB5D5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声源和预测点间的地形、高差、障碍物、树林、灌木等的分布情况以及地面覆盖情况（如草地、水面、水泥地面、土质地面等）根据现场踏勘、项目总平图等，并结合卫星图片地理信息数据确定，数据精度为10m。</w:t>
            </w:r>
          </w:p>
          <w:p w14:paraId="37382F6F">
            <w:pPr>
              <w:keepNext/>
              <w:keepLines/>
              <w:suppressLineNumbers w:val="0"/>
              <w:spacing w:before="0" w:beforeAutospacing="0" w:after="0" w:afterAutospacing="0" w:line="360" w:lineRule="auto"/>
              <w:ind w:left="0" w:right="0" w:firstLine="480" w:firstLineChars="200"/>
              <w:jc w:val="left"/>
              <w:outlineLvl w:val="3"/>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2）声环境影响预测</w:t>
            </w:r>
          </w:p>
          <w:p w14:paraId="1787EF3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①预测方法</w:t>
            </w:r>
          </w:p>
          <w:p w14:paraId="79F9303A">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噪声传播过程中有三个要素：即声源、传播途径和接受者。根据项目采取的治理措施及降噪效果，采用《环境影响评价技术导则 声环境》(HJ2.4-2021)推荐的工业噪声预测模式，本评价只考虑几何发散引起的衰减量来预测项目对厂界的贡献点的影响。</w:t>
            </w:r>
          </w:p>
          <w:p w14:paraId="4FD6867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预测方法为：依据各噪声源与各预测点的距离计算出各噪声设备产生的噪声对各预测点的影响值，并根据能量合成法叠加各噪声设备对各预测点的噪声贡献值，来预测分析本项目投产后对厂界及周围声环境的影响。</w:t>
            </w:r>
          </w:p>
          <w:p w14:paraId="04AB888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②预测模式</w:t>
            </w:r>
          </w:p>
          <w:p w14:paraId="4FEC813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采用《环境影响评价技术 声环境》(HJ2.4-2021)中的噪声预测模式预测本项目的主要噪声设备对周围声环境的影响。</w:t>
            </w:r>
          </w:p>
          <w:p w14:paraId="429FA14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预测模式如下：</w:t>
            </w:r>
          </w:p>
          <w:p w14:paraId="210FBA6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单个噪声源的预测公式为：</w:t>
            </w:r>
          </w:p>
          <w:p w14:paraId="77D53F2C">
            <w:pPr>
              <w:keepNext w:val="0"/>
              <w:keepLines w:val="0"/>
              <w:suppressLineNumbers w:val="0"/>
              <w:spacing w:before="0" w:beforeAutospacing="0" w:after="0" w:afterAutospacing="0"/>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12"/>
              </w:rPr>
              <w:object>
                <v:shape id="_x0000_i1028" o:spt="75" type="#_x0000_t75" style="height:20.7pt;width:231.15pt;" o:ole="t" filled="f" o:preferrelative="t" stroked="f" coordsize="21600,21600">
                  <v:path/>
                  <v:fill on="f" focussize="0,0"/>
                  <v:stroke on="f"/>
                  <v:imagedata r:id="rId35" o:title=""/>
                  <o:lock v:ext="edit" aspectratio="t"/>
                  <w10:wrap type="none"/>
                  <w10:anchorlock/>
                </v:shape>
                <o:OLEObject Type="Embed" ProgID="Equation.KSEE3" ShapeID="_x0000_i1028" DrawAspect="Content" ObjectID="_1468075728" r:id="rId34">
                  <o:LockedField>false</o:LockedField>
                </o:OLEObject>
              </w:object>
            </w:r>
          </w:p>
          <w:p w14:paraId="5407F74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对单个点声源的几何发散衰减用以下公式计算：</w:t>
            </w:r>
          </w:p>
          <w:p w14:paraId="1342D330">
            <w:pPr>
              <w:keepNext w:val="0"/>
              <w:keepLines w:val="0"/>
              <w:suppressLineNumbers w:val="0"/>
              <w:spacing w:before="0" w:beforeAutospacing="0" w:after="0" w:afterAutospacing="0"/>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26"/>
              </w:rPr>
              <w:object>
                <v:shape id="_x0000_i1029" o:spt="75" type="#_x0000_t75" style="height:31.95pt;width:119pt;" o:ole="t" filled="f" o:preferrelative="t" stroked="f" coordsize="21600,21600">
                  <v:path/>
                  <v:fill on="f" focussize="0,0"/>
                  <v:stroke on="f"/>
                  <v:imagedata r:id="rId37" o:title=""/>
                  <o:lock v:ext="edit" aspectratio="t"/>
                  <w10:wrap type="none"/>
                  <w10:anchorlock/>
                </v:shape>
                <o:OLEObject Type="Embed" ProgID="Equation.KSEE3" ShapeID="_x0000_i1029" DrawAspect="Content" ObjectID="_1468075729" r:id="rId36">
                  <o:LockedField>false</o:LockedField>
                </o:OLEObject>
              </w:object>
            </w:r>
          </w:p>
          <w:p w14:paraId="5012EE2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本次噪声预测计算将从偏保守角度出发，仅考虑声波随距离的衰减Adiv。两个以上的多个噪声源同时存在时，总声级计算公式为：</w:t>
            </w:r>
          </w:p>
          <w:p w14:paraId="111E8A4A">
            <w:pPr>
              <w:keepNext w:val="0"/>
              <w:keepLines w:val="0"/>
              <w:suppressLineNumbers w:val="0"/>
              <w:spacing w:before="0" w:beforeAutospacing="0" w:after="0" w:afterAutospacing="0"/>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0"/>
              </w:rPr>
              <w:object>
                <v:shape id="_x0000_i1030" o:spt="75" type="#_x0000_t75" style="height:37.4pt;width:126.7pt;" o:ole="t" filled="f" o:preferrelative="t" stroked="f" coordsize="21600,21600">
                  <v:path/>
                  <v:fill on="f" focussize="0,0"/>
                  <v:stroke on="f"/>
                  <v:imagedata r:id="rId39" o:title=""/>
                  <o:lock v:ext="edit" aspectratio="t"/>
                  <w10:wrap type="none"/>
                  <w10:anchorlock/>
                </v:shape>
                <o:OLEObject Type="Embed" ProgID="Equation.KSEE3" ShapeID="_x0000_i1030" DrawAspect="Content" ObjectID="_1468075730" r:id="rId38">
                  <o:LockedField>false</o:LockedField>
                </o:OLEObject>
              </w:object>
            </w:r>
          </w:p>
          <w:p w14:paraId="55E7328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r－预测点到声源的距离，m；A</w:t>
            </w:r>
            <w:r>
              <w:rPr>
                <w:rFonts w:hint="default" w:ascii="Times New Roman" w:hAnsi="Times New Roman" w:eastAsia="宋体" w:cs="Times New Roman"/>
                <w:color w:val="auto"/>
                <w:kern w:val="0"/>
                <w:sz w:val="16"/>
                <w:szCs w:val="16"/>
                <w:lang w:bidi="ar"/>
              </w:rPr>
              <w:t>div</w:t>
            </w:r>
            <w:r>
              <w:rPr>
                <w:rFonts w:hint="default" w:ascii="Times New Roman" w:hAnsi="Times New Roman" w:eastAsia="宋体" w:cs="Times New Roman"/>
                <w:color w:val="auto"/>
                <w:kern w:val="0"/>
                <w:sz w:val="24"/>
                <w:lang w:bidi="ar"/>
              </w:rPr>
              <w:t>－距离衰减，dB。A</w:t>
            </w:r>
            <w:r>
              <w:rPr>
                <w:rFonts w:hint="default" w:ascii="Times New Roman" w:hAnsi="Times New Roman" w:eastAsia="宋体" w:cs="Times New Roman"/>
                <w:color w:val="auto"/>
                <w:kern w:val="0"/>
                <w:sz w:val="16"/>
                <w:szCs w:val="16"/>
                <w:lang w:bidi="ar"/>
              </w:rPr>
              <w:t>bar</w:t>
            </w:r>
            <w:r>
              <w:rPr>
                <w:rFonts w:hint="default" w:ascii="Times New Roman" w:hAnsi="Times New Roman" w:eastAsia="宋体" w:cs="Times New Roman"/>
                <w:color w:val="auto"/>
                <w:kern w:val="0"/>
                <w:sz w:val="24"/>
                <w:lang w:bidi="ar"/>
              </w:rPr>
              <w:t>－遮挡物衰减，dB；</w:t>
            </w:r>
          </w:p>
          <w:p w14:paraId="21E42E0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lang w:bidi="ar"/>
              </w:rPr>
              <w:t>A</w:t>
            </w:r>
            <w:r>
              <w:rPr>
                <w:rFonts w:hint="default" w:ascii="Times New Roman" w:hAnsi="Times New Roman" w:eastAsia="宋体" w:cs="Times New Roman"/>
                <w:color w:val="auto"/>
                <w:kern w:val="0"/>
                <w:sz w:val="16"/>
                <w:szCs w:val="16"/>
                <w:lang w:bidi="ar"/>
              </w:rPr>
              <w:t>atm</w:t>
            </w:r>
            <w:r>
              <w:rPr>
                <w:rFonts w:hint="default" w:ascii="Times New Roman" w:hAnsi="Times New Roman" w:eastAsia="宋体" w:cs="Times New Roman"/>
                <w:color w:val="auto"/>
                <w:kern w:val="0"/>
                <w:sz w:val="24"/>
                <w:lang w:bidi="ar"/>
              </w:rPr>
              <w:t>－空气吸收衰减，dB；A</w:t>
            </w:r>
            <w:r>
              <w:rPr>
                <w:rFonts w:hint="default" w:ascii="Times New Roman" w:hAnsi="Times New Roman" w:eastAsia="宋体" w:cs="Times New Roman"/>
                <w:color w:val="auto"/>
                <w:kern w:val="0"/>
                <w:sz w:val="16"/>
                <w:szCs w:val="16"/>
                <w:lang w:bidi="ar"/>
              </w:rPr>
              <w:t>exc</w:t>
            </w:r>
            <w:r>
              <w:rPr>
                <w:rFonts w:hint="default" w:ascii="Times New Roman" w:hAnsi="Times New Roman" w:eastAsia="宋体" w:cs="Times New Roman"/>
                <w:color w:val="auto"/>
                <w:kern w:val="0"/>
                <w:sz w:val="24"/>
                <w:lang w:bidi="ar"/>
              </w:rPr>
              <w:t>－附加衰减，dB；L</w:t>
            </w:r>
            <w:r>
              <w:rPr>
                <w:rFonts w:hint="default" w:ascii="Times New Roman" w:hAnsi="Times New Roman" w:eastAsia="宋体" w:cs="Times New Roman"/>
                <w:color w:val="auto"/>
                <w:kern w:val="0"/>
                <w:sz w:val="16"/>
                <w:szCs w:val="16"/>
                <w:lang w:bidi="ar"/>
              </w:rPr>
              <w:t>2</w:t>
            </w:r>
            <w:r>
              <w:rPr>
                <w:rFonts w:hint="default" w:ascii="Times New Roman" w:hAnsi="Times New Roman" w:eastAsia="宋体" w:cs="Times New Roman"/>
                <w:color w:val="auto"/>
                <w:kern w:val="0"/>
                <w:sz w:val="24"/>
                <w:lang w:bidi="ar"/>
              </w:rPr>
              <w:t>－声源衰减至r</w:t>
            </w:r>
            <w:r>
              <w:rPr>
                <w:rFonts w:hint="default" w:ascii="Times New Roman" w:hAnsi="Times New Roman" w:eastAsia="宋体" w:cs="Times New Roman"/>
                <w:color w:val="auto"/>
                <w:kern w:val="0"/>
                <w:sz w:val="16"/>
                <w:szCs w:val="16"/>
                <w:lang w:bidi="ar"/>
              </w:rPr>
              <w:t>2</w:t>
            </w:r>
            <w:r>
              <w:rPr>
                <w:rFonts w:hint="default" w:ascii="Times New Roman" w:hAnsi="Times New Roman" w:eastAsia="宋体" w:cs="Times New Roman"/>
                <w:color w:val="auto"/>
                <w:kern w:val="0"/>
                <w:sz w:val="24"/>
                <w:lang w:bidi="ar"/>
              </w:rPr>
              <w:t>处的声压级，dB；L</w:t>
            </w:r>
            <w:r>
              <w:rPr>
                <w:rFonts w:hint="default" w:ascii="Times New Roman" w:hAnsi="Times New Roman" w:eastAsia="宋体" w:cs="Times New Roman"/>
                <w:color w:val="auto"/>
                <w:kern w:val="0"/>
                <w:sz w:val="16"/>
                <w:szCs w:val="16"/>
                <w:lang w:bidi="ar"/>
              </w:rPr>
              <w:t>1</w:t>
            </w:r>
            <w:r>
              <w:rPr>
                <w:rFonts w:hint="default" w:ascii="Times New Roman" w:hAnsi="Times New Roman" w:eastAsia="宋体" w:cs="Times New Roman"/>
                <w:color w:val="auto"/>
                <w:kern w:val="0"/>
                <w:sz w:val="24"/>
                <w:lang w:bidi="ar"/>
              </w:rPr>
              <w:t>－声源在参考距离r</w:t>
            </w:r>
            <w:r>
              <w:rPr>
                <w:rFonts w:hint="default" w:ascii="Times New Roman" w:hAnsi="Times New Roman" w:eastAsia="宋体" w:cs="Times New Roman"/>
                <w:color w:val="auto"/>
                <w:kern w:val="0"/>
                <w:sz w:val="16"/>
                <w:szCs w:val="16"/>
                <w:lang w:bidi="ar"/>
              </w:rPr>
              <w:t>1</w:t>
            </w:r>
            <w:r>
              <w:rPr>
                <w:rFonts w:hint="default" w:ascii="Times New Roman" w:hAnsi="Times New Roman" w:eastAsia="宋体" w:cs="Times New Roman"/>
                <w:color w:val="auto"/>
                <w:kern w:val="0"/>
                <w:sz w:val="24"/>
                <w:lang w:bidi="ar"/>
              </w:rPr>
              <w:t>处的声压级，dB；r</w:t>
            </w:r>
            <w:r>
              <w:rPr>
                <w:rFonts w:hint="default" w:ascii="Times New Roman" w:hAnsi="Times New Roman" w:eastAsia="宋体" w:cs="Times New Roman"/>
                <w:color w:val="auto"/>
                <w:kern w:val="0"/>
                <w:sz w:val="16"/>
                <w:szCs w:val="16"/>
                <w:lang w:bidi="ar"/>
              </w:rPr>
              <w:t>0</w:t>
            </w:r>
            <w:r>
              <w:rPr>
                <w:rFonts w:hint="default" w:ascii="Times New Roman" w:hAnsi="Times New Roman" w:eastAsia="宋体" w:cs="Times New Roman"/>
                <w:color w:val="auto"/>
                <w:kern w:val="0"/>
                <w:sz w:val="24"/>
                <w:lang w:bidi="ar"/>
              </w:rPr>
              <w:t>－预测参考距离，m；</w:t>
            </w:r>
          </w:p>
          <w:p w14:paraId="3F477D6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lang w:bidi="ar"/>
              </w:rPr>
              <w:t>L</w:t>
            </w:r>
            <w:r>
              <w:rPr>
                <w:rFonts w:hint="default" w:ascii="Times New Roman" w:hAnsi="Times New Roman" w:eastAsia="宋体" w:cs="Times New Roman"/>
                <w:color w:val="auto"/>
                <w:kern w:val="0"/>
                <w:sz w:val="16"/>
                <w:szCs w:val="16"/>
                <w:lang w:bidi="ar"/>
              </w:rPr>
              <w:t>0</w:t>
            </w:r>
            <w:r>
              <w:rPr>
                <w:rFonts w:hint="default" w:ascii="Times New Roman" w:hAnsi="Times New Roman" w:eastAsia="宋体" w:cs="Times New Roman"/>
                <w:color w:val="auto"/>
                <w:kern w:val="0"/>
                <w:sz w:val="24"/>
                <w:lang w:bidi="ar"/>
              </w:rPr>
              <w:t>－预测点的噪声现状值，dB。</w:t>
            </w:r>
          </w:p>
          <w:p w14:paraId="43DFE6C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③预测结果</w:t>
            </w:r>
          </w:p>
          <w:p w14:paraId="3A4BB46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本次环评厂界噪声预测采用环保小智噪声助手预测软件预测，通过预测模型计算，项目厂界噪声预测结果与达标分析见表4-</w:t>
            </w:r>
            <w:r>
              <w:rPr>
                <w:rFonts w:hint="eastAsia" w:cs="Times New Roman"/>
                <w:color w:val="auto"/>
                <w:kern w:val="0"/>
                <w:sz w:val="24"/>
                <w:lang w:val="en-US" w:eastAsia="zh-CN" w:bidi="ar"/>
              </w:rPr>
              <w:t>16</w:t>
            </w:r>
            <w:r>
              <w:rPr>
                <w:rFonts w:hint="default" w:ascii="Times New Roman" w:hAnsi="Times New Roman" w:eastAsia="宋体" w:cs="Times New Roman"/>
                <w:color w:val="auto"/>
                <w:kern w:val="0"/>
                <w:sz w:val="24"/>
                <w:lang w:bidi="ar"/>
              </w:rPr>
              <w:t>。</w:t>
            </w:r>
          </w:p>
          <w:p w14:paraId="6CC8E0B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p>
          <w:p w14:paraId="4C7F492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16</w:t>
            </w:r>
            <w:r>
              <w:rPr>
                <w:rFonts w:hint="default" w:ascii="Times New Roman" w:hAnsi="Times New Roman" w:eastAsia="宋体" w:cs="Times New Roman"/>
                <w:b/>
                <w:bCs/>
                <w:color w:val="auto"/>
                <w:sz w:val="21"/>
                <w:szCs w:val="21"/>
              </w:rPr>
              <w:t xml:space="preserve">  厂界噪声预测结果与达标分析表</w:t>
            </w:r>
            <w:bookmarkStart w:id="12" w:name="PT_7"/>
          </w:p>
          <w:bookmarkEnd w:id="12"/>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792"/>
              <w:gridCol w:w="792"/>
              <w:gridCol w:w="797"/>
              <w:gridCol w:w="981"/>
              <w:gridCol w:w="1399"/>
              <w:gridCol w:w="1400"/>
              <w:gridCol w:w="1173"/>
            </w:tblGrid>
            <w:tr w14:paraId="7C97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645" w:type="pct"/>
                  <w:vMerge w:val="restart"/>
                  <w:shd w:val="clear" w:color="auto" w:fill="auto"/>
                  <w:vAlign w:val="center"/>
                </w:tcPr>
                <w:p w14:paraId="5C20FEE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预测方位</w:t>
                  </w:r>
                </w:p>
              </w:tc>
              <w:tc>
                <w:tcPr>
                  <w:tcW w:w="1413" w:type="pct"/>
                  <w:gridSpan w:val="3"/>
                  <w:shd w:val="clear" w:color="auto" w:fill="auto"/>
                  <w:vAlign w:val="center"/>
                </w:tcPr>
                <w:p w14:paraId="475DF75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最大值点</w:t>
                  </w:r>
                  <w:r>
                    <w:rPr>
                      <w:rFonts w:hint="default" w:ascii="Times New Roman" w:hAnsi="Times New Roman" w:eastAsia="宋体" w:cs="Times New Roman"/>
                      <w:color w:val="auto"/>
                      <w:sz w:val="21"/>
                      <w:szCs w:val="21"/>
                    </w:rPr>
                    <w:t>空间相对位置/m</w:t>
                  </w:r>
                </w:p>
              </w:tc>
              <w:tc>
                <w:tcPr>
                  <w:tcW w:w="582" w:type="pct"/>
                  <w:vMerge w:val="restart"/>
                  <w:shd w:val="clear" w:color="auto" w:fill="auto"/>
                  <w:vAlign w:val="center"/>
                </w:tcPr>
                <w:p w14:paraId="1854BE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时段</w:t>
                  </w:r>
                </w:p>
              </w:tc>
              <w:tc>
                <w:tcPr>
                  <w:tcW w:w="830" w:type="pct"/>
                  <w:vMerge w:val="restart"/>
                  <w:shd w:val="clear" w:color="auto" w:fill="auto"/>
                  <w:vAlign w:val="center"/>
                </w:tcPr>
                <w:p w14:paraId="3CC708F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贡献值（dB(A)）</w:t>
                  </w:r>
                </w:p>
              </w:tc>
              <w:tc>
                <w:tcPr>
                  <w:tcW w:w="831" w:type="pct"/>
                  <w:vMerge w:val="restart"/>
                  <w:shd w:val="clear" w:color="auto" w:fill="auto"/>
                  <w:vAlign w:val="center"/>
                </w:tcPr>
                <w:p w14:paraId="19271F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标准限值（dB(A)）</w:t>
                  </w:r>
                </w:p>
              </w:tc>
              <w:tc>
                <w:tcPr>
                  <w:tcW w:w="696" w:type="pct"/>
                  <w:vMerge w:val="restart"/>
                  <w:shd w:val="clear" w:color="auto" w:fill="auto"/>
                  <w:vAlign w:val="center"/>
                </w:tcPr>
                <w:p w14:paraId="37AEEDA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14:paraId="1F4E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5" w:type="pct"/>
                  <w:vMerge w:val="continue"/>
                  <w:shd w:val="clear" w:color="auto" w:fill="auto"/>
                  <w:vAlign w:val="center"/>
                </w:tcPr>
                <w:p w14:paraId="3145E5E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70" w:type="pct"/>
                  <w:shd w:val="clear" w:color="auto" w:fill="auto"/>
                  <w:vAlign w:val="center"/>
                </w:tcPr>
                <w:p w14:paraId="1CA51FB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470" w:type="pct"/>
                  <w:shd w:val="clear" w:color="auto" w:fill="auto"/>
                  <w:vAlign w:val="center"/>
                </w:tcPr>
                <w:p w14:paraId="318722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471" w:type="pct"/>
                  <w:shd w:val="clear" w:color="auto" w:fill="auto"/>
                  <w:vAlign w:val="center"/>
                </w:tcPr>
                <w:p w14:paraId="7E63267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582" w:type="pct"/>
                  <w:vMerge w:val="continue"/>
                  <w:shd w:val="clear" w:color="auto" w:fill="auto"/>
                  <w:vAlign w:val="center"/>
                </w:tcPr>
                <w:p w14:paraId="37270D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830" w:type="pct"/>
                  <w:vMerge w:val="continue"/>
                  <w:shd w:val="clear" w:color="auto" w:fill="auto"/>
                  <w:vAlign w:val="center"/>
                </w:tcPr>
                <w:p w14:paraId="017E84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831" w:type="pct"/>
                  <w:vMerge w:val="continue"/>
                  <w:shd w:val="clear" w:color="auto" w:fill="auto"/>
                  <w:vAlign w:val="center"/>
                </w:tcPr>
                <w:p w14:paraId="3CD63B5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96" w:type="pct"/>
                  <w:vMerge w:val="continue"/>
                  <w:shd w:val="clear" w:color="auto" w:fill="auto"/>
                  <w:vAlign w:val="center"/>
                </w:tcPr>
                <w:p w14:paraId="034B33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14:paraId="2932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restart"/>
                  <w:shd w:val="clear" w:color="auto" w:fill="auto"/>
                  <w:vAlign w:val="center"/>
                </w:tcPr>
                <w:p w14:paraId="57989A6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470" w:type="pct"/>
                  <w:shd w:val="clear" w:color="auto" w:fill="auto"/>
                  <w:vAlign w:val="center"/>
                </w:tcPr>
                <w:p w14:paraId="7099E8F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79.8</w:t>
                  </w:r>
                </w:p>
              </w:tc>
              <w:tc>
                <w:tcPr>
                  <w:tcW w:w="470" w:type="pct"/>
                  <w:shd w:val="clear" w:color="auto" w:fill="auto"/>
                  <w:vAlign w:val="center"/>
                </w:tcPr>
                <w:p w14:paraId="0719BA9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-47.4</w:t>
                  </w:r>
                </w:p>
              </w:tc>
              <w:tc>
                <w:tcPr>
                  <w:tcW w:w="471" w:type="pct"/>
                  <w:shd w:val="clear" w:color="auto" w:fill="auto"/>
                  <w:vAlign w:val="center"/>
                </w:tcPr>
                <w:p w14:paraId="1DF419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692C1D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30" w:type="pct"/>
                  <w:shd w:val="clear" w:color="auto" w:fill="auto"/>
                  <w:vAlign w:val="center"/>
                </w:tcPr>
                <w:p w14:paraId="4C13C16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21.2</w:t>
                  </w:r>
                </w:p>
              </w:tc>
              <w:tc>
                <w:tcPr>
                  <w:tcW w:w="831" w:type="pct"/>
                  <w:shd w:val="clear" w:color="auto" w:fill="auto"/>
                  <w:vAlign w:val="center"/>
                </w:tcPr>
                <w:p w14:paraId="1731F57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696" w:type="pct"/>
                  <w:shd w:val="clear" w:color="auto" w:fill="auto"/>
                  <w:vAlign w:val="center"/>
                </w:tcPr>
                <w:p w14:paraId="0A9F375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3B0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continue"/>
                  <w:shd w:val="clear" w:color="auto" w:fill="auto"/>
                  <w:vAlign w:val="center"/>
                </w:tcPr>
                <w:p w14:paraId="09DE64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470" w:type="pct"/>
                  <w:shd w:val="clear" w:color="auto" w:fill="auto"/>
                  <w:vAlign w:val="center"/>
                </w:tcPr>
                <w:p w14:paraId="7C4E018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79.8</w:t>
                  </w:r>
                </w:p>
              </w:tc>
              <w:tc>
                <w:tcPr>
                  <w:tcW w:w="470" w:type="pct"/>
                  <w:shd w:val="clear" w:color="auto" w:fill="auto"/>
                  <w:vAlign w:val="center"/>
                </w:tcPr>
                <w:p w14:paraId="03BC230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-47.4</w:t>
                  </w:r>
                </w:p>
              </w:tc>
              <w:tc>
                <w:tcPr>
                  <w:tcW w:w="471" w:type="pct"/>
                  <w:shd w:val="clear" w:color="auto" w:fill="auto"/>
                  <w:vAlign w:val="center"/>
                </w:tcPr>
                <w:p w14:paraId="64A817F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79AAB83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830" w:type="pct"/>
                  <w:shd w:val="clear" w:color="auto" w:fill="auto"/>
                  <w:vAlign w:val="center"/>
                </w:tcPr>
                <w:p w14:paraId="4E8F00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21.2</w:t>
                  </w:r>
                </w:p>
              </w:tc>
              <w:tc>
                <w:tcPr>
                  <w:tcW w:w="831" w:type="pct"/>
                  <w:shd w:val="clear" w:color="auto" w:fill="auto"/>
                  <w:vAlign w:val="center"/>
                </w:tcPr>
                <w:p w14:paraId="223587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696" w:type="pct"/>
                  <w:shd w:val="clear" w:color="auto" w:fill="auto"/>
                  <w:vAlign w:val="center"/>
                </w:tcPr>
                <w:p w14:paraId="34A140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F48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restart"/>
                  <w:shd w:val="clear" w:color="auto" w:fill="auto"/>
                  <w:vAlign w:val="center"/>
                </w:tcPr>
                <w:p w14:paraId="757A31C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470" w:type="pct"/>
                  <w:shd w:val="clear" w:color="auto" w:fill="auto"/>
                  <w:vAlign w:val="center"/>
                </w:tcPr>
                <w:p w14:paraId="0E72B47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-40.9</w:t>
                  </w:r>
                </w:p>
              </w:tc>
              <w:tc>
                <w:tcPr>
                  <w:tcW w:w="470" w:type="pct"/>
                  <w:shd w:val="clear" w:color="auto" w:fill="auto"/>
                  <w:vAlign w:val="center"/>
                </w:tcPr>
                <w:p w14:paraId="03E57A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-116</w:t>
                  </w:r>
                </w:p>
              </w:tc>
              <w:tc>
                <w:tcPr>
                  <w:tcW w:w="471" w:type="pct"/>
                  <w:shd w:val="clear" w:color="auto" w:fill="auto"/>
                  <w:vAlign w:val="center"/>
                </w:tcPr>
                <w:p w14:paraId="1714D1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290B24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30" w:type="pct"/>
                  <w:shd w:val="clear" w:color="auto" w:fill="auto"/>
                  <w:vAlign w:val="center"/>
                </w:tcPr>
                <w:p w14:paraId="2C0910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25.6</w:t>
                  </w:r>
                </w:p>
              </w:tc>
              <w:tc>
                <w:tcPr>
                  <w:tcW w:w="831" w:type="pct"/>
                  <w:shd w:val="clear" w:color="auto" w:fill="auto"/>
                  <w:vAlign w:val="center"/>
                </w:tcPr>
                <w:p w14:paraId="38C62D2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696" w:type="pct"/>
                  <w:shd w:val="clear" w:color="auto" w:fill="auto"/>
                  <w:vAlign w:val="center"/>
                </w:tcPr>
                <w:p w14:paraId="79D7A4E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581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continue"/>
                  <w:shd w:val="clear" w:color="auto" w:fill="auto"/>
                  <w:vAlign w:val="center"/>
                </w:tcPr>
                <w:p w14:paraId="30AF81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470" w:type="pct"/>
                  <w:shd w:val="clear" w:color="auto" w:fill="auto"/>
                  <w:vAlign w:val="center"/>
                </w:tcPr>
                <w:p w14:paraId="589FC66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-40.9</w:t>
                  </w:r>
                </w:p>
              </w:tc>
              <w:tc>
                <w:tcPr>
                  <w:tcW w:w="470" w:type="pct"/>
                  <w:shd w:val="clear" w:color="auto" w:fill="auto"/>
                  <w:vAlign w:val="center"/>
                </w:tcPr>
                <w:p w14:paraId="2C9E2C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-116</w:t>
                  </w:r>
                </w:p>
              </w:tc>
              <w:tc>
                <w:tcPr>
                  <w:tcW w:w="471" w:type="pct"/>
                  <w:shd w:val="clear" w:color="auto" w:fill="auto"/>
                  <w:vAlign w:val="center"/>
                </w:tcPr>
                <w:p w14:paraId="2CB7A62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394AC52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830" w:type="pct"/>
                  <w:shd w:val="clear" w:color="auto" w:fill="auto"/>
                  <w:vAlign w:val="center"/>
                </w:tcPr>
                <w:p w14:paraId="05498A4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25.6</w:t>
                  </w:r>
                </w:p>
              </w:tc>
              <w:tc>
                <w:tcPr>
                  <w:tcW w:w="831" w:type="pct"/>
                  <w:shd w:val="clear" w:color="auto" w:fill="auto"/>
                  <w:vAlign w:val="center"/>
                </w:tcPr>
                <w:p w14:paraId="095B60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696" w:type="pct"/>
                  <w:shd w:val="clear" w:color="auto" w:fill="auto"/>
                  <w:vAlign w:val="center"/>
                </w:tcPr>
                <w:p w14:paraId="3107C64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1AF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restart"/>
                  <w:shd w:val="clear" w:color="auto" w:fill="auto"/>
                  <w:vAlign w:val="center"/>
                </w:tcPr>
                <w:p w14:paraId="0515BD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470" w:type="pct"/>
                  <w:shd w:val="clear" w:color="auto" w:fill="auto"/>
                  <w:vAlign w:val="center"/>
                </w:tcPr>
                <w:p w14:paraId="3DB4DC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-61.5</w:t>
                  </w:r>
                </w:p>
              </w:tc>
              <w:tc>
                <w:tcPr>
                  <w:tcW w:w="470" w:type="pct"/>
                  <w:shd w:val="clear" w:color="auto" w:fill="auto"/>
                  <w:vAlign w:val="center"/>
                </w:tcPr>
                <w:p w14:paraId="1DBF6C0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w:t>
                  </w:r>
                </w:p>
              </w:tc>
              <w:tc>
                <w:tcPr>
                  <w:tcW w:w="471" w:type="pct"/>
                  <w:shd w:val="clear" w:color="auto" w:fill="auto"/>
                  <w:vAlign w:val="center"/>
                </w:tcPr>
                <w:p w14:paraId="6EBA172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4C0626E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30" w:type="pct"/>
                  <w:shd w:val="clear" w:color="auto" w:fill="auto"/>
                  <w:vAlign w:val="center"/>
                </w:tcPr>
                <w:p w14:paraId="3CCD22A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31.1</w:t>
                  </w:r>
                </w:p>
              </w:tc>
              <w:tc>
                <w:tcPr>
                  <w:tcW w:w="831" w:type="pct"/>
                  <w:shd w:val="clear" w:color="auto" w:fill="auto"/>
                  <w:vAlign w:val="center"/>
                </w:tcPr>
                <w:p w14:paraId="55B18C1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696" w:type="pct"/>
                  <w:shd w:val="clear" w:color="auto" w:fill="auto"/>
                  <w:vAlign w:val="center"/>
                </w:tcPr>
                <w:p w14:paraId="188E118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9C8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continue"/>
                  <w:shd w:val="clear" w:color="auto" w:fill="auto"/>
                  <w:vAlign w:val="center"/>
                </w:tcPr>
                <w:p w14:paraId="47DCEA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470" w:type="pct"/>
                  <w:shd w:val="clear" w:color="auto" w:fill="auto"/>
                  <w:vAlign w:val="center"/>
                </w:tcPr>
                <w:p w14:paraId="6E5255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-61.5</w:t>
                  </w:r>
                </w:p>
              </w:tc>
              <w:tc>
                <w:tcPr>
                  <w:tcW w:w="470" w:type="pct"/>
                  <w:shd w:val="clear" w:color="auto" w:fill="auto"/>
                  <w:vAlign w:val="center"/>
                </w:tcPr>
                <w:p w14:paraId="1D157D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w:t>
                  </w:r>
                </w:p>
              </w:tc>
              <w:tc>
                <w:tcPr>
                  <w:tcW w:w="471" w:type="pct"/>
                  <w:shd w:val="clear" w:color="auto" w:fill="auto"/>
                  <w:vAlign w:val="center"/>
                </w:tcPr>
                <w:p w14:paraId="47DA428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3553F8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830" w:type="pct"/>
                  <w:shd w:val="clear" w:color="auto" w:fill="auto"/>
                  <w:vAlign w:val="center"/>
                </w:tcPr>
                <w:p w14:paraId="5755771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31.1</w:t>
                  </w:r>
                </w:p>
              </w:tc>
              <w:tc>
                <w:tcPr>
                  <w:tcW w:w="831" w:type="pct"/>
                  <w:shd w:val="clear" w:color="auto" w:fill="auto"/>
                  <w:vAlign w:val="center"/>
                </w:tcPr>
                <w:p w14:paraId="3A1545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696" w:type="pct"/>
                  <w:shd w:val="clear" w:color="auto" w:fill="auto"/>
                  <w:vAlign w:val="center"/>
                </w:tcPr>
                <w:p w14:paraId="4AF517C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632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restart"/>
                  <w:shd w:val="clear" w:color="auto" w:fill="auto"/>
                  <w:vAlign w:val="center"/>
                </w:tcPr>
                <w:p w14:paraId="00A745F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470" w:type="pct"/>
                  <w:shd w:val="clear" w:color="auto" w:fill="auto"/>
                  <w:vAlign w:val="center"/>
                </w:tcPr>
                <w:p w14:paraId="635D87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48.4</w:t>
                  </w:r>
                </w:p>
              </w:tc>
              <w:tc>
                <w:tcPr>
                  <w:tcW w:w="470" w:type="pct"/>
                  <w:shd w:val="clear" w:color="auto" w:fill="auto"/>
                  <w:vAlign w:val="center"/>
                </w:tcPr>
                <w:p w14:paraId="4F690C0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110.6</w:t>
                  </w:r>
                </w:p>
              </w:tc>
              <w:tc>
                <w:tcPr>
                  <w:tcW w:w="471" w:type="pct"/>
                  <w:shd w:val="clear" w:color="auto" w:fill="auto"/>
                  <w:vAlign w:val="center"/>
                </w:tcPr>
                <w:p w14:paraId="590C524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5DF9715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30" w:type="pct"/>
                  <w:shd w:val="clear" w:color="auto" w:fill="auto"/>
                  <w:vAlign w:val="center"/>
                </w:tcPr>
                <w:p w14:paraId="44155DB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831" w:type="pct"/>
                  <w:shd w:val="clear" w:color="auto" w:fill="auto"/>
                  <w:vAlign w:val="center"/>
                </w:tcPr>
                <w:p w14:paraId="314F39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696" w:type="pct"/>
                  <w:shd w:val="clear" w:color="auto" w:fill="auto"/>
                  <w:vAlign w:val="center"/>
                </w:tcPr>
                <w:p w14:paraId="405D2A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040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continue"/>
                  <w:shd w:val="clear" w:color="auto" w:fill="auto"/>
                  <w:vAlign w:val="center"/>
                </w:tcPr>
                <w:p w14:paraId="190BFD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470" w:type="pct"/>
                  <w:shd w:val="clear" w:color="auto" w:fill="auto"/>
                  <w:vAlign w:val="center"/>
                </w:tcPr>
                <w:p w14:paraId="143A9C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48.4</w:t>
                  </w:r>
                </w:p>
              </w:tc>
              <w:tc>
                <w:tcPr>
                  <w:tcW w:w="470" w:type="pct"/>
                  <w:shd w:val="clear" w:color="auto" w:fill="auto"/>
                  <w:vAlign w:val="center"/>
                </w:tcPr>
                <w:p w14:paraId="4E6A651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110.6</w:t>
                  </w:r>
                </w:p>
              </w:tc>
              <w:tc>
                <w:tcPr>
                  <w:tcW w:w="471" w:type="pct"/>
                  <w:shd w:val="clear" w:color="auto" w:fill="auto"/>
                  <w:vAlign w:val="center"/>
                </w:tcPr>
                <w:p w14:paraId="324FAE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44E1B2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830" w:type="pct"/>
                  <w:shd w:val="clear" w:color="auto" w:fill="auto"/>
                  <w:vAlign w:val="center"/>
                </w:tcPr>
                <w:p w14:paraId="43EE307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831" w:type="pct"/>
                  <w:shd w:val="clear" w:color="auto" w:fill="auto"/>
                  <w:vAlign w:val="center"/>
                </w:tcPr>
                <w:p w14:paraId="51F1FDA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696" w:type="pct"/>
                  <w:shd w:val="clear" w:color="auto" w:fill="auto"/>
                  <w:vAlign w:val="center"/>
                </w:tcPr>
                <w:p w14:paraId="074B59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00D4E0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kern w:val="0"/>
                <w:sz w:val="24"/>
                <w:lang w:bidi="ar"/>
              </w:rPr>
              <w:t>由上表可知，正常工况下，项目厂界噪声满足《工业企业厂界环境噪声排放标准》(GB12348.2008)</w:t>
            </w:r>
            <w:bookmarkStart w:id="13" w:name="PO_3"/>
            <w:r>
              <w:rPr>
                <w:rFonts w:hint="default" w:ascii="Times New Roman" w:hAnsi="Times New Roman" w:eastAsia="宋体" w:cs="Times New Roman"/>
                <w:color w:val="auto"/>
                <w:kern w:val="0"/>
                <w:sz w:val="24"/>
                <w:lang w:bidi="ar"/>
              </w:rPr>
              <w:t>3</w:t>
            </w:r>
            <w:bookmarkEnd w:id="13"/>
            <w:r>
              <w:rPr>
                <w:rFonts w:hint="default" w:ascii="Times New Roman" w:hAnsi="Times New Roman" w:eastAsia="宋体" w:cs="Times New Roman"/>
                <w:color w:val="auto"/>
                <w:kern w:val="0"/>
                <w:sz w:val="24"/>
                <w:lang w:bidi="ar"/>
              </w:rPr>
              <w:t>类标准。</w:t>
            </w:r>
            <w:r>
              <w:rPr>
                <w:rFonts w:hint="default" w:ascii="Times New Roman" w:hAnsi="Times New Roman" w:eastAsia="宋体" w:cs="Times New Roman"/>
                <w:color w:val="auto"/>
                <w:sz w:val="24"/>
                <w:lang w:val="zh-CN"/>
              </w:rPr>
              <w:t>为</w:t>
            </w:r>
            <w:r>
              <w:rPr>
                <w:rFonts w:hint="eastAsia" w:cs="Times New Roman"/>
                <w:color w:val="auto"/>
                <w:sz w:val="24"/>
                <w:lang w:val="zh-CN"/>
              </w:rPr>
              <w:t>了</w:t>
            </w:r>
            <w:r>
              <w:rPr>
                <w:rFonts w:hint="default" w:ascii="Times New Roman" w:hAnsi="Times New Roman" w:eastAsia="宋体" w:cs="Times New Roman"/>
                <w:color w:val="auto"/>
                <w:sz w:val="24"/>
                <w:lang w:val="zh-CN"/>
              </w:rPr>
              <w:t>减小运营期噪声对周边环境的影响，本环评提出如下措施：</w:t>
            </w:r>
          </w:p>
          <w:p w14:paraId="052AF9C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1）选用低噪声设备，安装过程中采取减振措施，</w:t>
            </w:r>
            <w:r>
              <w:rPr>
                <w:rFonts w:hint="eastAsia" w:cs="Times New Roman"/>
                <w:color w:val="auto"/>
                <w:sz w:val="24"/>
                <w:lang w:val="en-US" w:eastAsia="zh-CN"/>
              </w:rPr>
              <w:t>空压机设置在密闭的房间内，</w:t>
            </w:r>
            <w:r>
              <w:rPr>
                <w:rFonts w:hint="default" w:ascii="Times New Roman" w:hAnsi="Times New Roman" w:eastAsia="宋体" w:cs="Times New Roman"/>
                <w:color w:val="auto"/>
                <w:sz w:val="24"/>
              </w:rPr>
              <w:t>同时加强保养，避免因运行状况不佳而诱发更高噪声，以从源头上减小噪声的影响；</w:t>
            </w:r>
          </w:p>
          <w:p w14:paraId="664D185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2）厂区合理布局、高噪声设备远离厂界；</w:t>
            </w:r>
          </w:p>
          <w:p w14:paraId="7CA7835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3）加强设备的日常维修、更新，确保所有设备尤其是噪声污染防治设备处于正常工况；</w:t>
            </w:r>
          </w:p>
          <w:p w14:paraId="7788E96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4）物料及成品运输车辆进出厂区时禁止鸣笛、限速行驶；</w:t>
            </w:r>
          </w:p>
          <w:p w14:paraId="53D2159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5）对操作员工影响加强个人防护意识，工作人员应佩戴防噪用品，如防声耳塞或耳罩等。</w:t>
            </w:r>
          </w:p>
          <w:p w14:paraId="42E1543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6）加强管理培训，确保工人文明操作，装卸货物时轻拿轻放，避免因野蛮操作产生的突发性噪声；</w:t>
            </w:r>
            <w:r>
              <w:rPr>
                <w:rFonts w:hint="default" w:ascii="Times New Roman" w:hAnsi="Times New Roman" w:eastAsia="宋体" w:cs="Times New Roman"/>
                <w:color w:val="auto"/>
                <w:sz w:val="24"/>
                <w:lang w:val="zh-CN"/>
              </w:rPr>
              <w:t>以上处理措施在各行业噪声防治中广泛应用，处理效果好。</w:t>
            </w:r>
          </w:p>
          <w:p w14:paraId="744A273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（4）监测计划</w:t>
            </w:r>
          </w:p>
          <w:p w14:paraId="1FFC7A1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根据《排污单位自行监测技术指南》（HJI819-2017），本项目噪声监测计划如下。</w:t>
            </w:r>
          </w:p>
          <w:p w14:paraId="703BA99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p>
          <w:p w14:paraId="3D8406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17</w:t>
            </w:r>
            <w:r>
              <w:rPr>
                <w:rFonts w:hint="default" w:ascii="Times New Roman" w:hAnsi="Times New Roman" w:eastAsia="宋体" w:cs="Times New Roman"/>
                <w:b/>
                <w:bCs/>
                <w:color w:val="auto"/>
                <w:sz w:val="21"/>
                <w:szCs w:val="21"/>
              </w:rPr>
              <w:t xml:space="preserve"> 项目监测计划一览表</w:t>
            </w:r>
          </w:p>
          <w:tbl>
            <w:tblPr>
              <w:tblStyle w:val="28"/>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95"/>
              <w:gridCol w:w="1595"/>
              <w:gridCol w:w="1596"/>
              <w:gridCol w:w="1260"/>
              <w:gridCol w:w="2383"/>
            </w:tblGrid>
            <w:tr w14:paraId="10B494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43" w:type="dxa"/>
                  <w:noWrap w:val="0"/>
                  <w:vAlign w:val="center"/>
                </w:tcPr>
                <w:p w14:paraId="77D89F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污染源</w:t>
                  </w:r>
                </w:p>
              </w:tc>
              <w:tc>
                <w:tcPr>
                  <w:tcW w:w="1543" w:type="dxa"/>
                  <w:noWrap w:val="0"/>
                  <w:vAlign w:val="center"/>
                </w:tcPr>
                <w:p w14:paraId="11288B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1544" w:type="dxa"/>
                  <w:noWrap w:val="0"/>
                  <w:vAlign w:val="center"/>
                </w:tcPr>
                <w:p w14:paraId="2266AF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监测指标</w:t>
                  </w:r>
                </w:p>
              </w:tc>
              <w:tc>
                <w:tcPr>
                  <w:tcW w:w="1218" w:type="dxa"/>
                  <w:noWrap w:val="0"/>
                  <w:vAlign w:val="center"/>
                </w:tcPr>
                <w:p w14:paraId="36738A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监测频次</w:t>
                  </w:r>
                </w:p>
              </w:tc>
              <w:tc>
                <w:tcPr>
                  <w:tcW w:w="2304" w:type="dxa"/>
                  <w:noWrap w:val="0"/>
                  <w:vAlign w:val="center"/>
                </w:tcPr>
                <w:p w14:paraId="6D1E0F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执行标准</w:t>
                  </w:r>
                </w:p>
              </w:tc>
            </w:tr>
            <w:tr w14:paraId="69D351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43" w:type="dxa"/>
                  <w:noWrap w:val="0"/>
                  <w:vAlign w:val="center"/>
                </w:tcPr>
                <w:p w14:paraId="1E87B6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1543" w:type="dxa"/>
                  <w:noWrap w:val="0"/>
                  <w:vAlign w:val="center"/>
                </w:tcPr>
                <w:p w14:paraId="2FC303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东南西北4厂界</w:t>
                  </w:r>
                </w:p>
              </w:tc>
              <w:tc>
                <w:tcPr>
                  <w:tcW w:w="1544" w:type="dxa"/>
                  <w:noWrap w:val="0"/>
                  <w:vAlign w:val="center"/>
                </w:tcPr>
                <w:p w14:paraId="632351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等效连续A声级</w:t>
                  </w:r>
                </w:p>
              </w:tc>
              <w:tc>
                <w:tcPr>
                  <w:tcW w:w="1218" w:type="dxa"/>
                  <w:noWrap w:val="0"/>
                  <w:vAlign w:val="center"/>
                </w:tcPr>
                <w:p w14:paraId="2AA25A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1次/季度</w:t>
                  </w:r>
                </w:p>
              </w:tc>
              <w:tc>
                <w:tcPr>
                  <w:tcW w:w="2304" w:type="dxa"/>
                  <w:noWrap w:val="0"/>
                  <w:vAlign w:val="center"/>
                </w:tcPr>
                <w:p w14:paraId="09F20D1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《工业企业厂界环境噪声排放标准》（GB12348-2008）3类</w:t>
                  </w:r>
                </w:p>
              </w:tc>
            </w:tr>
          </w:tbl>
          <w:p w14:paraId="0FE8F539">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四、运营期固体废物影响分析</w:t>
            </w:r>
          </w:p>
          <w:p w14:paraId="7041C048">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（1）固体废物核算</w:t>
            </w:r>
          </w:p>
          <w:p w14:paraId="3A0FAEA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项目主要固废包括一般固废及危险废物。</w:t>
            </w:r>
          </w:p>
          <w:p w14:paraId="10B096B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一般固废：</w:t>
            </w:r>
          </w:p>
          <w:p w14:paraId="722C415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①水过滤材料</w:t>
            </w:r>
          </w:p>
          <w:p w14:paraId="37BBA4E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根据企业提供的资料，水过滤材料产生量为2.5t/a</w:t>
            </w:r>
            <w:r>
              <w:rPr>
                <w:rFonts w:hint="eastAsia" w:ascii="Times New Roman" w:hAnsi="Times New Roman" w:eastAsia="宋体" w:cs="Times New Roman"/>
                <w:color w:val="auto"/>
                <w:sz w:val="24"/>
                <w:szCs w:val="28"/>
                <w:lang w:val="en-US" w:eastAsia="zh-CN"/>
              </w:rPr>
              <w:t>经</w:t>
            </w:r>
            <w:r>
              <w:rPr>
                <w:rFonts w:hint="default" w:ascii="Times New Roman" w:hAnsi="Times New Roman" w:eastAsia="宋体" w:cs="Times New Roman"/>
                <w:color w:val="auto"/>
                <w:sz w:val="24"/>
                <w:szCs w:val="28"/>
                <w:lang w:val="en-US" w:eastAsia="zh-CN"/>
              </w:rPr>
              <w:t>收集后送废品回收站。</w:t>
            </w:r>
          </w:p>
          <w:p w14:paraId="38F33B4F">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②除尘器粉尘</w:t>
            </w:r>
          </w:p>
          <w:p w14:paraId="2E33568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水性涂料生产线</w:t>
            </w:r>
            <w:r>
              <w:rPr>
                <w:rFonts w:hint="default" w:ascii="Times New Roman" w:hAnsi="Times New Roman" w:eastAsia="宋体" w:cs="Times New Roman"/>
                <w:color w:val="auto"/>
                <w:sz w:val="24"/>
                <w:szCs w:val="28"/>
                <w:lang w:val="en-US" w:eastAsia="zh-CN"/>
              </w:rPr>
              <w:t>布袋除尘器收集的粉尘为</w:t>
            </w:r>
            <w:r>
              <w:rPr>
                <w:rFonts w:hint="eastAsia" w:cs="Times New Roman"/>
                <w:color w:val="auto"/>
                <w:sz w:val="24"/>
                <w:szCs w:val="28"/>
                <w:lang w:val="en-US" w:eastAsia="zh-CN"/>
              </w:rPr>
              <w:t>1.822</w:t>
            </w:r>
            <w:r>
              <w:rPr>
                <w:rFonts w:hint="default" w:ascii="Times New Roman" w:hAnsi="Times New Roman" w:eastAsia="宋体" w:cs="Times New Roman"/>
                <w:color w:val="auto"/>
                <w:sz w:val="24"/>
                <w:szCs w:val="28"/>
                <w:lang w:val="en-US" w:eastAsia="zh-CN"/>
              </w:rPr>
              <w:t>t/a，经收集后作为原料使用；腻子粉生产线除尘器收集的粉尘为</w:t>
            </w:r>
            <w:r>
              <w:rPr>
                <w:rFonts w:hint="eastAsia" w:cs="Times New Roman"/>
                <w:color w:val="auto"/>
                <w:sz w:val="24"/>
                <w:szCs w:val="28"/>
                <w:lang w:val="en-US" w:eastAsia="zh-CN"/>
              </w:rPr>
              <w:t>455.9978</w:t>
            </w:r>
            <w:r>
              <w:rPr>
                <w:rFonts w:hint="default" w:ascii="Times New Roman" w:hAnsi="Times New Roman" w:eastAsia="宋体" w:cs="Times New Roman"/>
                <w:color w:val="auto"/>
                <w:sz w:val="24"/>
                <w:szCs w:val="28"/>
                <w:lang w:val="en-US" w:eastAsia="zh-CN"/>
              </w:rPr>
              <w:t>t/a，经收集后作为腻子粉生产原料使用。</w:t>
            </w:r>
            <w:r>
              <w:rPr>
                <w:rFonts w:hint="eastAsia" w:cs="Times New Roman"/>
                <w:color w:val="auto"/>
                <w:sz w:val="24"/>
                <w:szCs w:val="28"/>
                <w:lang w:val="en-US" w:eastAsia="zh-CN"/>
              </w:rPr>
              <w:t>腻子粉密闭生产车间内粉尘自然沉降量为42.557</w:t>
            </w:r>
            <w:r>
              <w:rPr>
                <w:rFonts w:hint="default" w:ascii="Times New Roman" w:hAnsi="Times New Roman" w:eastAsia="宋体" w:cs="Times New Roman"/>
                <w:color w:val="auto"/>
                <w:sz w:val="24"/>
                <w:szCs w:val="28"/>
                <w:lang w:val="en-US" w:eastAsia="zh-CN"/>
              </w:rPr>
              <w:t>t/a</w:t>
            </w:r>
            <w:r>
              <w:rPr>
                <w:rFonts w:hint="eastAsia" w:cs="Times New Roman"/>
                <w:color w:val="auto"/>
                <w:sz w:val="24"/>
                <w:szCs w:val="28"/>
                <w:lang w:val="en-US" w:eastAsia="zh-CN"/>
              </w:rPr>
              <w:t>，经收集后作为原料使用。</w:t>
            </w:r>
          </w:p>
          <w:p w14:paraId="757521DF">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③废包装材料</w:t>
            </w:r>
          </w:p>
          <w:p w14:paraId="3F2ACA1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根据企业提供的资料，项目废包装材料产生量为1t/a；经收集后暂存一般固废间，外售废品回收站。</w:t>
            </w:r>
          </w:p>
          <w:p w14:paraId="3DD9283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④污水处理系统污泥</w:t>
            </w:r>
          </w:p>
          <w:p w14:paraId="56E76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color w:val="auto"/>
                <w:kern w:val="2"/>
                <w:sz w:val="24"/>
                <w:szCs w:val="24"/>
                <w:lang w:val="zh-CN" w:eastAsia="zh-CN" w:bidi="ar-SA"/>
              </w:rPr>
              <w:t>根据《集中式污染治理设施产排污系数手册（2010修订）》，污泥产生量按照16.7t/万t废水处理量计算，项目年处理</w:t>
            </w:r>
            <w:r>
              <w:rPr>
                <w:rFonts w:hint="default" w:ascii="Times New Roman" w:hAnsi="Times New Roman" w:eastAsia="宋体" w:cs="Times New Roman"/>
                <w:color w:val="auto"/>
                <w:kern w:val="2"/>
                <w:sz w:val="24"/>
                <w:szCs w:val="24"/>
                <w:lang w:val="en-US" w:eastAsia="zh-CN" w:bidi="ar-SA"/>
              </w:rPr>
              <w:t>7744t废水，则污泥产生量为12t/a</w:t>
            </w:r>
            <w:r>
              <w:rPr>
                <w:rFonts w:hint="default" w:ascii="Times New Roman" w:hAnsi="Times New Roman" w:eastAsia="宋体" w:cs="Times New Roman"/>
                <w:color w:val="auto"/>
                <w:kern w:val="2"/>
                <w:sz w:val="24"/>
                <w:szCs w:val="24"/>
                <w:lang w:val="zh-CN" w:eastAsia="zh-CN" w:bidi="ar-SA"/>
              </w:rPr>
              <w:t>。污水处理系统产生的污泥委托</w:t>
            </w:r>
            <w:r>
              <w:rPr>
                <w:rFonts w:hint="eastAsia" w:cs="Times New Roman"/>
                <w:color w:val="auto"/>
                <w:kern w:val="2"/>
                <w:sz w:val="24"/>
                <w:szCs w:val="24"/>
                <w:lang w:val="zh-CN" w:eastAsia="zh-CN" w:bidi="ar-SA"/>
              </w:rPr>
              <w:t>富名翔盛废物旧资收购点</w:t>
            </w:r>
            <w:r>
              <w:rPr>
                <w:rFonts w:hint="default" w:ascii="Times New Roman" w:hAnsi="Times New Roman" w:eastAsia="宋体" w:cs="Times New Roman"/>
                <w:color w:val="auto"/>
                <w:kern w:val="2"/>
                <w:sz w:val="24"/>
                <w:szCs w:val="24"/>
                <w:lang w:val="zh-CN" w:eastAsia="zh-CN" w:bidi="ar-SA"/>
              </w:rPr>
              <w:t>定期清运处理。</w:t>
            </w:r>
          </w:p>
          <w:p w14:paraId="2B844FD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⑤生活垃圾</w:t>
            </w:r>
          </w:p>
          <w:p w14:paraId="0EC36FB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本项目生产车间劳动定员150人，按每人每天产生垃圾0.5kg计，生活垃圾产生量为75kg/d，20.6t/a。集中收集后，委托园区环卫部门定期清运处置。</w:t>
            </w:r>
          </w:p>
          <w:p w14:paraId="66E3A1F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⑥餐厨固废</w:t>
            </w:r>
          </w:p>
          <w:p w14:paraId="47A6284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本项目劳动定员150人，餐厨固废按每人每天产生0.4kg计，生活垃圾产生量为60kg/d，16.5t/a。集中收集后，委托有餐厨废弃物特许经营单位清运处置。</w:t>
            </w:r>
          </w:p>
          <w:p w14:paraId="3FFE641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危险固废：</w:t>
            </w:r>
          </w:p>
          <w:p w14:paraId="577912B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①废活性炭</w:t>
            </w:r>
          </w:p>
          <w:p w14:paraId="0FF591CC">
            <w:pPr>
              <w:pStyle w:val="107"/>
              <w:keepNext w:val="0"/>
              <w:keepLines w:val="0"/>
              <w:pageBreakBefore w:val="0"/>
              <w:widowControl/>
              <w:suppressLineNumbers w:val="0"/>
              <w:shd w:val="clear" w:color="auto" w:fill="auto"/>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项目</w:t>
            </w:r>
            <w:r>
              <w:rPr>
                <w:rFonts w:hint="eastAsia" w:eastAsia="宋体" w:cs="Times New Roman"/>
                <w:color w:val="auto"/>
                <w:kern w:val="2"/>
                <w:sz w:val="24"/>
                <w:szCs w:val="24"/>
                <w:highlight w:val="none"/>
                <w:lang w:val="en-US" w:eastAsia="zh-CN" w:bidi="ar-SA"/>
              </w:rPr>
              <w:t>水性涂料生产车间罐装环节产生的非甲烷总烃</w:t>
            </w:r>
            <w:r>
              <w:rPr>
                <w:rFonts w:hint="default" w:ascii="Times New Roman" w:hAnsi="Times New Roman" w:eastAsia="宋体" w:cs="Times New Roman"/>
                <w:color w:val="auto"/>
                <w:kern w:val="2"/>
                <w:sz w:val="24"/>
                <w:szCs w:val="24"/>
                <w:highlight w:val="none"/>
                <w:lang w:val="en-US" w:eastAsia="zh-CN" w:bidi="ar-SA"/>
              </w:rPr>
              <w:t>采用活性</w:t>
            </w:r>
            <w:r>
              <w:rPr>
                <w:rFonts w:hint="default" w:ascii="Times New Roman" w:hAnsi="Times New Roman" w:eastAsia="宋体" w:cs="Times New Roman"/>
                <w:color w:val="auto"/>
                <w:sz w:val="24"/>
                <w:szCs w:val="24"/>
                <w:highlight w:val="none"/>
                <w:lang w:val="en-US" w:eastAsia="zh-CN"/>
              </w:rPr>
              <w:t>炭吸附</w:t>
            </w:r>
            <w:r>
              <w:rPr>
                <w:rFonts w:hint="default" w:ascii="Times New Roman" w:hAnsi="Times New Roman" w:eastAsia="宋体" w:cs="Times New Roman"/>
                <w:color w:val="auto"/>
                <w:sz w:val="24"/>
                <w:szCs w:val="24"/>
                <w:highlight w:val="none"/>
                <w:lang w:eastAsia="zh-CN"/>
              </w:rPr>
              <w:t>装置</w:t>
            </w:r>
            <w:r>
              <w:rPr>
                <w:rFonts w:hint="eastAsia" w:eastAsia="宋体" w:cs="Times New Roman"/>
                <w:color w:val="auto"/>
                <w:sz w:val="24"/>
                <w:szCs w:val="24"/>
                <w:highlight w:val="none"/>
                <w:lang w:eastAsia="zh-CN"/>
              </w:rPr>
              <w:t>处理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运营</w:t>
            </w:r>
            <w:r>
              <w:rPr>
                <w:rFonts w:hint="default" w:ascii="Times New Roman" w:hAnsi="Times New Roman" w:eastAsia="宋体" w:cs="Times New Roman"/>
                <w:color w:val="auto"/>
                <w:sz w:val="24"/>
                <w:szCs w:val="24"/>
                <w:highlight w:val="none"/>
              </w:rPr>
              <w:t>过程中会产生</w:t>
            </w:r>
            <w:r>
              <w:rPr>
                <w:rFonts w:hint="default" w:ascii="Times New Roman" w:hAnsi="Times New Roman" w:eastAsia="宋体" w:cs="Times New Roman"/>
                <w:b w:val="0"/>
                <w:bCs w:val="0"/>
                <w:color w:val="auto"/>
                <w:sz w:val="24"/>
                <w:szCs w:val="24"/>
                <w:highlight w:val="none"/>
                <w:lang w:val="en-US" w:eastAsia="zh-CN"/>
              </w:rPr>
              <w:t>废活性炭。</w:t>
            </w:r>
            <w:r>
              <w:rPr>
                <w:rFonts w:hint="default" w:ascii="Times New Roman" w:hAnsi="Times New Roman" w:eastAsia="宋体" w:cs="Times New Roman"/>
                <w:color w:val="auto"/>
                <w:sz w:val="24"/>
                <w:szCs w:val="24"/>
                <w:highlight w:val="none"/>
                <w:lang w:bidi="en-US"/>
              </w:rPr>
              <w:t>本项目使用</w:t>
            </w:r>
            <w:r>
              <w:rPr>
                <w:rFonts w:hint="default" w:ascii="Times New Roman" w:hAnsi="Times New Roman" w:eastAsia="宋体" w:cs="Times New Roman"/>
                <w:color w:val="auto"/>
                <w:sz w:val="24"/>
                <w:szCs w:val="24"/>
                <w:highlight w:val="none"/>
              </w:rPr>
              <w:t>活性炭处理设施对</w:t>
            </w:r>
            <w:r>
              <w:rPr>
                <w:rFonts w:hint="default" w:ascii="Times New Roman" w:hAnsi="Times New Roman" w:eastAsia="宋体" w:cs="Times New Roman"/>
                <w:bCs/>
                <w:color w:val="auto"/>
                <w:sz w:val="24"/>
                <w:szCs w:val="24"/>
                <w:highlight w:val="none"/>
              </w:rPr>
              <w:t>有组织</w:t>
            </w:r>
            <w:r>
              <w:rPr>
                <w:rFonts w:hint="default" w:ascii="Times New Roman" w:hAnsi="Times New Roman" w:eastAsia="宋体" w:cs="Times New Roman"/>
                <w:bCs/>
                <w:color w:val="auto"/>
                <w:sz w:val="24"/>
                <w:szCs w:val="24"/>
                <w:highlight w:val="none"/>
                <w:lang w:val="en-US" w:eastAsia="zh-CN"/>
              </w:rPr>
              <w:t>废气</w:t>
            </w:r>
            <w:r>
              <w:rPr>
                <w:rFonts w:hint="default" w:ascii="Times New Roman" w:hAnsi="Times New Roman" w:eastAsia="宋体" w:cs="Times New Roman"/>
                <w:bCs/>
                <w:color w:val="auto"/>
                <w:sz w:val="24"/>
                <w:szCs w:val="24"/>
                <w:highlight w:val="none"/>
              </w:rPr>
              <w:t>进行吸附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rPr>
              <w:t>活性炭</w:t>
            </w:r>
            <w:r>
              <w:rPr>
                <w:rFonts w:hint="default" w:ascii="Times New Roman" w:hAnsi="Times New Roman" w:eastAsia="宋体" w:cs="Times New Roman"/>
                <w:color w:val="auto"/>
                <w:kern w:val="0"/>
                <w:sz w:val="24"/>
                <w:szCs w:val="24"/>
                <w:highlight w:val="none"/>
                <w:lang w:val="en-US" w:eastAsia="zh-CN"/>
              </w:rPr>
              <w:t>重复</w:t>
            </w:r>
            <w:r>
              <w:rPr>
                <w:rFonts w:hint="default" w:ascii="Times New Roman" w:hAnsi="Times New Roman" w:eastAsia="宋体" w:cs="Times New Roman"/>
                <w:color w:val="auto"/>
                <w:kern w:val="0"/>
                <w:sz w:val="24"/>
                <w:szCs w:val="24"/>
                <w:highlight w:val="none"/>
              </w:rPr>
              <w:t>使用一段时间后会失效，</w:t>
            </w:r>
            <w:r>
              <w:rPr>
                <w:rFonts w:hint="default" w:ascii="Times New Roman" w:hAnsi="Times New Roman" w:eastAsia="宋体" w:cs="Times New Roman"/>
                <w:color w:val="auto"/>
                <w:sz w:val="24"/>
                <w:szCs w:val="24"/>
                <w:highlight w:val="none"/>
              </w:rPr>
              <w:t>参考陆良杰、王京刚在《化工环保》2007年05期发表的《挥发性有机物的物化性质与活性炭饱和吸附量的相关性研究》，</w:t>
            </w:r>
            <w:r>
              <w:rPr>
                <w:rFonts w:hint="default" w:ascii="Times New Roman" w:hAnsi="Times New Roman" w:eastAsia="宋体" w:cs="Times New Roman"/>
                <w:color w:val="auto"/>
                <w:sz w:val="24"/>
                <w:szCs w:val="24"/>
              </w:rPr>
              <w:t>活性炭对</w:t>
            </w:r>
            <w:r>
              <w:rPr>
                <w:rFonts w:hint="default" w:ascii="Times New Roman" w:hAnsi="Times New Roman" w:eastAsia="宋体" w:cs="Times New Roman"/>
                <w:color w:val="auto"/>
                <w:sz w:val="24"/>
                <w:szCs w:val="24"/>
                <w:lang w:eastAsia="zh-CN"/>
              </w:rPr>
              <w:t>挥发性有机废气</w:t>
            </w:r>
            <w:r>
              <w:rPr>
                <w:rFonts w:hint="default" w:ascii="Times New Roman" w:hAnsi="Times New Roman" w:eastAsia="宋体" w:cs="Times New Roman"/>
                <w:color w:val="auto"/>
                <w:sz w:val="24"/>
                <w:szCs w:val="24"/>
              </w:rPr>
              <w:t>的饱</w:t>
            </w:r>
            <w:r>
              <w:rPr>
                <w:rFonts w:hint="default" w:ascii="Times New Roman" w:hAnsi="Times New Roman" w:eastAsia="宋体" w:cs="Times New Roman"/>
                <w:color w:val="auto"/>
                <w:sz w:val="24"/>
                <w:szCs w:val="24"/>
                <w:highlight w:val="none"/>
              </w:rPr>
              <w:t>和吸附量为280mg/g，项目设置</w:t>
            </w:r>
            <w:r>
              <w:rPr>
                <w:rFonts w:hint="eastAsia"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lang w:val="en-US" w:eastAsia="zh-CN"/>
              </w:rPr>
              <w:t>套</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活性炭吸附</w:t>
            </w:r>
            <w:r>
              <w:rPr>
                <w:rFonts w:hint="default" w:ascii="Times New Roman" w:hAnsi="Times New Roman" w:eastAsia="宋体" w:cs="Times New Roman"/>
                <w:color w:val="auto"/>
                <w:sz w:val="24"/>
                <w:szCs w:val="24"/>
                <w:highlight w:val="none"/>
              </w:rPr>
              <w:t>”装置，吸附</w:t>
            </w:r>
            <w:r>
              <w:rPr>
                <w:rFonts w:hint="default" w:ascii="Times New Roman" w:hAnsi="Times New Roman" w:eastAsia="宋体" w:cs="Times New Roman"/>
                <w:color w:val="auto"/>
                <w:sz w:val="24"/>
                <w:szCs w:val="24"/>
                <w:highlight w:val="none"/>
                <w:lang w:eastAsia="zh-CN"/>
              </w:rPr>
              <w:t>有机废气</w:t>
            </w:r>
            <w:r>
              <w:rPr>
                <w:rFonts w:hint="default" w:ascii="Times New Roman" w:hAnsi="Times New Roman" w:eastAsia="宋体" w:cs="Times New Roman"/>
                <w:color w:val="auto"/>
                <w:sz w:val="24"/>
                <w:szCs w:val="24"/>
                <w:highlight w:val="none"/>
              </w:rPr>
              <w:t>量为</w:t>
            </w:r>
            <w:r>
              <w:rPr>
                <w:rFonts w:hint="eastAsia"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t，则活性炭用量为</w:t>
            </w:r>
            <w:r>
              <w:rPr>
                <w:rFonts w:hint="eastAsia"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t/a，废活性炭产生量为</w:t>
            </w:r>
            <w:r>
              <w:rPr>
                <w:rFonts w:hint="eastAsia" w:eastAsia="宋体" w:cs="Times New Roman"/>
                <w:color w:val="auto"/>
                <w:sz w:val="24"/>
                <w:szCs w:val="24"/>
                <w:highlight w:val="none"/>
                <w:lang w:val="en-US" w:eastAsia="zh-CN"/>
              </w:rPr>
              <w:t>14.2</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bidi="ar"/>
              </w:rPr>
              <w:t>根据《国家危险废物名录》</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2021年版</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，废活性炭属于</w:t>
            </w:r>
            <w:r>
              <w:rPr>
                <w:rFonts w:hint="default" w:ascii="Times New Roman" w:hAnsi="Times New Roman" w:eastAsia="宋体" w:cs="Times New Roman"/>
                <w:color w:val="auto"/>
                <w:sz w:val="24"/>
                <w:szCs w:val="24"/>
                <w:highlight w:val="none"/>
                <w:lang w:eastAsia="zh-CN"/>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900-0</w:t>
            </w:r>
            <w:r>
              <w:rPr>
                <w:rFonts w:hint="default" w:ascii="Times New Roman" w:hAnsi="Times New Roman" w:eastAsia="宋体" w:cs="Times New Roman"/>
                <w:bCs/>
                <w:color w:val="auto"/>
                <w:kern w:val="0"/>
                <w:sz w:val="24"/>
                <w:szCs w:val="24"/>
                <w:highlight w:val="none"/>
                <w:lang w:val="en-US" w:eastAsia="zh-CN"/>
              </w:rPr>
              <w:t>39</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4</w:t>
            </w:r>
            <w:r>
              <w:rPr>
                <w:rFonts w:hint="default" w:ascii="Times New Roman" w:hAnsi="Times New Roman" w:eastAsia="宋体" w:cs="Times New Roman"/>
                <w:bCs/>
                <w:color w:val="auto"/>
                <w:kern w:val="0"/>
                <w:sz w:val="24"/>
                <w:szCs w:val="24"/>
                <w:highlight w:val="none"/>
              </w:rPr>
              <w:t>9</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废活性炭收集暂存于危废暂存间后，委托资质单位</w:t>
            </w:r>
            <w:r>
              <w:rPr>
                <w:rFonts w:hint="default" w:ascii="Times New Roman" w:hAnsi="Times New Roman" w:eastAsia="宋体" w:cs="Times New Roman"/>
                <w:color w:val="auto"/>
                <w:sz w:val="24"/>
                <w:szCs w:val="24"/>
                <w:highlight w:val="none"/>
                <w:lang w:eastAsia="zh-CN"/>
              </w:rPr>
              <w:t>清运处置</w:t>
            </w:r>
            <w:r>
              <w:rPr>
                <w:rFonts w:hint="default" w:ascii="Times New Roman" w:hAnsi="Times New Roman" w:eastAsia="宋体" w:cs="Times New Roman"/>
                <w:color w:val="auto"/>
                <w:sz w:val="24"/>
                <w:szCs w:val="24"/>
                <w:highlight w:val="none"/>
              </w:rPr>
              <w:t>。</w:t>
            </w:r>
          </w:p>
          <w:p w14:paraId="318316D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②废UV灯管</w:t>
            </w:r>
          </w:p>
          <w:p w14:paraId="74ED13D6">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项目有机废气采用UV光解装置处理，UV光解装置运行过程中会产生废UV灯管，为保证处理效率，平均半年更换一次，更换一次废UV灯管产生量约为40kg，则废UV灯管产生量为0.08t/a。根据《国家危险废物名录（2021年版）》，</w:t>
            </w:r>
            <w:r>
              <w:rPr>
                <w:rFonts w:hint="default" w:ascii="Times New Roman" w:hAnsi="Times New Roman" w:eastAsia="宋体" w:cs="Times New Roman"/>
                <w:color w:val="auto"/>
                <w:kern w:val="0"/>
                <w:sz w:val="24"/>
              </w:rPr>
              <w:t>废UV灯管</w:t>
            </w:r>
            <w:r>
              <w:rPr>
                <w:rFonts w:hint="default" w:ascii="Times New Roman" w:hAnsi="Times New Roman" w:eastAsia="宋体" w:cs="Times New Roman"/>
                <w:bCs/>
                <w:color w:val="auto"/>
                <w:kern w:val="0"/>
                <w:sz w:val="24"/>
              </w:rPr>
              <w:t>属HW29含汞废物 中的900-023-29。环评提出，将</w:t>
            </w:r>
            <w:r>
              <w:rPr>
                <w:rFonts w:hint="default" w:ascii="Times New Roman" w:hAnsi="Times New Roman" w:eastAsia="宋体" w:cs="Times New Roman"/>
                <w:color w:val="auto"/>
                <w:kern w:val="0"/>
                <w:sz w:val="24"/>
              </w:rPr>
              <w:t>废UV灯管使用专用密闭容器收集、</w:t>
            </w:r>
            <w:r>
              <w:rPr>
                <w:rFonts w:hint="default" w:ascii="Times New Roman" w:hAnsi="Times New Roman" w:eastAsia="宋体" w:cs="Times New Roman"/>
                <w:bCs/>
                <w:color w:val="auto"/>
                <w:kern w:val="0"/>
                <w:sz w:val="24"/>
              </w:rPr>
              <w:t>暂存于危险废物暂存间，定期委托有资质的单位清运处置。</w:t>
            </w:r>
          </w:p>
          <w:p w14:paraId="0997461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③废矿物油</w:t>
            </w:r>
          </w:p>
          <w:p w14:paraId="1EB738D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color w:val="auto"/>
                <w:sz w:val="24"/>
                <w:szCs w:val="28"/>
                <w:lang w:val="en-US" w:eastAsia="zh-CN"/>
              </w:rPr>
              <w:t>项目在运营期间机器维修过程中会有废机油、润滑油。由于维修机器的时间和频率是无法预测的，所以产生的废机油、润滑油约为0.5t。</w:t>
            </w:r>
            <w:r>
              <w:rPr>
                <w:rFonts w:hint="default" w:ascii="Times New Roman" w:hAnsi="Times New Roman" w:eastAsia="宋体" w:cs="Times New Roman"/>
                <w:color w:val="auto"/>
                <w:kern w:val="0"/>
                <w:sz w:val="24"/>
                <w:szCs w:val="24"/>
                <w:highlight w:val="none"/>
                <w:lang w:val="en-US" w:eastAsia="zh-CN" w:bidi="ar"/>
              </w:rPr>
              <w:t>根据《国家危险废物名录》(2021年版)，废机油属于危险废物，</w:t>
            </w:r>
            <w:r>
              <w:rPr>
                <w:rFonts w:hint="default" w:ascii="Times New Roman" w:hAnsi="Times New Roman" w:eastAsia="宋体" w:cs="Times New Roman"/>
                <w:b w:val="0"/>
                <w:bCs w:val="0"/>
                <w:color w:val="auto"/>
                <w:sz w:val="24"/>
                <w:szCs w:val="24"/>
                <w:highlight w:val="none"/>
                <w:lang w:val="en-US" w:eastAsia="zh-CN"/>
              </w:rPr>
              <w:t>废物类别为HW08，废物代码为900-214-08</w:t>
            </w:r>
            <w:r>
              <w:rPr>
                <w:rFonts w:hint="default" w:ascii="Times New Roman" w:hAnsi="Times New Roman" w:eastAsia="宋体" w:cs="Times New Roman"/>
                <w:color w:val="auto"/>
                <w:kern w:val="2"/>
                <w:sz w:val="24"/>
                <w:szCs w:val="24"/>
                <w:highlight w:val="none"/>
                <w:lang w:val="en-US" w:eastAsia="zh-CN" w:bidi="ar"/>
              </w:rPr>
              <w:t>“车辆、轮船及其他机械维修过程中产生的废发动机油、制动器油、自动变速器油、齿轮油等废润滑油”，废机油</w:t>
            </w:r>
            <w:r>
              <w:rPr>
                <w:rFonts w:hint="default" w:ascii="Times New Roman" w:hAnsi="Times New Roman" w:eastAsia="宋体" w:cs="Times New Roman"/>
                <w:color w:val="auto"/>
                <w:sz w:val="24"/>
                <w:szCs w:val="28"/>
                <w:lang w:val="en-US" w:eastAsia="zh-CN"/>
              </w:rPr>
              <w:t>及沾染物</w:t>
            </w:r>
            <w:r>
              <w:rPr>
                <w:rFonts w:hint="default" w:ascii="Times New Roman" w:hAnsi="Times New Roman" w:eastAsia="宋体" w:cs="Times New Roman"/>
                <w:color w:val="auto"/>
                <w:kern w:val="2"/>
                <w:sz w:val="24"/>
                <w:szCs w:val="24"/>
                <w:highlight w:val="none"/>
                <w:lang w:val="en-US" w:eastAsia="zh-CN" w:bidi="ar"/>
              </w:rPr>
              <w:t>经专用收集容器收集后暂存于危废暂存间，</w:t>
            </w:r>
            <w:r>
              <w:rPr>
                <w:rFonts w:hint="default" w:ascii="Times New Roman" w:hAnsi="Times New Roman" w:eastAsia="宋体" w:cs="Times New Roman"/>
                <w:color w:val="auto"/>
                <w:kern w:val="0"/>
                <w:sz w:val="24"/>
                <w:szCs w:val="24"/>
                <w:highlight w:val="none"/>
                <w:lang w:val="en-US" w:eastAsia="zh-CN" w:bidi="ar"/>
              </w:rPr>
              <w:t>委托有资质的单位定期清运处置，</w:t>
            </w:r>
            <w:r>
              <w:rPr>
                <w:rFonts w:hint="default" w:ascii="Times New Roman" w:hAnsi="Times New Roman" w:eastAsia="宋体" w:cs="Times New Roman"/>
                <w:color w:val="auto"/>
                <w:kern w:val="2"/>
                <w:sz w:val="24"/>
                <w:szCs w:val="24"/>
                <w:highlight w:val="none"/>
                <w:lang w:val="en-US" w:eastAsia="zh-CN" w:bidi="ar"/>
              </w:rPr>
              <w:t>对环境影响较小</w:t>
            </w:r>
            <w:r>
              <w:rPr>
                <w:rFonts w:hint="default" w:ascii="Times New Roman" w:hAnsi="Times New Roman" w:eastAsia="宋体" w:cs="Times New Roman"/>
                <w:b w:val="0"/>
                <w:bCs w:val="0"/>
                <w:color w:val="auto"/>
                <w:kern w:val="2"/>
                <w:sz w:val="24"/>
                <w:szCs w:val="24"/>
                <w:highlight w:val="none"/>
                <w:lang w:val="en-US" w:eastAsia="zh-CN" w:bidi="ar"/>
              </w:rPr>
              <w:t>。</w:t>
            </w:r>
          </w:p>
          <w:p w14:paraId="5C32EE56">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④沾染有机溶剂的废包装材料</w:t>
            </w:r>
          </w:p>
          <w:p w14:paraId="2C697866">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项目水性涂料生产使用的防冻剂主要含丙二醇，属于有机溶剂，根据建设单位提供资料，产生量为0.2t/a，</w:t>
            </w:r>
            <w:r>
              <w:rPr>
                <w:rFonts w:hint="default" w:ascii="Times New Roman" w:hAnsi="Times New Roman" w:eastAsia="宋体" w:cs="Times New Roman"/>
                <w:color w:val="auto"/>
                <w:sz w:val="24"/>
                <w:szCs w:val="24"/>
                <w:highlight w:val="none"/>
              </w:rPr>
              <w:t>根据《国家危险废物名录》（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8"/>
                <w:lang w:val="en-US" w:eastAsia="zh-CN"/>
              </w:rPr>
              <w:t>沾染有机溶剂的废包装材料</w:t>
            </w:r>
            <w:r>
              <w:rPr>
                <w:rFonts w:hint="default" w:ascii="Times New Roman" w:hAnsi="Times New Roman" w:eastAsia="宋体" w:cs="Times New Roman"/>
                <w:color w:val="auto"/>
                <w:sz w:val="24"/>
                <w:szCs w:val="24"/>
                <w:highlight w:val="none"/>
              </w:rPr>
              <w:t>属于HW</w:t>
            </w:r>
            <w:r>
              <w:rPr>
                <w:rFonts w:hint="default" w:ascii="Times New Roman" w:hAnsi="Times New Roman" w:eastAsia="宋体" w:cs="Times New Roman"/>
                <w:color w:val="auto"/>
                <w:sz w:val="24"/>
                <w:szCs w:val="24"/>
                <w:highlight w:val="none"/>
                <w:lang w:val="en-US" w:eastAsia="zh-CN"/>
              </w:rPr>
              <w:t>49其他</w:t>
            </w:r>
            <w:r>
              <w:rPr>
                <w:rFonts w:hint="default" w:ascii="Times New Roman" w:hAnsi="Times New Roman" w:eastAsia="宋体" w:cs="Times New Roman"/>
                <w:color w:val="auto"/>
                <w:sz w:val="24"/>
                <w:szCs w:val="24"/>
                <w:highlight w:val="none"/>
              </w:rPr>
              <w:t>废物类危险废物，危废代码为900-041-49</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8"/>
                <w:lang w:val="en-US" w:eastAsia="zh-CN"/>
              </w:rPr>
              <w:t>沾染有机溶剂的废包装材料</w:t>
            </w:r>
            <w:r>
              <w:rPr>
                <w:rFonts w:hint="default" w:ascii="Times New Roman" w:hAnsi="Times New Roman" w:eastAsia="宋体" w:cs="Times New Roman"/>
                <w:color w:val="auto"/>
                <w:sz w:val="24"/>
                <w:szCs w:val="24"/>
                <w:highlight w:val="none"/>
                <w:lang w:val="en-US" w:eastAsia="zh-CN"/>
              </w:rPr>
              <w:t>集中收集</w:t>
            </w:r>
            <w:r>
              <w:rPr>
                <w:rFonts w:hint="default" w:ascii="Times New Roman" w:hAnsi="Times New Roman" w:eastAsia="宋体" w:cs="Times New Roman"/>
                <w:color w:val="auto"/>
                <w:sz w:val="24"/>
                <w:szCs w:val="24"/>
                <w:highlight w:val="none"/>
              </w:rPr>
              <w:t>后</w:t>
            </w:r>
            <w:r>
              <w:rPr>
                <w:rFonts w:hint="default" w:ascii="Times New Roman" w:hAnsi="Times New Roman" w:eastAsia="宋体" w:cs="Times New Roman"/>
                <w:color w:val="auto"/>
                <w:sz w:val="24"/>
                <w:szCs w:val="24"/>
                <w:highlight w:val="none"/>
                <w:lang w:eastAsia="zh-CN"/>
              </w:rPr>
              <w:t>暂存于危废暂存间，</w:t>
            </w:r>
            <w:r>
              <w:rPr>
                <w:rFonts w:hint="default" w:ascii="Times New Roman" w:hAnsi="Times New Roman" w:eastAsia="宋体" w:cs="Times New Roman"/>
                <w:color w:val="auto"/>
                <w:sz w:val="24"/>
                <w:szCs w:val="24"/>
                <w:highlight w:val="none"/>
              </w:rPr>
              <w:t>由交由资质单位进行处理。</w:t>
            </w:r>
          </w:p>
          <w:p w14:paraId="4928E3D9">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（2）固体废物环境影响分析</w:t>
            </w:r>
          </w:p>
          <w:p w14:paraId="5C395373">
            <w:pPr>
              <w:pStyle w:val="20"/>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rightChars="0" w:firstLine="480" w:firstLineChars="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sz w:val="24"/>
                <w:szCs w:val="28"/>
                <w:lang w:val="en-US" w:eastAsia="zh-CN"/>
              </w:rPr>
              <w:t>①一</w:t>
            </w:r>
            <w:r>
              <w:rPr>
                <w:rFonts w:hint="default" w:ascii="Times New Roman" w:hAnsi="Times New Roman" w:eastAsia="宋体" w:cs="Times New Roman"/>
                <w:b w:val="0"/>
                <w:bCs w:val="0"/>
                <w:color w:val="auto"/>
                <w:kern w:val="0"/>
                <w:sz w:val="24"/>
                <w:szCs w:val="24"/>
                <w:highlight w:val="none"/>
                <w:lang w:val="en-US" w:eastAsia="zh-CN"/>
              </w:rPr>
              <w:t>般固废影响分析</w:t>
            </w:r>
          </w:p>
          <w:p w14:paraId="6119C9F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b w:val="0"/>
                <w:bCs/>
                <w:color w:val="auto"/>
                <w:kern w:val="0"/>
                <w:sz w:val="24"/>
                <w:szCs w:val="24"/>
                <w:highlight w:val="none"/>
                <w:lang w:val="en-US" w:eastAsia="zh-CN"/>
              </w:rPr>
              <w:t>一般固废主要有</w:t>
            </w:r>
            <w:r>
              <w:rPr>
                <w:rFonts w:hint="default" w:ascii="Times New Roman" w:hAnsi="Times New Roman" w:eastAsia="宋体" w:cs="Times New Roman"/>
                <w:color w:val="auto"/>
                <w:sz w:val="24"/>
                <w:szCs w:val="28"/>
                <w:lang w:val="en-US" w:eastAsia="zh-CN"/>
              </w:rPr>
              <w:t>水过滤材料、废抹布，除尘器粉尘、废包装材料、污水处理系统沉淀污泥、生活垃圾、餐厨固废</w:t>
            </w:r>
            <w:r>
              <w:rPr>
                <w:rFonts w:hint="default" w:ascii="Times New Roman" w:hAnsi="Times New Roman" w:eastAsia="宋体" w:cs="Times New Roman"/>
                <w:b w:val="0"/>
                <w:bCs/>
                <w:color w:val="auto"/>
                <w:kern w:val="0"/>
                <w:sz w:val="24"/>
                <w:szCs w:val="24"/>
                <w:highlight w:val="none"/>
                <w:lang w:val="en-US" w:eastAsia="zh-CN"/>
              </w:rPr>
              <w:t>。其中</w:t>
            </w:r>
            <w:r>
              <w:rPr>
                <w:rFonts w:hint="default" w:ascii="Times New Roman" w:hAnsi="Times New Roman" w:eastAsia="宋体" w:cs="Times New Roman"/>
                <w:color w:val="auto"/>
                <w:sz w:val="24"/>
                <w:szCs w:val="28"/>
                <w:lang w:val="en-US" w:eastAsia="zh-CN"/>
              </w:rPr>
              <w:t>水过滤材料、废抹布经收集后外售废品回收站，除尘器粉尘收集后回用到生产，废包装材料收集后外售废品回收站、污水处理系统污泥委托</w:t>
            </w:r>
            <w:r>
              <w:rPr>
                <w:rFonts w:hint="eastAsia" w:cs="Times New Roman"/>
                <w:color w:val="auto"/>
                <w:sz w:val="24"/>
                <w:szCs w:val="28"/>
                <w:lang w:val="en-US" w:eastAsia="zh-CN"/>
              </w:rPr>
              <w:t>富名翔盛废物旧资收购点</w:t>
            </w:r>
            <w:r>
              <w:rPr>
                <w:rFonts w:hint="default" w:ascii="Times New Roman" w:hAnsi="Times New Roman" w:eastAsia="宋体" w:cs="Times New Roman"/>
                <w:color w:val="auto"/>
                <w:sz w:val="24"/>
                <w:szCs w:val="28"/>
                <w:lang w:val="en-US" w:eastAsia="zh-CN"/>
              </w:rPr>
              <w:t>清运处置，生活垃圾经垃圾桶收集后委托环卫部门清运处置，餐厨固废收集后委托有资质单位清运处置。</w:t>
            </w:r>
          </w:p>
          <w:p w14:paraId="683CAD5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项目区设置有1个面积为</w:t>
            </w:r>
            <w:r>
              <w:rPr>
                <w:rFonts w:hint="default" w:ascii="Times New Roman" w:hAnsi="Times New Roman" w:eastAsia="宋体" w:cs="Times New Roman"/>
                <w:color w:val="auto"/>
                <w:sz w:val="24"/>
                <w:szCs w:val="24"/>
                <w:lang w:val="en-US" w:eastAsia="zh-CN"/>
              </w:rPr>
              <w:t>135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lang w:val="en-US" w:eastAsia="zh-CN"/>
              </w:rPr>
              <w:t>的一般固废间，厂区产生的一般固废可暂存在一般固废间内，集中进行处置。</w:t>
            </w:r>
          </w:p>
          <w:p w14:paraId="7C392C80">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根据《一般工业固体废物管理台账制定指南》的相关规定，建设单位需对一般工业固体废物建立台账管理，如实记录工业固体废物的种类、数量、流向、贮存、利用、处置等信息，实现工业固体废物可追溯、可查询的目的。一般固废处置情况见下表。</w:t>
            </w:r>
          </w:p>
          <w:p w14:paraId="0610A29D">
            <w:pPr>
              <w:pStyle w:val="1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18</w:t>
            </w:r>
            <w:r>
              <w:rPr>
                <w:rFonts w:hint="default" w:ascii="Times New Roman" w:hAnsi="Times New Roman" w:eastAsia="宋体" w:cs="Times New Roman"/>
                <w:b/>
                <w:bCs/>
                <w:color w:val="auto"/>
                <w:sz w:val="21"/>
                <w:szCs w:val="21"/>
                <w:lang w:val="en-US" w:eastAsia="zh-CN"/>
              </w:rPr>
              <w:t xml:space="preserve"> 项目一般固废产排情况一览表</w:t>
            </w:r>
          </w:p>
          <w:tbl>
            <w:tblPr>
              <w:tblStyle w:val="28"/>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1"/>
              <w:gridCol w:w="846"/>
              <w:gridCol w:w="1036"/>
              <w:gridCol w:w="1373"/>
              <w:gridCol w:w="1373"/>
              <w:gridCol w:w="1196"/>
              <w:gridCol w:w="1330"/>
              <w:gridCol w:w="880"/>
            </w:tblGrid>
            <w:tr w14:paraId="0466C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01D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产污环节</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8DC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自来水过滤</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7BE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厂区除尘器</w:t>
                  </w:r>
                  <w:r>
                    <w:rPr>
                      <w:rFonts w:hint="eastAsia" w:cs="Times New Roman"/>
                      <w:i w:val="0"/>
                      <w:iCs w:val="0"/>
                      <w:color w:val="auto"/>
                      <w:kern w:val="0"/>
                      <w:sz w:val="21"/>
                      <w:szCs w:val="21"/>
                      <w:u w:val="none"/>
                      <w:lang w:val="en-US" w:eastAsia="zh-CN" w:bidi="ar"/>
                    </w:rPr>
                    <w:t>，车间沉降</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578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lang w:eastAsia="zh-CN"/>
                    </w:rPr>
                    <w:t>原辅料包装材料</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453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污水处理系统</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6DF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人员生活办公</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931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食堂</w:t>
                  </w:r>
                </w:p>
              </w:tc>
            </w:tr>
            <w:tr w14:paraId="3AA2F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F701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0A8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水过滤材料、废抹布</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6CD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sz w:val="21"/>
                      <w:szCs w:val="21"/>
                      <w:u w:val="none"/>
                      <w:lang w:val="en-US" w:eastAsia="zh-CN"/>
                    </w:rPr>
                    <w:t>粉尘</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624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废包装材料</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A41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lang w:eastAsia="zh-CN"/>
                    </w:rPr>
                    <w:t>污泥</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D12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lang w:eastAsia="zh-CN"/>
                    </w:rPr>
                    <w:t>生活垃圾</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080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餐厨固废</w:t>
                  </w:r>
                </w:p>
                <w:p w14:paraId="0AE8C3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p>
              </w:tc>
            </w:tr>
            <w:tr w14:paraId="1FBDC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A5A3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属性</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3F2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属性</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9C7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306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C6C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AEE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64C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一般固废</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5B0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一般固废</w:t>
                  </w:r>
                </w:p>
              </w:tc>
            </w:tr>
            <w:tr w14:paraId="06423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7ECC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61D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废物代码</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74C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264-001-99</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1D1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eastAsia="zh-CN"/>
                    </w:rPr>
                    <w:t>264-002-66</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D27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eastAsia="zh-CN"/>
                    </w:rPr>
                    <w:t>264-001-07</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9D8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eastAsia="zh-CN"/>
                    </w:rPr>
                    <w:t>264-001-61</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317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1AF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72C5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77AF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主要有毒有害物质名称</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D72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D6C1F">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089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D8B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2AD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899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E4E4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422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物理性状</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614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8F5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482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223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A9E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A4B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r>
            <w:tr w14:paraId="57726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74" w:type="pct"/>
                  <w:gridSpan w:val="2"/>
                  <w:tcBorders>
                    <w:top w:val="single" w:color="000000" w:sz="4" w:space="0"/>
                    <w:left w:val="single" w:color="000000" w:sz="4" w:space="0"/>
                    <w:right w:val="single" w:color="000000" w:sz="4" w:space="0"/>
                  </w:tcBorders>
                  <w:shd w:val="clear" w:color="auto" w:fill="auto"/>
                  <w:vAlign w:val="center"/>
                </w:tcPr>
                <w:p w14:paraId="4EB107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环境危险特性</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2CE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999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68E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70C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428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DE9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4CC3C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8FD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年度产生量（t/a）</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D77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2.5</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B92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500.38</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61B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DE2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7DB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C15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16.5</w:t>
                  </w:r>
                </w:p>
              </w:tc>
            </w:tr>
            <w:tr w14:paraId="6C40E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EBF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贮存方式</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22B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集中收集</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E8E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集中收集</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186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集中收集</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051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集中收集</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5F7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生活垃圾收集桶</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65A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集中收集</w:t>
                  </w:r>
                </w:p>
              </w:tc>
            </w:tr>
            <w:tr w14:paraId="72556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5341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利用处置方式和去向</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CDF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外售废品回收站</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3CC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收集后回用到相应的生产线上</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45C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外售废品回收站</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359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委托</w:t>
                  </w:r>
                  <w:r>
                    <w:rPr>
                      <w:rFonts w:hint="eastAsia" w:cs="Times New Roman"/>
                      <w:i w:val="0"/>
                      <w:iCs w:val="0"/>
                      <w:color w:val="auto"/>
                      <w:kern w:val="0"/>
                      <w:sz w:val="21"/>
                      <w:szCs w:val="21"/>
                      <w:u w:val="none"/>
                      <w:lang w:val="en-US" w:eastAsia="zh-CN" w:bidi="ar"/>
                    </w:rPr>
                    <w:t>富名翔盛废物旧资收购点</w:t>
                  </w:r>
                  <w:r>
                    <w:rPr>
                      <w:rFonts w:hint="default" w:ascii="Times New Roman" w:hAnsi="Times New Roman" w:eastAsia="宋体" w:cs="Times New Roman"/>
                      <w:i w:val="0"/>
                      <w:iCs w:val="0"/>
                      <w:color w:val="auto"/>
                      <w:kern w:val="0"/>
                      <w:sz w:val="21"/>
                      <w:szCs w:val="21"/>
                      <w:u w:val="none"/>
                      <w:lang w:val="en-US" w:eastAsia="zh-CN" w:bidi="ar"/>
                    </w:rPr>
                    <w:t>清运处置</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C50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委托环卫部门清运处置</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A3C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lang w:eastAsia="zh-CN"/>
                    </w:rPr>
                    <w:t>委托有资质单位清运处置</w:t>
                  </w:r>
                </w:p>
              </w:tc>
            </w:tr>
            <w:tr w14:paraId="4B81E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272F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利用或处置量（t/a）</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599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E63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500.38</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FDA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473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ECC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DCF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16.5</w:t>
                  </w:r>
                </w:p>
              </w:tc>
            </w:tr>
            <w:tr w14:paraId="19427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A751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环境管理要求</w:t>
                  </w:r>
                </w:p>
              </w:tc>
              <w:tc>
                <w:tcPr>
                  <w:tcW w:w="422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3FE07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rPr>
                    <w:t>处置率达100%</w:t>
                  </w:r>
                </w:p>
              </w:tc>
            </w:tr>
          </w:tbl>
          <w:p w14:paraId="29786801">
            <w:pPr>
              <w:pStyle w:val="20"/>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rightChars="0" w:firstLine="480" w:firstLineChars="0"/>
              <w:jc w:val="both"/>
              <w:textAlignment w:val="auto"/>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综上分析，项目一般固废处置率达100%。</w:t>
            </w:r>
          </w:p>
          <w:p w14:paraId="68E8E5C9">
            <w:pPr>
              <w:pStyle w:val="20"/>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rightChars="0" w:firstLine="480" w:firstLineChars="0"/>
              <w:jc w:val="both"/>
              <w:textAlignment w:val="auto"/>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②危废影响分析</w:t>
            </w:r>
          </w:p>
          <w:p w14:paraId="41F3AF9D">
            <w:pPr>
              <w:pStyle w:val="20"/>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rightChars="0" w:firstLine="48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kern w:val="0"/>
                <w:sz w:val="24"/>
                <w:szCs w:val="24"/>
                <w:highlight w:val="none"/>
                <w:lang w:val="en-US" w:eastAsia="zh-CN"/>
              </w:rPr>
              <w:t>项目产生的危险废物主要包含废活性炭、</w:t>
            </w:r>
            <w:r>
              <w:rPr>
                <w:rFonts w:hint="default" w:ascii="Times New Roman" w:hAnsi="Times New Roman" w:eastAsia="宋体" w:cs="Times New Roman"/>
                <w:color w:val="auto"/>
                <w:sz w:val="24"/>
                <w:szCs w:val="28"/>
                <w:lang w:val="en-US" w:eastAsia="zh-CN"/>
              </w:rPr>
              <w:t>废UV灯管、废矿物油、沾染有机溶剂的废包装材料</w:t>
            </w:r>
            <w:r>
              <w:rPr>
                <w:rFonts w:hint="default" w:ascii="Times New Roman" w:hAnsi="Times New Roman" w:eastAsia="宋体" w:cs="Times New Roman"/>
                <w:b w:val="0"/>
                <w:bCs/>
                <w:color w:val="auto"/>
                <w:kern w:val="0"/>
                <w:sz w:val="24"/>
                <w:szCs w:val="24"/>
                <w:highlight w:val="none"/>
                <w:lang w:val="en-US" w:eastAsia="zh-CN"/>
              </w:rPr>
              <w:t>等。项目危险废物处置情况见下表。</w:t>
            </w:r>
          </w:p>
          <w:p w14:paraId="7637AD3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530" w:firstLineChars="1200"/>
              <w:jc w:val="both"/>
              <w:textAlignment w:val="auto"/>
              <w:rPr>
                <w:rStyle w:val="63"/>
                <w:rFonts w:hint="default" w:ascii="Times New Roman" w:hAnsi="Times New Roman" w:eastAsia="宋体" w:cs="Times New Roman"/>
                <w:b/>
                <w:bCs w:val="0"/>
                <w:color w:val="auto"/>
                <w:sz w:val="21"/>
                <w:szCs w:val="21"/>
                <w:lang w:val="en-US" w:eastAsia="zh-CN"/>
              </w:rPr>
            </w:pPr>
            <w:r>
              <w:rPr>
                <w:rStyle w:val="63"/>
                <w:rFonts w:hint="default" w:ascii="Times New Roman" w:hAnsi="Times New Roman" w:eastAsia="宋体" w:cs="Times New Roman"/>
                <w:b/>
                <w:bCs w:val="0"/>
                <w:color w:val="auto"/>
                <w:sz w:val="21"/>
                <w:szCs w:val="21"/>
                <w:lang w:val="en-US" w:eastAsia="zh-CN"/>
              </w:rPr>
              <w:t>表4-</w:t>
            </w:r>
            <w:r>
              <w:rPr>
                <w:rStyle w:val="63"/>
                <w:rFonts w:hint="eastAsia" w:cs="Times New Roman"/>
                <w:b/>
                <w:bCs w:val="0"/>
                <w:color w:val="auto"/>
                <w:sz w:val="21"/>
                <w:szCs w:val="21"/>
                <w:lang w:val="en-US" w:eastAsia="zh-CN"/>
              </w:rPr>
              <w:t>19</w:t>
            </w:r>
            <w:r>
              <w:rPr>
                <w:rStyle w:val="63"/>
                <w:rFonts w:hint="default" w:ascii="Times New Roman" w:hAnsi="Times New Roman" w:eastAsia="宋体" w:cs="Times New Roman"/>
                <w:b/>
                <w:bCs w:val="0"/>
                <w:color w:val="auto"/>
                <w:sz w:val="21"/>
                <w:szCs w:val="21"/>
                <w:lang w:val="en-US" w:eastAsia="zh-CN"/>
              </w:rPr>
              <w:t xml:space="preserve"> 本项目固体废弃物处置情况</w:t>
            </w:r>
          </w:p>
          <w:tbl>
            <w:tblPr>
              <w:tblStyle w:val="28"/>
              <w:tblW w:w="85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6"/>
              <w:gridCol w:w="956"/>
              <w:gridCol w:w="1750"/>
              <w:gridCol w:w="1733"/>
              <w:gridCol w:w="1575"/>
              <w:gridCol w:w="1789"/>
            </w:tblGrid>
            <w:tr w14:paraId="4DDF6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177C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产污环节</w:t>
                  </w:r>
                </w:p>
              </w:tc>
              <w:tc>
                <w:tcPr>
                  <w:tcW w:w="20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433F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有机废气处置措施</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3DD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生产设备维修、维护</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B1B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有机溶剂使用</w:t>
                  </w:r>
                </w:p>
              </w:tc>
            </w:tr>
            <w:tr w14:paraId="79707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CDE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7BC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废活性炭</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3B6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废UV灯管</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8DD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废矿物油</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3E6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沾染有机溶剂的废包装材料</w:t>
                  </w:r>
                </w:p>
              </w:tc>
            </w:tr>
            <w:tr w14:paraId="3663B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9E3D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属性</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6BC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属性</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704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危险废物</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FF2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危险废物</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B16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危险废物</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8BA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危险废物</w:t>
                  </w:r>
                </w:p>
              </w:tc>
            </w:tr>
            <w:tr w14:paraId="02816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2EAF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EF8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危险废物代码</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5F9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HW49</w:t>
                  </w:r>
                </w:p>
                <w:p w14:paraId="24A9FA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eastAsia="zh-CN"/>
                    </w:rPr>
                    <w:t>900-039-49</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4B9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HW29 900-023-29</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1DD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HW08  900-214-08</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CF8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HW49 900-041-49</w:t>
                  </w:r>
                </w:p>
              </w:tc>
            </w:tr>
            <w:tr w14:paraId="456FD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726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主要有毒有害物质名称</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86A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27E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8AA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E96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0733D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40F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物理性状</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206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3BD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ABA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98C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固体</w:t>
                  </w:r>
                </w:p>
              </w:tc>
            </w:tr>
            <w:tr w14:paraId="41AE6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right w:val="single" w:color="000000" w:sz="4" w:space="0"/>
                  </w:tcBorders>
                  <w:shd w:val="clear" w:color="auto" w:fill="auto"/>
                  <w:vAlign w:val="center"/>
                </w:tcPr>
                <w:p w14:paraId="03E8A3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环境危险特性</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63B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T</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9EA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T</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6B2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T</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44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T</w:t>
                  </w:r>
                </w:p>
              </w:tc>
            </w:tr>
            <w:tr w14:paraId="32246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32A4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年度产生量（t/a）</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7A7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14.2</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B0A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400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C02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w:t>
                  </w:r>
                </w:p>
              </w:tc>
            </w:tr>
            <w:tr w14:paraId="44120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F92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贮存方式</w:t>
                  </w:r>
                </w:p>
              </w:tc>
              <w:tc>
                <w:tcPr>
                  <w:tcW w:w="1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549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危废间</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FAD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危废间</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DFF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危废间</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DC0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危废间</w:t>
                  </w:r>
                </w:p>
              </w:tc>
            </w:tr>
            <w:tr w14:paraId="4CB02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6D6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利用处置方式和去向</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FC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委托有资质单位清运处置</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CAA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委托有资质单位清运处置</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D32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委托有资质单位清运处置</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6E1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委托有资质单位清运处置</w:t>
                  </w:r>
                </w:p>
              </w:tc>
            </w:tr>
            <w:tr w14:paraId="6D134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DB9F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利用或处置量（t/a）</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FB2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14.2</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C9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CC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AE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w:t>
                  </w:r>
                </w:p>
              </w:tc>
            </w:tr>
            <w:tr w14:paraId="24921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26AB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环境管理要求</w:t>
                  </w:r>
                </w:p>
              </w:tc>
              <w:tc>
                <w:tcPr>
                  <w:tcW w:w="401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6C8D2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处置率100%</w:t>
                  </w:r>
                </w:p>
              </w:tc>
            </w:tr>
          </w:tbl>
          <w:p w14:paraId="48867EA4">
            <w:pPr>
              <w:pStyle w:val="20"/>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rightChars="0" w:firstLine="480" w:firstLineChars="0"/>
              <w:jc w:val="both"/>
              <w:textAlignment w:val="auto"/>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项目区内设置1间占地面积为15m</w:t>
            </w:r>
            <w:r>
              <w:rPr>
                <w:rFonts w:hint="default" w:ascii="Times New Roman" w:hAnsi="Times New Roman" w:eastAsia="宋体" w:cs="Times New Roman"/>
                <w:b w:val="0"/>
                <w:bCs/>
                <w:color w:val="auto"/>
                <w:kern w:val="0"/>
                <w:sz w:val="24"/>
                <w:szCs w:val="24"/>
                <w:highlight w:val="none"/>
                <w:vertAlign w:val="superscript"/>
                <w:lang w:val="en-US" w:eastAsia="zh-CN"/>
              </w:rPr>
              <w:t>2</w:t>
            </w:r>
            <w:r>
              <w:rPr>
                <w:rFonts w:hint="default" w:ascii="Times New Roman" w:hAnsi="Times New Roman" w:eastAsia="宋体" w:cs="Times New Roman"/>
                <w:b w:val="0"/>
                <w:bCs/>
                <w:color w:val="auto"/>
                <w:kern w:val="0"/>
                <w:sz w:val="24"/>
                <w:szCs w:val="24"/>
                <w:highlight w:val="none"/>
                <w:lang w:val="en-US" w:eastAsia="zh-CN"/>
              </w:rPr>
              <w:t>的危废暂存间，并配套设置危险废物专用收集容器。危险废物暂存间地面和四周墙裙脚采用“水泥+2mm厚HDPE+环氧树脂”进行重点防渗处理，渗透系数≤10</w:t>
            </w:r>
            <w:r>
              <w:rPr>
                <w:rFonts w:hint="default" w:ascii="Times New Roman" w:hAnsi="Times New Roman" w:eastAsia="宋体" w:cs="Times New Roman"/>
                <w:b w:val="0"/>
                <w:bCs/>
                <w:color w:val="auto"/>
                <w:kern w:val="0"/>
                <w:sz w:val="24"/>
                <w:szCs w:val="24"/>
                <w:highlight w:val="none"/>
                <w:vertAlign w:val="superscript"/>
                <w:lang w:val="en-US" w:eastAsia="zh-CN"/>
              </w:rPr>
              <w:t>-10</w:t>
            </w:r>
            <w:r>
              <w:rPr>
                <w:rFonts w:hint="default" w:ascii="Times New Roman" w:hAnsi="Times New Roman" w:eastAsia="宋体" w:cs="Times New Roman"/>
                <w:b w:val="0"/>
                <w:bCs/>
                <w:color w:val="auto"/>
                <w:kern w:val="0"/>
                <w:sz w:val="24"/>
                <w:szCs w:val="24"/>
                <w:highlight w:val="none"/>
                <w:lang w:val="en-US" w:eastAsia="zh-CN"/>
              </w:rPr>
              <w:t>cm/s，并按照要求设置规范的标识标牌。产生危废暂存危废暂存间，委托有资质单位清运处置。</w:t>
            </w:r>
          </w:p>
          <w:p w14:paraId="10F6F3A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 xml:space="preserve">建设单位应严格按照《危险废物储存污染控制标准》（GB18597-2001）建设危险废物暂存间，将危险废物分类转入容器内，并粘贴危险废物标签，并做好相应的纪录。对相应的暂存场建设防渗设施、防风、防雨、防晒并配备照明设施等，并与厂区内其它生产单元、办公生活区严格区分、单独隔离。对危险废物的转移处理须严格按照国家环境保护部第5号令《危险废物转移联单管理办法》执行。危险废物暂存间的建设及管理应满足如下要求：  </w:t>
            </w:r>
          </w:p>
          <w:p w14:paraId="67F74E2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（1）危险废物暂存间的设计及建设要求</w:t>
            </w:r>
          </w:p>
          <w:p w14:paraId="73C2926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①地面与裙脚要用坚固、防渗的材料建造，建筑材料必须与危险废物相容；</w:t>
            </w:r>
          </w:p>
          <w:p w14:paraId="0787AF1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②必须有泄漏液体收集装置、气体导出口及气体净化装置；</w:t>
            </w:r>
          </w:p>
          <w:p w14:paraId="457FCC8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③暂存间应设置安全照明设施和观察窗口；</w:t>
            </w:r>
          </w:p>
          <w:p w14:paraId="35165F4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④地面与裙脚所围建的容积不低于堵截最大容器的最大储量或总储量的五分之一；</w:t>
            </w:r>
          </w:p>
          <w:p w14:paraId="2544C4F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⑤危险废物暂存间的设计要防风、防雨、防晒；</w:t>
            </w:r>
          </w:p>
          <w:p w14:paraId="1D7FF56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⑥不相容的危险废物必须分开存放，并设有隔离间隔断。</w:t>
            </w:r>
          </w:p>
          <w:p w14:paraId="74CFB25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（2）危险废物贮存容器的相关要求</w:t>
            </w:r>
          </w:p>
          <w:p w14:paraId="496D511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①使用符合标准的容器盛装危险废物；</w:t>
            </w:r>
          </w:p>
          <w:p w14:paraId="043CA1C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②装载危险废物的容器及材质要满足相应的强度要求；</w:t>
            </w:r>
          </w:p>
          <w:p w14:paraId="7557179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③装载危险废物的容器必须完好无损；</w:t>
            </w:r>
          </w:p>
          <w:p w14:paraId="2DFED97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④盛装危险废物的容器材质和衬里要与危险废物相容（不相互反应）。</w:t>
            </w:r>
          </w:p>
          <w:p w14:paraId="60F6A59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（3）危险废物贮存设施的运行与管理要求</w:t>
            </w:r>
          </w:p>
          <w:p w14:paraId="615FBB1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①危险废物贮存前应进行检验，确保同预定接收的危险废物一致，并登记注册；</w:t>
            </w:r>
          </w:p>
          <w:p w14:paraId="459E363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②不得将不相容的废物混合或合并存放；</w:t>
            </w:r>
          </w:p>
          <w:p w14:paraId="7AF2D91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③须作好危险废物情况的记录，记录上须注明危险废物的名称、来源、数量、特性和包装容器的类别，入库日期、存放库位、废物出库日期及接受单位名称。危险废物的记录和货单在危险废物回取后应继续保留3年，实行危险废物转移联单管理制度。</w:t>
            </w:r>
          </w:p>
          <w:p w14:paraId="2722DEB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项目在严格落实环评提出的各项固体废弃物收集、储存设施确实实施的情况下，一般固体废弃物的储存处置能够达到《一般工业固体废物贮存和填埋污染控制标准》（GB18599-2020）中有关规定，项目所产生的危险废物能够满足《危险废物贮存污染控制标准》（GB 18597-2001）及2013年修改单（公告2013年第36号）中有关规定，项目所产生的固体废弃物能够得到合理、有效的处置，各固体废弃物去向明确，处置率达到100%，对环境的影响较小。</w:t>
            </w:r>
          </w:p>
          <w:p w14:paraId="53750565">
            <w:pPr>
              <w:pStyle w:val="19"/>
              <w:keepNext w:val="0"/>
              <w:keepLines w:val="0"/>
              <w:pageBreakBefore w:val="0"/>
              <w:widowControl w:val="0"/>
              <w:numPr>
                <w:ilvl w:val="0"/>
                <w:numId w:val="0"/>
              </w:numPr>
              <w:suppressLineNumbers w:val="0"/>
              <w:tabs>
                <w:tab w:val="left" w:pos="357"/>
              </w:tabs>
              <w:kinsoku/>
              <w:wordWrap/>
              <w:overflowPunct/>
              <w:topLinePunct w:val="0"/>
              <w:autoSpaceDE/>
              <w:autoSpaceDN/>
              <w:bidi w:val="0"/>
              <w:adjustRightInd w:val="0"/>
              <w:snapToGrid w:val="0"/>
              <w:spacing w:before="0" w:beforeAutospacing="0" w:after="0" w:afterLines="0" w:afterAutospacing="0" w:line="360" w:lineRule="auto"/>
              <w:ind w:right="0" w:firstLine="482" w:firstLineChars="20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五、地下水、土壤环境影响分析</w:t>
            </w:r>
          </w:p>
          <w:p w14:paraId="1B9F1CB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项目运行期正常工况不会对地下水、土壤造成污染，非正常工况地下水、土壤污染途径主要为废矿物油泄露、</w:t>
            </w:r>
            <w:r>
              <w:rPr>
                <w:rFonts w:hint="eastAsia" w:cs="Times New Roman"/>
                <w:color w:val="auto"/>
                <w:sz w:val="24"/>
                <w:szCs w:val="28"/>
                <w:lang w:val="en-US" w:eastAsia="zh-CN"/>
              </w:rPr>
              <w:t>甲</w:t>
            </w:r>
            <w:r>
              <w:rPr>
                <w:rFonts w:hint="default" w:ascii="Times New Roman" w:hAnsi="Times New Roman" w:eastAsia="宋体" w:cs="Times New Roman"/>
                <w:color w:val="auto"/>
                <w:sz w:val="24"/>
                <w:szCs w:val="28"/>
                <w:lang w:val="en-US" w:eastAsia="zh-CN"/>
              </w:rPr>
              <w:t>类仓库存放的有机溶剂泄露、污水处理设施故障污染地下水及土壤。废机油、</w:t>
            </w:r>
            <w:r>
              <w:rPr>
                <w:rFonts w:hint="eastAsia" w:cs="Times New Roman"/>
                <w:color w:val="auto"/>
                <w:sz w:val="24"/>
                <w:szCs w:val="28"/>
                <w:lang w:val="en-US" w:eastAsia="zh-CN"/>
              </w:rPr>
              <w:t>甲</w:t>
            </w:r>
            <w:r>
              <w:rPr>
                <w:rFonts w:hint="default" w:ascii="Times New Roman" w:hAnsi="Times New Roman" w:eastAsia="宋体" w:cs="Times New Roman"/>
                <w:color w:val="auto"/>
                <w:sz w:val="24"/>
                <w:szCs w:val="28"/>
                <w:lang w:val="en-US" w:eastAsia="zh-CN"/>
              </w:rPr>
              <w:t>类仓库存放的有机溶剂暂存对地下水及土壤产生污染的途径主要为渗透污染。渗透污染是导致地下水污染的普遍和主要方式，因此项目内根据项目各生产、生活功能单元可能产生污染的地区，将项目区划分为重点防渗区、一般防渗区、简单防渗区。环评要求对危废暂存间、甲类仓库做重点防渗处理；生活污水处理设施区域、生产区域、原辅料库区、产品库区做一般防渗；生产车间做简单防渗。具体防渗措施如下：</w:t>
            </w:r>
          </w:p>
          <w:p w14:paraId="553B9A0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①重点防渗措施：危废暂存间、甲类</w:t>
            </w:r>
            <w:r>
              <w:rPr>
                <w:rFonts w:hint="eastAsia" w:cs="Times New Roman"/>
                <w:color w:val="auto"/>
                <w:sz w:val="24"/>
                <w:szCs w:val="28"/>
                <w:lang w:val="en-US" w:eastAsia="zh-CN"/>
              </w:rPr>
              <w:t>仓库做</w:t>
            </w:r>
            <w:r>
              <w:rPr>
                <w:rFonts w:hint="default" w:ascii="Times New Roman" w:hAnsi="Times New Roman" w:eastAsia="宋体" w:cs="Times New Roman"/>
                <w:color w:val="auto"/>
                <w:sz w:val="24"/>
                <w:szCs w:val="28"/>
                <w:lang w:val="en-US" w:eastAsia="zh-CN"/>
              </w:rPr>
              <w:t>重点防渗处理，采用黏土层厚度大于6m和抗渗混凝土进行建设；在危废暂存间采用抗渗混凝土+3mm环氧树脂等进行防渗，渗透系数K≤1.0×10</w:t>
            </w:r>
            <w:r>
              <w:rPr>
                <w:rFonts w:hint="default" w:ascii="Times New Roman" w:hAnsi="Times New Roman" w:eastAsia="宋体" w:cs="Times New Roman"/>
                <w:color w:val="auto"/>
                <w:sz w:val="24"/>
                <w:szCs w:val="28"/>
                <w:vertAlign w:val="superscript"/>
                <w:lang w:val="en-US" w:eastAsia="zh-CN"/>
              </w:rPr>
              <w:t>-10</w:t>
            </w:r>
            <w:r>
              <w:rPr>
                <w:rFonts w:hint="default" w:ascii="Times New Roman" w:hAnsi="Times New Roman" w:eastAsia="宋体" w:cs="Times New Roman"/>
                <w:color w:val="auto"/>
                <w:sz w:val="24"/>
                <w:szCs w:val="28"/>
                <w:lang w:val="en-US" w:eastAsia="zh-CN"/>
              </w:rPr>
              <w:t>cm/s的要求。</w:t>
            </w:r>
            <w:r>
              <w:rPr>
                <w:rFonts w:hint="eastAsia" w:cs="Times New Roman"/>
                <w:color w:val="auto"/>
                <w:sz w:val="24"/>
                <w:szCs w:val="28"/>
                <w:lang w:val="en-US" w:eastAsia="zh-CN"/>
              </w:rPr>
              <w:t>根据原项目的竣工验收报告，甲类仓库已进行重点防渗处理，满足其要求。</w:t>
            </w:r>
          </w:p>
          <w:p w14:paraId="221A064D">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②一般防渗措施：</w:t>
            </w:r>
            <w:r>
              <w:rPr>
                <w:rFonts w:hint="eastAsia" w:cs="Times New Roman"/>
                <w:color w:val="auto"/>
                <w:sz w:val="24"/>
                <w:szCs w:val="28"/>
                <w:lang w:val="en-US" w:eastAsia="zh-CN"/>
              </w:rPr>
              <w:t>污水处理系统</w:t>
            </w:r>
            <w:r>
              <w:rPr>
                <w:rFonts w:hint="default" w:ascii="Times New Roman" w:hAnsi="Times New Roman" w:eastAsia="宋体" w:cs="Times New Roman"/>
                <w:color w:val="auto"/>
                <w:sz w:val="24"/>
                <w:szCs w:val="28"/>
                <w:lang w:val="en-US" w:eastAsia="zh-CN"/>
              </w:rPr>
              <w:t>要求采取铺设2.0mm树脂膜进行防渗，K≤1.0×10</w:t>
            </w:r>
            <w:r>
              <w:rPr>
                <w:rFonts w:hint="default" w:ascii="Times New Roman" w:hAnsi="Times New Roman" w:eastAsia="宋体" w:cs="Times New Roman"/>
                <w:color w:val="auto"/>
                <w:sz w:val="24"/>
                <w:szCs w:val="28"/>
                <w:vertAlign w:val="superscript"/>
                <w:lang w:val="en-US" w:eastAsia="zh-CN"/>
              </w:rPr>
              <w:t>-7</w:t>
            </w:r>
            <w:r>
              <w:rPr>
                <w:rFonts w:hint="default" w:ascii="Times New Roman" w:hAnsi="Times New Roman" w:eastAsia="宋体" w:cs="Times New Roman"/>
                <w:color w:val="auto"/>
                <w:sz w:val="24"/>
                <w:szCs w:val="28"/>
                <w:lang w:val="en-US" w:eastAsia="zh-CN"/>
              </w:rPr>
              <w:t>cm/s。</w:t>
            </w:r>
          </w:p>
          <w:p w14:paraId="1797D47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③简单防渗措施：</w:t>
            </w:r>
            <w:r>
              <w:rPr>
                <w:rFonts w:hint="eastAsia" w:cs="Times New Roman"/>
                <w:color w:val="auto"/>
                <w:sz w:val="24"/>
                <w:szCs w:val="28"/>
                <w:lang w:val="en-US" w:eastAsia="zh-CN"/>
              </w:rPr>
              <w:t>厂区地面</w:t>
            </w:r>
            <w:r>
              <w:rPr>
                <w:rFonts w:hint="default" w:ascii="Times New Roman" w:hAnsi="Times New Roman" w:eastAsia="宋体" w:cs="Times New Roman"/>
                <w:color w:val="auto"/>
                <w:sz w:val="24"/>
                <w:szCs w:val="28"/>
                <w:lang w:val="en-US" w:eastAsia="zh-CN"/>
              </w:rPr>
              <w:t>采取一般地面硬化措施。</w:t>
            </w:r>
          </w:p>
          <w:p w14:paraId="6B89797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综上所述，项目营运期对地下水及土壤环境影响较小。</w:t>
            </w:r>
          </w:p>
          <w:p w14:paraId="29310345">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六、环境风险评价</w:t>
            </w:r>
          </w:p>
          <w:p w14:paraId="02010DF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根据</w:t>
            </w:r>
            <w:r>
              <w:rPr>
                <w:rFonts w:hint="default" w:ascii="Times New Roman" w:hAnsi="Times New Roman" w:eastAsia="宋体" w:cs="Times New Roman"/>
                <w:color w:val="auto"/>
                <w:sz w:val="24"/>
              </w:rPr>
              <w:t>《建设项目环境风险评价技术导则》（HJ/T169-2018）附录B中的风险物质</w:t>
            </w:r>
            <w:r>
              <w:rPr>
                <w:rFonts w:hint="default" w:ascii="Times New Roman" w:hAnsi="Times New Roman" w:eastAsia="宋体" w:cs="Times New Roman"/>
                <w:color w:val="auto"/>
                <w:sz w:val="24"/>
                <w:lang w:eastAsia="zh-CN"/>
              </w:rPr>
              <w:t>，厂区涉及的环境风险物质主要为机械、设备维修产生的废矿物油、以及消泡剂（矿物油）、阻聚剂（</w:t>
            </w:r>
            <w:r>
              <w:rPr>
                <w:rFonts w:hint="default" w:ascii="Times New Roman" w:hAnsi="Times New Roman" w:eastAsia="宋体" w:cs="Times New Roman"/>
                <w:color w:val="auto"/>
                <w:sz w:val="24"/>
                <w:lang w:val="en-US" w:eastAsia="zh-CN"/>
              </w:rPr>
              <w:t>25%</w:t>
            </w:r>
            <w:r>
              <w:rPr>
                <w:rFonts w:hint="default" w:ascii="Times New Roman" w:hAnsi="Times New Roman" w:eastAsia="宋体" w:cs="Times New Roman"/>
                <w:color w:val="auto"/>
                <w:sz w:val="24"/>
                <w:lang w:eastAsia="zh-CN"/>
              </w:rPr>
              <w:t>氨水）以及甲类仓库暂存的有机溶剂。由于本次扩建内容不</w:t>
            </w:r>
            <w:r>
              <w:rPr>
                <w:rFonts w:hint="default" w:ascii="Times New Roman" w:hAnsi="Times New Roman" w:eastAsia="宋体" w:cs="Times New Roman"/>
                <w:color w:val="auto"/>
                <w:sz w:val="24"/>
                <w:lang w:val="en-US" w:eastAsia="zh-CN"/>
              </w:rPr>
              <w:t>涉及甲类仓库，甲类仓库的有机溶剂最大暂存量与原项目一致。在本次扩建项目生产工艺流程、生产线、原辅材料种类</w:t>
            </w:r>
            <w:r>
              <w:rPr>
                <w:rFonts w:hint="eastAsia" w:cs="Times New Roman"/>
                <w:color w:val="auto"/>
                <w:sz w:val="24"/>
                <w:lang w:val="en-US" w:eastAsia="zh-CN"/>
              </w:rPr>
              <w:t>、主体生产设备</w:t>
            </w:r>
            <w:r>
              <w:rPr>
                <w:rFonts w:hint="default" w:ascii="Times New Roman" w:hAnsi="Times New Roman" w:eastAsia="宋体" w:cs="Times New Roman"/>
                <w:color w:val="auto"/>
                <w:sz w:val="24"/>
                <w:lang w:val="en-US" w:eastAsia="zh-CN"/>
              </w:rPr>
              <w:t>等与原项目保持不变，因此</w:t>
            </w:r>
            <w:r>
              <w:rPr>
                <w:rFonts w:hint="default" w:ascii="Times New Roman" w:hAnsi="Times New Roman" w:eastAsia="宋体" w:cs="Times New Roman"/>
                <w:color w:val="auto"/>
                <w:sz w:val="24"/>
                <w:lang w:eastAsia="zh-CN"/>
              </w:rPr>
              <w:t>不新增环境风险物质。消泡剂（矿物油）、阻聚剂（</w:t>
            </w:r>
            <w:r>
              <w:rPr>
                <w:rFonts w:hint="default" w:ascii="Times New Roman" w:hAnsi="Times New Roman" w:eastAsia="宋体" w:cs="Times New Roman"/>
                <w:color w:val="auto"/>
                <w:sz w:val="24"/>
                <w:lang w:val="en-US" w:eastAsia="zh-CN"/>
              </w:rPr>
              <w:t>25%</w:t>
            </w:r>
            <w:r>
              <w:rPr>
                <w:rFonts w:hint="default" w:ascii="Times New Roman" w:hAnsi="Times New Roman" w:eastAsia="宋体" w:cs="Times New Roman"/>
                <w:color w:val="auto"/>
                <w:sz w:val="24"/>
                <w:lang w:eastAsia="zh-CN"/>
              </w:rPr>
              <w:t>氨水）暂存在</w:t>
            </w:r>
            <w:r>
              <w:rPr>
                <w:rFonts w:hint="default" w:ascii="Times New Roman" w:hAnsi="Times New Roman" w:eastAsia="宋体" w:cs="Times New Roman"/>
                <w:color w:val="auto"/>
                <w:sz w:val="24"/>
                <w:lang w:val="en-US" w:eastAsia="zh-CN"/>
              </w:rPr>
              <w:t>原料库内</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本次扩建</w:t>
            </w:r>
            <w:r>
              <w:rPr>
                <w:rFonts w:hint="eastAsia" w:cs="Times New Roman"/>
                <w:color w:val="auto"/>
                <w:sz w:val="24"/>
                <w:lang w:val="en-US" w:eastAsia="zh-CN"/>
              </w:rPr>
              <w:t>内容</w:t>
            </w:r>
            <w:r>
              <w:rPr>
                <w:rFonts w:hint="default" w:ascii="Times New Roman" w:hAnsi="Times New Roman" w:eastAsia="宋体" w:cs="Times New Roman"/>
                <w:color w:val="auto"/>
                <w:sz w:val="24"/>
                <w:lang w:val="en-US" w:eastAsia="zh-CN"/>
              </w:rPr>
              <w:t>不涉及原料库</w:t>
            </w:r>
            <w:r>
              <w:rPr>
                <w:rFonts w:hint="eastAsia" w:cs="Times New Roman"/>
                <w:color w:val="auto"/>
                <w:sz w:val="24"/>
                <w:lang w:val="en-US" w:eastAsia="zh-CN"/>
              </w:rPr>
              <w:t>扩建</w:t>
            </w:r>
            <w:r>
              <w:rPr>
                <w:rFonts w:hint="default" w:ascii="Times New Roman" w:hAnsi="Times New Roman" w:eastAsia="宋体" w:cs="Times New Roman"/>
                <w:color w:val="auto"/>
                <w:sz w:val="24"/>
                <w:lang w:val="en-US" w:eastAsia="zh-CN"/>
              </w:rPr>
              <w:t>，因此厂区内</w:t>
            </w:r>
            <w:r>
              <w:rPr>
                <w:rFonts w:hint="default" w:ascii="Times New Roman" w:hAnsi="Times New Roman" w:eastAsia="宋体" w:cs="Times New Roman"/>
                <w:color w:val="auto"/>
                <w:sz w:val="24"/>
                <w:lang w:eastAsia="zh-CN"/>
              </w:rPr>
              <w:t>消泡剂（矿物油）、阻聚剂（</w:t>
            </w:r>
            <w:r>
              <w:rPr>
                <w:rFonts w:hint="default" w:ascii="Times New Roman" w:hAnsi="Times New Roman" w:eastAsia="宋体" w:cs="Times New Roman"/>
                <w:color w:val="auto"/>
                <w:sz w:val="24"/>
                <w:lang w:val="en-US" w:eastAsia="zh-CN"/>
              </w:rPr>
              <w:t>25%</w:t>
            </w:r>
            <w:r>
              <w:rPr>
                <w:rFonts w:hint="default" w:ascii="Times New Roman" w:hAnsi="Times New Roman" w:eastAsia="宋体" w:cs="Times New Roman"/>
                <w:color w:val="auto"/>
                <w:sz w:val="24"/>
                <w:lang w:eastAsia="zh-CN"/>
              </w:rPr>
              <w:t>氨水）</w:t>
            </w:r>
            <w:r>
              <w:rPr>
                <w:rFonts w:hint="default" w:ascii="Times New Roman" w:hAnsi="Times New Roman" w:eastAsia="宋体" w:cs="Times New Roman"/>
                <w:color w:val="auto"/>
                <w:sz w:val="24"/>
                <w:lang w:val="en-US" w:eastAsia="zh-CN"/>
              </w:rPr>
              <w:t>最大存储量不变</w:t>
            </w:r>
            <w:r>
              <w:rPr>
                <w:rFonts w:hint="default" w:ascii="Times New Roman" w:hAnsi="Times New Roman" w:eastAsia="宋体" w:cs="Times New Roman"/>
                <w:color w:val="auto"/>
                <w:sz w:val="24"/>
                <w:lang w:eastAsia="zh-CN"/>
              </w:rPr>
              <w:t>，因此</w:t>
            </w:r>
            <w:r>
              <w:rPr>
                <w:rFonts w:hint="default" w:ascii="Times New Roman" w:hAnsi="Times New Roman" w:eastAsia="宋体" w:cs="Times New Roman"/>
                <w:color w:val="auto"/>
                <w:sz w:val="24"/>
              </w:rPr>
              <w:t>全厂风险物质、风险源及风险事故类型</w:t>
            </w:r>
            <w:r>
              <w:rPr>
                <w:rFonts w:hint="default" w:ascii="Times New Roman" w:hAnsi="Times New Roman" w:eastAsia="宋体" w:cs="Times New Roman"/>
                <w:color w:val="auto"/>
                <w:sz w:val="24"/>
                <w:lang w:val="en-US" w:eastAsia="zh-CN"/>
              </w:rPr>
              <w:t>与原项目一致</w:t>
            </w:r>
            <w:r>
              <w:rPr>
                <w:rFonts w:hint="default" w:ascii="Times New Roman" w:hAnsi="Times New Roman" w:eastAsia="宋体" w:cs="Times New Roman"/>
                <w:color w:val="auto"/>
                <w:sz w:val="24"/>
              </w:rPr>
              <w:t>。</w:t>
            </w:r>
          </w:p>
          <w:p w14:paraId="1C88E82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default" w:ascii="Times New Roman" w:hAnsi="Times New Roman" w:eastAsia="宋体" w:cs="Times New Roman"/>
                <w:color w:val="auto"/>
                <w:sz w:val="24"/>
                <w:lang w:val="en-US" w:eastAsia="zh-CN"/>
              </w:rPr>
              <w:t>建设单位提供资料</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立邦涂料（昆明）有限公司</w:t>
            </w:r>
            <w:r>
              <w:rPr>
                <w:rFonts w:hint="default" w:ascii="Times New Roman" w:hAnsi="Times New Roman" w:eastAsia="宋体" w:cs="Times New Roman"/>
                <w:color w:val="auto"/>
                <w:sz w:val="24"/>
              </w:rPr>
              <w:t>突发环境事件应急预案（20</w:t>
            </w:r>
            <w:r>
              <w:rPr>
                <w:rFonts w:hint="eastAsia" w:cs="Times New Roman"/>
                <w:color w:val="auto"/>
                <w:sz w:val="24"/>
                <w:lang w:val="en-US" w:eastAsia="zh-CN"/>
              </w:rPr>
              <w:t>19</w:t>
            </w:r>
            <w:r>
              <w:rPr>
                <w:rFonts w:hint="default" w:ascii="Times New Roman" w:hAnsi="Times New Roman" w:eastAsia="宋体" w:cs="Times New Roman"/>
                <w:color w:val="auto"/>
                <w:sz w:val="24"/>
              </w:rPr>
              <w:t>年版）》</w:t>
            </w:r>
            <w:r>
              <w:rPr>
                <w:rFonts w:hint="default" w:ascii="Times New Roman" w:hAnsi="Times New Roman" w:eastAsia="宋体" w:cs="Times New Roman"/>
                <w:color w:val="auto"/>
                <w:sz w:val="24"/>
                <w:lang w:val="en-US" w:eastAsia="zh-CN"/>
              </w:rPr>
              <w:t>已</w:t>
            </w:r>
            <w:r>
              <w:rPr>
                <w:rFonts w:hint="default" w:ascii="Times New Roman" w:hAnsi="Times New Roman" w:eastAsia="宋体" w:cs="Times New Roman"/>
                <w:color w:val="auto"/>
                <w:sz w:val="24"/>
              </w:rPr>
              <w:t>于20</w:t>
            </w:r>
            <w:r>
              <w:rPr>
                <w:rFonts w:hint="eastAsia" w:cs="Times New Roman"/>
                <w:color w:val="auto"/>
                <w:sz w:val="24"/>
                <w:lang w:val="en-US" w:eastAsia="zh-CN"/>
              </w:rPr>
              <w:t>19</w:t>
            </w:r>
            <w:r>
              <w:rPr>
                <w:rFonts w:hint="default" w:ascii="Times New Roman" w:hAnsi="Times New Roman" w:eastAsia="宋体" w:cs="Times New Roman"/>
                <w:color w:val="auto"/>
                <w:sz w:val="24"/>
              </w:rPr>
              <w:t>年</w:t>
            </w:r>
            <w:r>
              <w:rPr>
                <w:rFonts w:hint="eastAsia" w:cs="Times New Roman"/>
                <w:color w:val="auto"/>
                <w:sz w:val="24"/>
                <w:lang w:val="en-US" w:eastAsia="zh-CN"/>
              </w:rPr>
              <w:t>5</w:t>
            </w:r>
            <w:r>
              <w:rPr>
                <w:rFonts w:hint="default" w:ascii="Times New Roman" w:hAnsi="Times New Roman" w:eastAsia="宋体" w:cs="Times New Roman"/>
                <w:color w:val="auto"/>
                <w:sz w:val="24"/>
              </w:rPr>
              <w:t>月</w:t>
            </w:r>
            <w:r>
              <w:rPr>
                <w:rFonts w:hint="eastAsia" w:cs="Times New Roman"/>
                <w:color w:val="auto"/>
                <w:sz w:val="24"/>
                <w:lang w:val="en-US" w:eastAsia="zh-CN"/>
              </w:rPr>
              <w:t>11</w:t>
            </w:r>
            <w:r>
              <w:rPr>
                <w:rFonts w:hint="default" w:ascii="Times New Roman" w:hAnsi="Times New Roman" w:eastAsia="宋体" w:cs="Times New Roman"/>
                <w:color w:val="auto"/>
                <w:sz w:val="24"/>
              </w:rPr>
              <w:t>日完成备案，备案编号：</w:t>
            </w:r>
            <w:r>
              <w:rPr>
                <w:rFonts w:hint="default" w:ascii="Times New Roman" w:hAnsi="Times New Roman" w:eastAsia="宋体" w:cs="Times New Roman"/>
                <w:color w:val="auto"/>
                <w:sz w:val="24"/>
                <w:lang w:val="en-US" w:eastAsia="zh-CN"/>
              </w:rPr>
              <w:t>530124-</w:t>
            </w:r>
            <w:r>
              <w:rPr>
                <w:rFonts w:hint="eastAsia" w:cs="Times New Roman"/>
                <w:color w:val="auto"/>
                <w:sz w:val="24"/>
                <w:lang w:val="en-US" w:eastAsia="zh-CN"/>
              </w:rPr>
              <w:t>2019</w:t>
            </w:r>
            <w:r>
              <w:rPr>
                <w:rFonts w:hint="default" w:ascii="Times New Roman" w:hAnsi="Times New Roman" w:eastAsia="宋体" w:cs="Times New Roman"/>
                <w:color w:val="auto"/>
                <w:sz w:val="24"/>
                <w:lang w:val="en-US" w:eastAsia="zh-CN"/>
              </w:rPr>
              <w:t>-011-M</w:t>
            </w:r>
            <w:r>
              <w:rPr>
                <w:rFonts w:hint="default" w:ascii="Times New Roman" w:hAnsi="Times New Roman" w:eastAsia="宋体" w:cs="Times New Roman"/>
                <w:color w:val="auto"/>
                <w:sz w:val="24"/>
              </w:rPr>
              <w:t>。</w:t>
            </w:r>
            <w:r>
              <w:rPr>
                <w:rFonts w:hint="eastAsia" w:cs="Times New Roman"/>
                <w:color w:val="auto"/>
                <w:sz w:val="24"/>
                <w:lang w:val="en-US" w:eastAsia="zh-CN"/>
              </w:rPr>
              <w:t>目前正在进行应急预案修编。</w:t>
            </w:r>
            <w:r>
              <w:rPr>
                <w:rFonts w:hint="default" w:ascii="Times New Roman" w:hAnsi="Times New Roman" w:eastAsia="宋体" w:cs="Times New Roman"/>
                <w:color w:val="auto"/>
                <w:sz w:val="24"/>
              </w:rPr>
              <w:t>企业应急预案备案后，严格按照预案要求，加强风险隐患排查，加强应急演练及培训，期间未发生突发环境事件。</w:t>
            </w:r>
          </w:p>
          <w:p w14:paraId="3E34233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故本次评价认为，企业在严格按照有关规范标准的监控和管理的基础下，严格按照原环评及已备案的突发环境事件应急预案要求，认真落实各项环保设施及应急处置措施，加强风险隐患排查，加强应急演练及培训，项目的环境风险可在接受范围内。</w:t>
            </w:r>
          </w:p>
          <w:p w14:paraId="057CE3CD">
            <w:pPr>
              <w:keepNext w:val="0"/>
              <w:keepLines w:val="0"/>
              <w:numPr>
                <w:ilvl w:val="0"/>
                <w:numId w:val="6"/>
              </w:numPr>
              <w:suppressLineNumbers w:val="0"/>
              <w:snapToGrid w:val="0"/>
              <w:spacing w:before="0" w:beforeAutospacing="0" w:after="0" w:afterAutospacing="0" w:line="360" w:lineRule="auto"/>
              <w:ind w:left="0" w:right="0" w:firstLine="480"/>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三本账</w:t>
            </w:r>
          </w:p>
          <w:p w14:paraId="190C6E23">
            <w:pPr>
              <w:keepNext w:val="0"/>
              <w:keepLines w:val="0"/>
              <w:numPr>
                <w:ilvl w:val="0"/>
                <w:numId w:val="0"/>
              </w:numPr>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 w:val="24"/>
              </w:rPr>
              <w:t>由于项目属于</w:t>
            </w:r>
            <w:r>
              <w:rPr>
                <w:rFonts w:hint="default" w:ascii="Times New Roman" w:hAnsi="Times New Roman" w:eastAsia="宋体" w:cs="Times New Roman"/>
                <w:color w:val="auto"/>
                <w:sz w:val="24"/>
                <w:lang w:eastAsia="zh-CN"/>
              </w:rPr>
              <w:t>扩建</w:t>
            </w:r>
            <w:r>
              <w:rPr>
                <w:rFonts w:hint="default" w:ascii="Times New Roman" w:hAnsi="Times New Roman" w:eastAsia="宋体" w:cs="Times New Roman"/>
                <w:color w:val="auto"/>
                <w:sz w:val="24"/>
              </w:rPr>
              <w:t>项目，项目</w:t>
            </w:r>
            <w:r>
              <w:rPr>
                <w:rFonts w:hint="default" w:ascii="Times New Roman" w:hAnsi="Times New Roman" w:eastAsia="宋体" w:cs="Times New Roman"/>
                <w:color w:val="auto"/>
                <w:sz w:val="24"/>
                <w:lang w:eastAsia="zh-CN"/>
              </w:rPr>
              <w:t>扩建</w:t>
            </w:r>
            <w:r>
              <w:rPr>
                <w:rFonts w:hint="default" w:ascii="Times New Roman" w:hAnsi="Times New Roman" w:eastAsia="宋体" w:cs="Times New Roman"/>
                <w:color w:val="auto"/>
                <w:sz w:val="24"/>
              </w:rPr>
              <w:t>完成后将导致“三废”排放发生变化，具体变化情况见表4-</w:t>
            </w:r>
            <w:r>
              <w:rPr>
                <w:rFonts w:hint="eastAsia" w:cs="Times New Roman"/>
                <w:color w:val="auto"/>
                <w:sz w:val="24"/>
                <w:lang w:val="en-US" w:eastAsia="zh-CN"/>
              </w:rPr>
              <w:t>20</w:t>
            </w:r>
            <w:r>
              <w:rPr>
                <w:rFonts w:hint="default" w:ascii="Times New Roman" w:hAnsi="Times New Roman" w:eastAsia="宋体" w:cs="Times New Roman"/>
                <w:color w:val="auto"/>
                <w:sz w:val="24"/>
              </w:rPr>
              <w:t>。</w:t>
            </w:r>
          </w:p>
          <w:p w14:paraId="520D90C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表4-</w:t>
            </w:r>
            <w:r>
              <w:rPr>
                <w:rFonts w:hint="eastAsia" w:cs="Times New Roman"/>
                <w:b/>
                <w:color w:val="auto"/>
                <w:szCs w:val="21"/>
                <w:lang w:val="en-US" w:eastAsia="zh-CN"/>
              </w:rPr>
              <w:t>20</w:t>
            </w:r>
            <w:r>
              <w:rPr>
                <w:rFonts w:hint="default" w:ascii="Times New Roman" w:hAnsi="Times New Roman" w:eastAsia="宋体" w:cs="Times New Roman"/>
                <w:b/>
                <w:color w:val="auto"/>
                <w:szCs w:val="21"/>
              </w:rPr>
              <w:t xml:space="preserve">  三本账核算一览表</w:t>
            </w:r>
          </w:p>
          <w:tbl>
            <w:tblPr>
              <w:tblStyle w:val="28"/>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600"/>
              <w:gridCol w:w="899"/>
              <w:gridCol w:w="994"/>
              <w:gridCol w:w="891"/>
              <w:gridCol w:w="895"/>
              <w:gridCol w:w="820"/>
              <w:gridCol w:w="973"/>
              <w:gridCol w:w="816"/>
            </w:tblGrid>
            <w:tr w14:paraId="3A5E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restart"/>
                  <w:noWrap w:val="0"/>
                  <w:vAlign w:val="center"/>
                </w:tcPr>
                <w:p w14:paraId="5EEE4C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种类</w:t>
                  </w:r>
                </w:p>
              </w:tc>
              <w:tc>
                <w:tcPr>
                  <w:tcW w:w="1600" w:type="dxa"/>
                  <w:vMerge w:val="restart"/>
                  <w:noWrap w:val="0"/>
                  <w:vAlign w:val="center"/>
                </w:tcPr>
                <w:p w14:paraId="0E140A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污染物名称</w:t>
                  </w:r>
                </w:p>
              </w:tc>
              <w:tc>
                <w:tcPr>
                  <w:tcW w:w="1893" w:type="dxa"/>
                  <w:gridSpan w:val="2"/>
                  <w:noWrap w:val="0"/>
                  <w:vAlign w:val="center"/>
                </w:tcPr>
                <w:p w14:paraId="5A83E7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现有工程</w:t>
                  </w:r>
                </w:p>
              </w:tc>
              <w:tc>
                <w:tcPr>
                  <w:tcW w:w="1786" w:type="dxa"/>
                  <w:gridSpan w:val="2"/>
                  <w:noWrap w:val="0"/>
                  <w:vAlign w:val="center"/>
                </w:tcPr>
                <w:p w14:paraId="34F77C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技改项目</w:t>
                  </w:r>
                </w:p>
              </w:tc>
              <w:tc>
                <w:tcPr>
                  <w:tcW w:w="820" w:type="dxa"/>
                  <w:vMerge w:val="restart"/>
                  <w:noWrap w:val="0"/>
                  <w:vAlign w:val="center"/>
                </w:tcPr>
                <w:p w14:paraId="2BBC59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“以新带老”削减量</w:t>
                  </w:r>
                </w:p>
              </w:tc>
              <w:tc>
                <w:tcPr>
                  <w:tcW w:w="973" w:type="dxa"/>
                  <w:vMerge w:val="restart"/>
                  <w:noWrap w:val="0"/>
                  <w:vAlign w:val="center"/>
                </w:tcPr>
                <w:p w14:paraId="74AB0C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总排放量</w:t>
                  </w:r>
                </w:p>
              </w:tc>
              <w:tc>
                <w:tcPr>
                  <w:tcW w:w="816" w:type="dxa"/>
                  <w:vMerge w:val="restart"/>
                  <w:noWrap w:val="0"/>
                  <w:vAlign w:val="center"/>
                </w:tcPr>
                <w:p w14:paraId="2754DD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增减量变化</w:t>
                  </w:r>
                </w:p>
              </w:tc>
            </w:tr>
            <w:tr w14:paraId="1F50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540EAF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vMerge w:val="continue"/>
                  <w:noWrap w:val="0"/>
                  <w:vAlign w:val="center"/>
                </w:tcPr>
                <w:p w14:paraId="49EADC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899" w:type="dxa"/>
                  <w:noWrap w:val="0"/>
                  <w:vAlign w:val="center"/>
                </w:tcPr>
                <w:p w14:paraId="65DEB3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tc>
              <w:tc>
                <w:tcPr>
                  <w:tcW w:w="994" w:type="dxa"/>
                  <w:noWrap w:val="0"/>
                  <w:vAlign w:val="center"/>
                </w:tcPr>
                <w:p w14:paraId="6379DB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w:t>
                  </w:r>
                </w:p>
              </w:tc>
              <w:tc>
                <w:tcPr>
                  <w:tcW w:w="891" w:type="dxa"/>
                  <w:noWrap w:val="0"/>
                  <w:vAlign w:val="center"/>
                </w:tcPr>
                <w:p w14:paraId="095A13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tc>
              <w:tc>
                <w:tcPr>
                  <w:tcW w:w="895" w:type="dxa"/>
                  <w:noWrap w:val="0"/>
                  <w:vAlign w:val="center"/>
                </w:tcPr>
                <w:p w14:paraId="3E6D34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w:t>
                  </w:r>
                </w:p>
              </w:tc>
              <w:tc>
                <w:tcPr>
                  <w:tcW w:w="820" w:type="dxa"/>
                  <w:vMerge w:val="continue"/>
                  <w:noWrap w:val="0"/>
                  <w:vAlign w:val="center"/>
                </w:tcPr>
                <w:p w14:paraId="086B84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973" w:type="dxa"/>
                  <w:vMerge w:val="continue"/>
                  <w:noWrap w:val="0"/>
                  <w:vAlign w:val="center"/>
                </w:tcPr>
                <w:p w14:paraId="704E17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816" w:type="dxa"/>
                  <w:vMerge w:val="continue"/>
                  <w:noWrap w:val="0"/>
                  <w:vAlign w:val="center"/>
                </w:tcPr>
                <w:p w14:paraId="155707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r>
            <w:tr w14:paraId="7B6D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7" w:type="dxa"/>
                  <w:noWrap w:val="0"/>
                  <w:vAlign w:val="center"/>
                </w:tcPr>
                <w:p w14:paraId="56879A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600" w:type="dxa"/>
                  <w:noWrap w:val="0"/>
                  <w:vAlign w:val="center"/>
                </w:tcPr>
                <w:p w14:paraId="1C9FAA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废水量（万t/a）</w:t>
                  </w:r>
                </w:p>
              </w:tc>
              <w:tc>
                <w:tcPr>
                  <w:tcW w:w="899" w:type="dxa"/>
                  <w:noWrap w:val="0"/>
                  <w:vAlign w:val="center"/>
                </w:tcPr>
                <w:p w14:paraId="03DC3E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0.87625</w:t>
                  </w:r>
                </w:p>
              </w:tc>
              <w:tc>
                <w:tcPr>
                  <w:tcW w:w="994" w:type="dxa"/>
                  <w:noWrap w:val="0"/>
                  <w:vAlign w:val="center"/>
                </w:tcPr>
                <w:p w14:paraId="0454C7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0.87625</w:t>
                  </w:r>
                </w:p>
              </w:tc>
              <w:tc>
                <w:tcPr>
                  <w:tcW w:w="891" w:type="dxa"/>
                  <w:noWrap w:val="0"/>
                  <w:vAlign w:val="center"/>
                </w:tcPr>
                <w:p w14:paraId="4EBB98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rPr>
                  </w:pPr>
                  <w:r>
                    <w:rPr>
                      <w:rFonts w:hint="eastAsia" w:cs="Times New Roman"/>
                      <w:color w:val="auto"/>
                      <w:kern w:val="0"/>
                      <w:szCs w:val="21"/>
                      <w:lang w:val="en-US" w:eastAsia="zh-CN"/>
                    </w:rPr>
                    <w:t>1.2526</w:t>
                  </w:r>
                </w:p>
              </w:tc>
              <w:tc>
                <w:tcPr>
                  <w:tcW w:w="895" w:type="dxa"/>
                  <w:noWrap w:val="0"/>
                  <w:vAlign w:val="center"/>
                </w:tcPr>
                <w:p w14:paraId="4366A2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1.2526</w:t>
                  </w:r>
                </w:p>
              </w:tc>
              <w:tc>
                <w:tcPr>
                  <w:tcW w:w="820" w:type="dxa"/>
                  <w:noWrap w:val="0"/>
                  <w:vAlign w:val="center"/>
                </w:tcPr>
                <w:p w14:paraId="69248B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w:t>
                  </w:r>
                </w:p>
              </w:tc>
              <w:tc>
                <w:tcPr>
                  <w:tcW w:w="973" w:type="dxa"/>
                  <w:noWrap w:val="0"/>
                  <w:vAlign w:val="center"/>
                </w:tcPr>
                <w:p w14:paraId="223541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1.2526</w:t>
                  </w:r>
                </w:p>
              </w:tc>
              <w:tc>
                <w:tcPr>
                  <w:tcW w:w="816" w:type="dxa"/>
                  <w:noWrap w:val="0"/>
                  <w:vAlign w:val="center"/>
                </w:tcPr>
                <w:p w14:paraId="25AB42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r>
                    <w:rPr>
                      <w:rFonts w:hint="eastAsia" w:cs="Times New Roman"/>
                      <w:color w:val="auto"/>
                      <w:szCs w:val="21"/>
                      <w:lang w:val="en-US" w:eastAsia="zh-CN"/>
                    </w:rPr>
                    <w:t>0.3764</w:t>
                  </w:r>
                </w:p>
              </w:tc>
            </w:tr>
            <w:tr w14:paraId="50A5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17" w:type="dxa"/>
                  <w:vMerge w:val="restart"/>
                  <w:noWrap w:val="0"/>
                  <w:vAlign w:val="center"/>
                </w:tcPr>
                <w:p w14:paraId="423DBD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1600" w:type="dxa"/>
                  <w:noWrap w:val="0"/>
                  <w:vAlign w:val="center"/>
                </w:tcPr>
                <w:p w14:paraId="79CD77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p w14:paraId="4EDA33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（万Nm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899" w:type="dxa"/>
                  <w:noWrap w:val="0"/>
                  <w:vAlign w:val="center"/>
                </w:tcPr>
                <w:p w14:paraId="6621F08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994" w:type="dxa"/>
                  <w:noWrap w:val="0"/>
                  <w:vAlign w:val="center"/>
                </w:tcPr>
                <w:p w14:paraId="7D8F8FD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14113</w:t>
                  </w:r>
                </w:p>
              </w:tc>
              <w:tc>
                <w:tcPr>
                  <w:tcW w:w="891" w:type="dxa"/>
                  <w:noWrap w:val="0"/>
                  <w:vAlign w:val="center"/>
                </w:tcPr>
                <w:p w14:paraId="1194F6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cs="Times New Roman"/>
                      <w:color w:val="auto"/>
                      <w:szCs w:val="21"/>
                      <w:lang w:val="en-US" w:eastAsia="zh-CN"/>
                    </w:rPr>
                    <w:t>25680</w:t>
                  </w:r>
                </w:p>
              </w:tc>
              <w:tc>
                <w:tcPr>
                  <w:tcW w:w="895" w:type="dxa"/>
                  <w:noWrap w:val="0"/>
                  <w:vAlign w:val="center"/>
                </w:tcPr>
                <w:p w14:paraId="763A36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cs="Times New Roman"/>
                      <w:color w:val="auto"/>
                      <w:szCs w:val="21"/>
                      <w:lang w:val="en-US" w:eastAsia="zh-CN"/>
                    </w:rPr>
                    <w:t>25680</w:t>
                  </w:r>
                </w:p>
              </w:tc>
              <w:tc>
                <w:tcPr>
                  <w:tcW w:w="820" w:type="dxa"/>
                  <w:noWrap w:val="0"/>
                  <w:vAlign w:val="center"/>
                </w:tcPr>
                <w:p w14:paraId="3BE01B5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p>
              </w:tc>
              <w:tc>
                <w:tcPr>
                  <w:tcW w:w="973" w:type="dxa"/>
                  <w:noWrap w:val="0"/>
                  <w:vAlign w:val="center"/>
                </w:tcPr>
                <w:p w14:paraId="7DDD48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rPr>
                  </w:pPr>
                  <w:r>
                    <w:rPr>
                      <w:rFonts w:hint="eastAsia" w:cs="Times New Roman"/>
                      <w:color w:val="auto"/>
                      <w:szCs w:val="21"/>
                      <w:lang w:val="en-US" w:eastAsia="zh-CN"/>
                    </w:rPr>
                    <w:t>25680</w:t>
                  </w:r>
                </w:p>
              </w:tc>
              <w:tc>
                <w:tcPr>
                  <w:tcW w:w="816" w:type="dxa"/>
                  <w:noWrap w:val="0"/>
                  <w:vAlign w:val="center"/>
                </w:tcPr>
                <w:p w14:paraId="64748CE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lang w:val="en-US" w:eastAsia="zh-CN"/>
                    </w:rPr>
                    <w:t>+</w:t>
                  </w:r>
                  <w:r>
                    <w:rPr>
                      <w:rFonts w:hint="eastAsia" w:cs="Times New Roman"/>
                      <w:color w:val="auto"/>
                      <w:kern w:val="0"/>
                      <w:szCs w:val="21"/>
                      <w:lang w:val="en-US" w:eastAsia="zh-CN"/>
                    </w:rPr>
                    <w:t>11567</w:t>
                  </w:r>
                </w:p>
              </w:tc>
            </w:tr>
            <w:tr w14:paraId="3F0A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7DEDAB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46FF6C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颗粒物（t/a）</w:t>
                  </w:r>
                </w:p>
              </w:tc>
              <w:tc>
                <w:tcPr>
                  <w:tcW w:w="899" w:type="dxa"/>
                  <w:noWrap w:val="0"/>
                  <w:vAlign w:val="center"/>
                </w:tcPr>
                <w:p w14:paraId="2BA2E8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w:t>
                  </w:r>
                </w:p>
              </w:tc>
              <w:tc>
                <w:tcPr>
                  <w:tcW w:w="994" w:type="dxa"/>
                  <w:noWrap w:val="0"/>
                  <w:vAlign w:val="center"/>
                </w:tcPr>
                <w:p w14:paraId="79C9609D">
                  <w:pPr>
                    <w:pStyle w:val="20"/>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0.71</w:t>
                  </w:r>
                </w:p>
              </w:tc>
              <w:tc>
                <w:tcPr>
                  <w:tcW w:w="891" w:type="dxa"/>
                  <w:noWrap w:val="0"/>
                  <w:vAlign w:val="center"/>
                </w:tcPr>
                <w:p w14:paraId="5662A9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639.8</w:t>
                  </w:r>
                </w:p>
              </w:tc>
              <w:tc>
                <w:tcPr>
                  <w:tcW w:w="895" w:type="dxa"/>
                  <w:noWrap w:val="0"/>
                  <w:vAlign w:val="center"/>
                </w:tcPr>
                <w:p w14:paraId="6C9808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6.851</w:t>
                  </w:r>
                </w:p>
              </w:tc>
              <w:tc>
                <w:tcPr>
                  <w:tcW w:w="820" w:type="dxa"/>
                  <w:noWrap w:val="0"/>
                  <w:vAlign w:val="center"/>
                </w:tcPr>
                <w:p w14:paraId="4DD5B0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973" w:type="dxa"/>
                  <w:noWrap w:val="0"/>
                  <w:vAlign w:val="center"/>
                </w:tcPr>
                <w:p w14:paraId="5E1BF9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6.851</w:t>
                  </w:r>
                </w:p>
              </w:tc>
              <w:tc>
                <w:tcPr>
                  <w:tcW w:w="816" w:type="dxa"/>
                  <w:noWrap w:val="0"/>
                  <w:vAlign w:val="center"/>
                </w:tcPr>
                <w:p w14:paraId="683F56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+6.14</w:t>
                  </w:r>
                </w:p>
              </w:tc>
            </w:tr>
            <w:tr w14:paraId="6C43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7BA6DF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003CEF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非甲烷总烃</w:t>
                  </w:r>
                  <w:r>
                    <w:rPr>
                      <w:rFonts w:hint="default" w:ascii="Times New Roman" w:hAnsi="Times New Roman" w:eastAsia="宋体" w:cs="Times New Roman"/>
                      <w:color w:val="auto"/>
                      <w:szCs w:val="21"/>
                    </w:rPr>
                    <w:t>（t/a）</w:t>
                  </w:r>
                </w:p>
              </w:tc>
              <w:tc>
                <w:tcPr>
                  <w:tcW w:w="899" w:type="dxa"/>
                  <w:noWrap w:val="0"/>
                  <w:vAlign w:val="center"/>
                </w:tcPr>
                <w:p w14:paraId="3DD86F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w:t>
                  </w:r>
                </w:p>
              </w:tc>
              <w:tc>
                <w:tcPr>
                  <w:tcW w:w="994" w:type="dxa"/>
                  <w:noWrap w:val="0"/>
                  <w:vAlign w:val="center"/>
                </w:tcPr>
                <w:p w14:paraId="5940BD84">
                  <w:pPr>
                    <w:pStyle w:val="20"/>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0.024</w:t>
                  </w:r>
                </w:p>
              </w:tc>
              <w:tc>
                <w:tcPr>
                  <w:tcW w:w="891" w:type="dxa"/>
                  <w:noWrap w:val="0"/>
                  <w:vAlign w:val="center"/>
                </w:tcPr>
                <w:p w14:paraId="4D29E5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0.288</w:t>
                  </w:r>
                </w:p>
              </w:tc>
              <w:tc>
                <w:tcPr>
                  <w:tcW w:w="895" w:type="dxa"/>
                  <w:noWrap w:val="0"/>
                  <w:vAlign w:val="center"/>
                </w:tcPr>
                <w:p w14:paraId="74A4B1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0.127</w:t>
                  </w:r>
                </w:p>
              </w:tc>
              <w:tc>
                <w:tcPr>
                  <w:tcW w:w="820" w:type="dxa"/>
                  <w:noWrap w:val="0"/>
                  <w:vAlign w:val="center"/>
                </w:tcPr>
                <w:p w14:paraId="41DBA4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973" w:type="dxa"/>
                  <w:noWrap w:val="0"/>
                  <w:vAlign w:val="center"/>
                </w:tcPr>
                <w:p w14:paraId="63B983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0.288</w:t>
                  </w:r>
                </w:p>
              </w:tc>
              <w:tc>
                <w:tcPr>
                  <w:tcW w:w="816" w:type="dxa"/>
                  <w:noWrap w:val="0"/>
                  <w:vAlign w:val="center"/>
                </w:tcPr>
                <w:p w14:paraId="1CC21D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+0.264</w:t>
                  </w:r>
                </w:p>
              </w:tc>
            </w:tr>
            <w:tr w14:paraId="428D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20C0A5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1ADA77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氨</w:t>
                  </w:r>
                </w:p>
              </w:tc>
              <w:tc>
                <w:tcPr>
                  <w:tcW w:w="899" w:type="dxa"/>
                  <w:noWrap w:val="0"/>
                  <w:vAlign w:val="center"/>
                </w:tcPr>
                <w:p w14:paraId="1C6F0B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0.14</w:t>
                  </w:r>
                </w:p>
              </w:tc>
              <w:tc>
                <w:tcPr>
                  <w:tcW w:w="994" w:type="dxa"/>
                  <w:noWrap w:val="0"/>
                  <w:vAlign w:val="center"/>
                </w:tcPr>
                <w:p w14:paraId="5A19E0E0">
                  <w:pPr>
                    <w:pStyle w:val="20"/>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891" w:type="dxa"/>
                  <w:noWrap w:val="0"/>
                  <w:vAlign w:val="center"/>
                </w:tcPr>
                <w:p w14:paraId="2022AF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0.175</w:t>
                  </w:r>
                </w:p>
              </w:tc>
              <w:tc>
                <w:tcPr>
                  <w:tcW w:w="895" w:type="dxa"/>
                  <w:noWrap w:val="0"/>
                  <w:vAlign w:val="center"/>
                </w:tcPr>
                <w:p w14:paraId="510F0F1D">
                  <w:pPr>
                    <w:keepNext w:val="0"/>
                    <w:keepLines w:val="0"/>
                    <w:suppressLineNumbers w:val="0"/>
                    <w:adjustRightInd w:val="0"/>
                    <w:snapToGrid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0.175</w:t>
                  </w:r>
                </w:p>
              </w:tc>
              <w:tc>
                <w:tcPr>
                  <w:tcW w:w="820" w:type="dxa"/>
                  <w:noWrap w:val="0"/>
                  <w:vAlign w:val="center"/>
                </w:tcPr>
                <w:p w14:paraId="1BBB50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973" w:type="dxa"/>
                  <w:noWrap w:val="0"/>
                  <w:vAlign w:val="center"/>
                </w:tcPr>
                <w:p w14:paraId="147FD9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0.175</w:t>
                  </w:r>
                </w:p>
              </w:tc>
              <w:tc>
                <w:tcPr>
                  <w:tcW w:w="816" w:type="dxa"/>
                  <w:noWrap w:val="0"/>
                  <w:vAlign w:val="center"/>
                </w:tcPr>
                <w:p w14:paraId="6300D6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+0.035</w:t>
                  </w:r>
                </w:p>
              </w:tc>
            </w:tr>
            <w:tr w14:paraId="72B2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restart"/>
                  <w:noWrap w:val="0"/>
                  <w:vAlign w:val="center"/>
                </w:tcPr>
                <w:p w14:paraId="4B9796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固体废弃物</w:t>
                  </w:r>
                </w:p>
              </w:tc>
              <w:tc>
                <w:tcPr>
                  <w:tcW w:w="1600" w:type="dxa"/>
                  <w:noWrap w:val="0"/>
                  <w:vAlign w:val="center"/>
                </w:tcPr>
                <w:p w14:paraId="380ACE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rPr>
                    <w:t>水过滤材料、废抹布</w:t>
                  </w:r>
                </w:p>
              </w:tc>
              <w:tc>
                <w:tcPr>
                  <w:tcW w:w="899" w:type="dxa"/>
                  <w:noWrap w:val="0"/>
                  <w:vAlign w:val="center"/>
                </w:tcPr>
                <w:p w14:paraId="7AEE2CA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rPr>
                    <w:t>2.2t/a</w:t>
                  </w:r>
                </w:p>
              </w:tc>
              <w:tc>
                <w:tcPr>
                  <w:tcW w:w="994" w:type="dxa"/>
                  <w:noWrap w:val="0"/>
                  <w:vAlign w:val="center"/>
                </w:tcPr>
                <w:p w14:paraId="7169B4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1E690EF3">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2.5t/a</w:t>
                  </w:r>
                </w:p>
              </w:tc>
              <w:tc>
                <w:tcPr>
                  <w:tcW w:w="895" w:type="dxa"/>
                  <w:noWrap w:val="0"/>
                  <w:vAlign w:val="center"/>
                </w:tcPr>
                <w:p w14:paraId="656787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16E966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42EA66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33A1F9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5B2B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1D2839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271879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lang w:eastAsia="zh-CN"/>
                    </w:rPr>
                    <w:t>除尘器粉尘</w:t>
                  </w:r>
                </w:p>
              </w:tc>
              <w:tc>
                <w:tcPr>
                  <w:tcW w:w="899" w:type="dxa"/>
                  <w:noWrap w:val="0"/>
                  <w:vAlign w:val="center"/>
                </w:tcPr>
                <w:p w14:paraId="64A7D3F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lang w:val="en-US" w:eastAsia="zh-CN"/>
                    </w:rPr>
                    <w:t>4.6</w:t>
                  </w:r>
                  <w:r>
                    <w:rPr>
                      <w:rFonts w:hint="default" w:ascii="Times New Roman" w:hAnsi="Times New Roman" w:eastAsia="宋体" w:cs="Times New Roman"/>
                      <w:color w:val="auto"/>
                      <w:sz w:val="21"/>
                    </w:rPr>
                    <w:t xml:space="preserve"> t/a</w:t>
                  </w:r>
                </w:p>
              </w:tc>
              <w:tc>
                <w:tcPr>
                  <w:tcW w:w="994" w:type="dxa"/>
                  <w:noWrap w:val="0"/>
                  <w:vAlign w:val="center"/>
                </w:tcPr>
                <w:p w14:paraId="2C2A7D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423BD6FC">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eastAsia" w:cs="Times New Roman"/>
                      <w:snapToGrid w:val="0"/>
                      <w:color w:val="auto"/>
                      <w:kern w:val="21"/>
                      <w:szCs w:val="21"/>
                      <w:lang w:val="en-US" w:eastAsia="zh-CN"/>
                    </w:rPr>
                    <w:t>500.38</w:t>
                  </w:r>
                  <w:r>
                    <w:rPr>
                      <w:rFonts w:hint="default" w:ascii="Times New Roman" w:hAnsi="Times New Roman" w:eastAsia="宋体" w:cs="Times New Roman"/>
                      <w:snapToGrid w:val="0"/>
                      <w:color w:val="auto"/>
                      <w:kern w:val="21"/>
                      <w:szCs w:val="21"/>
                      <w:lang w:val="en-US" w:eastAsia="zh-CN"/>
                    </w:rPr>
                    <w:t>t/a</w:t>
                  </w:r>
                </w:p>
              </w:tc>
              <w:tc>
                <w:tcPr>
                  <w:tcW w:w="895" w:type="dxa"/>
                  <w:noWrap w:val="0"/>
                  <w:vAlign w:val="center"/>
                </w:tcPr>
                <w:p w14:paraId="70C090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645171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7346FD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5C07EE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71CC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06A737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30729E6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腻子粉车间自然沉降粉尘</w:t>
                  </w:r>
                </w:p>
              </w:tc>
              <w:tc>
                <w:tcPr>
                  <w:tcW w:w="899" w:type="dxa"/>
                  <w:noWrap w:val="0"/>
                  <w:vAlign w:val="center"/>
                </w:tcPr>
                <w:p w14:paraId="694975B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w:t>
                  </w:r>
                </w:p>
              </w:tc>
              <w:tc>
                <w:tcPr>
                  <w:tcW w:w="994" w:type="dxa"/>
                  <w:noWrap w:val="0"/>
                  <w:vAlign w:val="center"/>
                </w:tcPr>
                <w:p w14:paraId="250DDDD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891" w:type="dxa"/>
                  <w:noWrap w:val="0"/>
                  <w:vAlign w:val="center"/>
                </w:tcPr>
                <w:p w14:paraId="3F751A9E">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42.557</w:t>
                  </w:r>
                </w:p>
              </w:tc>
              <w:tc>
                <w:tcPr>
                  <w:tcW w:w="895" w:type="dxa"/>
                  <w:noWrap w:val="0"/>
                  <w:vAlign w:val="center"/>
                </w:tcPr>
                <w:p w14:paraId="29B8209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w:t>
                  </w:r>
                </w:p>
              </w:tc>
              <w:tc>
                <w:tcPr>
                  <w:tcW w:w="820" w:type="dxa"/>
                  <w:noWrap w:val="0"/>
                  <w:vAlign w:val="center"/>
                </w:tcPr>
                <w:p w14:paraId="6B68692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w:t>
                  </w:r>
                </w:p>
              </w:tc>
              <w:tc>
                <w:tcPr>
                  <w:tcW w:w="973" w:type="dxa"/>
                  <w:noWrap w:val="0"/>
                  <w:vAlign w:val="center"/>
                </w:tcPr>
                <w:p w14:paraId="4B3A7FE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w:t>
                  </w:r>
                </w:p>
              </w:tc>
              <w:tc>
                <w:tcPr>
                  <w:tcW w:w="816" w:type="dxa"/>
                  <w:noWrap w:val="0"/>
                  <w:vAlign w:val="center"/>
                </w:tcPr>
                <w:p w14:paraId="67BDEB8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w:t>
                  </w:r>
                </w:p>
              </w:tc>
            </w:tr>
            <w:tr w14:paraId="7D14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6CCFD4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1A5AE2D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lang w:eastAsia="zh-CN"/>
                    </w:rPr>
                    <w:t>废包装材料</w:t>
                  </w:r>
                </w:p>
              </w:tc>
              <w:tc>
                <w:tcPr>
                  <w:tcW w:w="899" w:type="dxa"/>
                  <w:noWrap w:val="0"/>
                  <w:vAlign w:val="center"/>
                </w:tcPr>
                <w:p w14:paraId="24D2600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rPr>
                    <w:t>6000 条/a</w:t>
                  </w:r>
                </w:p>
              </w:tc>
              <w:tc>
                <w:tcPr>
                  <w:tcW w:w="994" w:type="dxa"/>
                  <w:noWrap w:val="0"/>
                  <w:vAlign w:val="center"/>
                </w:tcPr>
                <w:p w14:paraId="765387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3068F1F1">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1t/a</w:t>
                  </w:r>
                </w:p>
              </w:tc>
              <w:tc>
                <w:tcPr>
                  <w:tcW w:w="895" w:type="dxa"/>
                  <w:noWrap w:val="0"/>
                  <w:vAlign w:val="center"/>
                </w:tcPr>
                <w:p w14:paraId="67B815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545A32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137B6C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400EFD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2DB1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0D6288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03AA1B5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rPr>
                    <w:t>污水处理系统污</w:t>
                  </w:r>
                  <w:r>
                    <w:rPr>
                      <w:rFonts w:hint="default" w:ascii="Times New Roman" w:hAnsi="Times New Roman" w:eastAsia="宋体" w:cs="Times New Roman"/>
                      <w:color w:val="auto"/>
                      <w:w w:val="100"/>
                      <w:sz w:val="21"/>
                    </w:rPr>
                    <w:t>泥</w:t>
                  </w:r>
                </w:p>
              </w:tc>
              <w:tc>
                <w:tcPr>
                  <w:tcW w:w="899" w:type="dxa"/>
                  <w:noWrap w:val="0"/>
                  <w:vAlign w:val="center"/>
                </w:tcPr>
                <w:p w14:paraId="23CF49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5.4</w:t>
                  </w:r>
                  <w:r>
                    <w:rPr>
                      <w:rFonts w:hint="default" w:ascii="Times New Roman" w:hAnsi="Times New Roman" w:eastAsia="宋体" w:cs="Times New Roman"/>
                      <w:color w:val="auto"/>
                      <w:sz w:val="21"/>
                    </w:rPr>
                    <w:t>/a</w:t>
                  </w:r>
                </w:p>
              </w:tc>
              <w:tc>
                <w:tcPr>
                  <w:tcW w:w="994" w:type="dxa"/>
                  <w:noWrap w:val="0"/>
                  <w:vAlign w:val="center"/>
                </w:tcPr>
                <w:p w14:paraId="63C3EF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58444645">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12t/a</w:t>
                  </w:r>
                </w:p>
              </w:tc>
              <w:tc>
                <w:tcPr>
                  <w:tcW w:w="895" w:type="dxa"/>
                  <w:noWrap w:val="0"/>
                  <w:vAlign w:val="center"/>
                </w:tcPr>
                <w:p w14:paraId="2BC546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4F2A8A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65036D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553905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6BA3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5AAE7E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046EB0E9">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废矿物油</w:t>
                  </w:r>
                </w:p>
              </w:tc>
              <w:tc>
                <w:tcPr>
                  <w:tcW w:w="899" w:type="dxa"/>
                  <w:noWrap w:val="0"/>
                  <w:vAlign w:val="center"/>
                </w:tcPr>
                <w:p w14:paraId="7998E5C3">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lang w:val="en-US"/>
                    </w:rPr>
                  </w:pPr>
                  <w:r>
                    <w:rPr>
                      <w:rFonts w:hint="eastAsia" w:cs="Times New Roman"/>
                      <w:snapToGrid w:val="0"/>
                      <w:color w:val="auto"/>
                      <w:kern w:val="21"/>
                      <w:szCs w:val="21"/>
                      <w:lang w:val="en-US" w:eastAsia="zh-CN"/>
                    </w:rPr>
                    <w:t>0.5</w:t>
                  </w:r>
                  <w:r>
                    <w:rPr>
                      <w:rFonts w:hint="eastAsia" w:cs="Times New Roman"/>
                      <w:color w:val="auto"/>
                      <w:szCs w:val="21"/>
                      <w:lang w:val="en-US" w:eastAsia="zh-CN"/>
                    </w:rPr>
                    <w:t>t</w:t>
                  </w:r>
                  <w:r>
                    <w:rPr>
                      <w:rFonts w:hint="default" w:ascii="Times New Roman" w:hAnsi="Times New Roman" w:eastAsia="宋体" w:cs="Times New Roman"/>
                      <w:color w:val="auto"/>
                      <w:sz w:val="21"/>
                    </w:rPr>
                    <w:t>/a</w:t>
                  </w:r>
                </w:p>
              </w:tc>
              <w:tc>
                <w:tcPr>
                  <w:tcW w:w="994" w:type="dxa"/>
                  <w:noWrap w:val="0"/>
                  <w:vAlign w:val="center"/>
                </w:tcPr>
                <w:p w14:paraId="2B0D70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20183B77">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0.5t/a</w:t>
                  </w:r>
                </w:p>
              </w:tc>
              <w:tc>
                <w:tcPr>
                  <w:tcW w:w="895" w:type="dxa"/>
                  <w:noWrap w:val="0"/>
                  <w:vAlign w:val="center"/>
                </w:tcPr>
                <w:p w14:paraId="25F95D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2FB54C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2D806F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6DD18B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48E3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1BDD88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2AE0B73E">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废活性炭</w:t>
                  </w:r>
                </w:p>
              </w:tc>
              <w:tc>
                <w:tcPr>
                  <w:tcW w:w="899" w:type="dxa"/>
                  <w:noWrap w:val="0"/>
                  <w:vAlign w:val="center"/>
                </w:tcPr>
                <w:p w14:paraId="6AB59C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994" w:type="dxa"/>
                  <w:noWrap w:val="0"/>
                  <w:vAlign w:val="center"/>
                </w:tcPr>
                <w:p w14:paraId="763154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03EAA21E">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0.32t/a</w:t>
                  </w:r>
                </w:p>
              </w:tc>
              <w:tc>
                <w:tcPr>
                  <w:tcW w:w="895" w:type="dxa"/>
                  <w:noWrap w:val="0"/>
                  <w:vAlign w:val="center"/>
                </w:tcPr>
                <w:p w14:paraId="1D2046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6BEA44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6A658F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1F66BC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1584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3A174B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502961BB">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废UV灯管</w:t>
                  </w:r>
                </w:p>
              </w:tc>
              <w:tc>
                <w:tcPr>
                  <w:tcW w:w="899" w:type="dxa"/>
                  <w:noWrap w:val="0"/>
                  <w:vAlign w:val="center"/>
                </w:tcPr>
                <w:p w14:paraId="4E4429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994" w:type="dxa"/>
                  <w:noWrap w:val="0"/>
                  <w:vAlign w:val="center"/>
                </w:tcPr>
                <w:p w14:paraId="7BCCAF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5E811D0A">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0.08t/a</w:t>
                  </w:r>
                </w:p>
              </w:tc>
              <w:tc>
                <w:tcPr>
                  <w:tcW w:w="895" w:type="dxa"/>
                  <w:noWrap w:val="0"/>
                  <w:vAlign w:val="center"/>
                </w:tcPr>
                <w:p w14:paraId="7CDEC4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6D146B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5A63CE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41FBB3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2685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5336C1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4C07730C">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沾染有机溶剂的废包装材料</w:t>
                  </w:r>
                </w:p>
              </w:tc>
              <w:tc>
                <w:tcPr>
                  <w:tcW w:w="899" w:type="dxa"/>
                  <w:noWrap w:val="0"/>
                  <w:vAlign w:val="center"/>
                </w:tcPr>
                <w:p w14:paraId="12E11D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0.t</w:t>
                  </w:r>
                  <w:r>
                    <w:rPr>
                      <w:rFonts w:hint="default" w:ascii="Times New Roman" w:hAnsi="Times New Roman" w:eastAsia="宋体" w:cs="Times New Roman"/>
                      <w:color w:val="auto"/>
                      <w:sz w:val="21"/>
                    </w:rPr>
                    <w:t>/a</w:t>
                  </w:r>
                </w:p>
              </w:tc>
              <w:tc>
                <w:tcPr>
                  <w:tcW w:w="994" w:type="dxa"/>
                  <w:noWrap w:val="0"/>
                  <w:vAlign w:val="center"/>
                </w:tcPr>
                <w:p w14:paraId="4D3D71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6338EE08">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0.2t/a</w:t>
                  </w:r>
                </w:p>
              </w:tc>
              <w:tc>
                <w:tcPr>
                  <w:tcW w:w="895" w:type="dxa"/>
                  <w:noWrap w:val="0"/>
                  <w:vAlign w:val="center"/>
                </w:tcPr>
                <w:p w14:paraId="4722FE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76DD0C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05D559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135D5A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039C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57330A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5447FED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生活垃圾</w:t>
                  </w:r>
                </w:p>
              </w:tc>
              <w:tc>
                <w:tcPr>
                  <w:tcW w:w="899" w:type="dxa"/>
                  <w:noWrap w:val="0"/>
                  <w:vAlign w:val="center"/>
                </w:tcPr>
                <w:p w14:paraId="2D88F7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17</w:t>
                  </w:r>
                  <w:r>
                    <w:rPr>
                      <w:rFonts w:hint="eastAsia" w:cs="Times New Roman"/>
                      <w:color w:val="auto"/>
                      <w:szCs w:val="21"/>
                      <w:lang w:val="en-US" w:eastAsia="zh-CN"/>
                    </w:rPr>
                    <w:t>t</w:t>
                  </w:r>
                  <w:r>
                    <w:rPr>
                      <w:rFonts w:hint="default" w:ascii="Times New Roman" w:hAnsi="Times New Roman" w:eastAsia="宋体" w:cs="Times New Roman"/>
                      <w:color w:val="auto"/>
                      <w:sz w:val="21"/>
                    </w:rPr>
                    <w:t>/a</w:t>
                  </w:r>
                </w:p>
              </w:tc>
              <w:tc>
                <w:tcPr>
                  <w:tcW w:w="994" w:type="dxa"/>
                  <w:noWrap w:val="0"/>
                  <w:vAlign w:val="center"/>
                </w:tcPr>
                <w:p w14:paraId="21DBA8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47201128">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2.5t/a</w:t>
                  </w:r>
                </w:p>
              </w:tc>
              <w:tc>
                <w:tcPr>
                  <w:tcW w:w="895" w:type="dxa"/>
                  <w:noWrap w:val="0"/>
                  <w:vAlign w:val="center"/>
                </w:tcPr>
                <w:p w14:paraId="117BC1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34286A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1009AD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6BC961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6E94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30B4CB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3F5104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餐厨固废</w:t>
                  </w:r>
                </w:p>
              </w:tc>
              <w:tc>
                <w:tcPr>
                  <w:tcW w:w="899" w:type="dxa"/>
                  <w:noWrap w:val="0"/>
                  <w:vAlign w:val="center"/>
                </w:tcPr>
                <w:p w14:paraId="6F5068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13</w:t>
                  </w:r>
                  <w:r>
                    <w:rPr>
                      <w:rFonts w:hint="default" w:ascii="Times New Roman" w:hAnsi="Times New Roman" w:eastAsia="宋体" w:cs="Times New Roman"/>
                      <w:color w:val="auto"/>
                      <w:sz w:val="21"/>
                    </w:rPr>
                    <w:t>/a</w:t>
                  </w:r>
                </w:p>
              </w:tc>
              <w:tc>
                <w:tcPr>
                  <w:tcW w:w="994" w:type="dxa"/>
                  <w:noWrap w:val="0"/>
                  <w:vAlign w:val="center"/>
                </w:tcPr>
                <w:p w14:paraId="033A63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658147E2">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105.87t/a</w:t>
                  </w:r>
                </w:p>
              </w:tc>
              <w:tc>
                <w:tcPr>
                  <w:tcW w:w="895" w:type="dxa"/>
                  <w:noWrap w:val="0"/>
                  <w:vAlign w:val="center"/>
                </w:tcPr>
                <w:p w14:paraId="2661B8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24E99B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095881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527B3F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bl>
          <w:p w14:paraId="01E2BFB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综上，本次</w:t>
            </w:r>
            <w:r>
              <w:rPr>
                <w:rFonts w:hint="default" w:ascii="Times New Roman" w:hAnsi="Times New Roman" w:eastAsia="宋体" w:cs="Times New Roman"/>
                <w:bCs/>
                <w:color w:val="auto"/>
                <w:sz w:val="24"/>
                <w:lang w:eastAsia="zh-CN"/>
              </w:rPr>
              <w:t>扩建完成后</w:t>
            </w:r>
            <w:r>
              <w:rPr>
                <w:rFonts w:hint="default" w:ascii="Times New Roman" w:hAnsi="Times New Roman" w:eastAsia="宋体" w:cs="Times New Roman"/>
                <w:bCs/>
                <w:color w:val="auto"/>
                <w:sz w:val="24"/>
              </w:rPr>
              <w:t>，大气污染物中的颗粒物</w:t>
            </w:r>
            <w:r>
              <w:rPr>
                <w:rFonts w:hint="default" w:ascii="Times New Roman" w:hAnsi="Times New Roman" w:eastAsia="宋体" w:cs="Times New Roman"/>
                <w:bCs/>
                <w:color w:val="auto"/>
                <w:sz w:val="24"/>
                <w:lang w:eastAsia="zh-CN"/>
              </w:rPr>
              <w:t>排放量减小</w:t>
            </w:r>
            <w:r>
              <w:rPr>
                <w:rFonts w:hint="default" w:ascii="Times New Roman" w:hAnsi="Times New Roman" w:eastAsia="宋体" w:cs="Times New Roman"/>
                <w:bCs/>
                <w:color w:val="auto"/>
                <w:sz w:val="24"/>
              </w:rPr>
              <w:t>，固体废弃物均100%合理处置。</w:t>
            </w:r>
          </w:p>
          <w:p w14:paraId="059D5041">
            <w:pPr>
              <w:pStyle w:val="19"/>
              <w:keepNext w:val="0"/>
              <w:keepLines w:val="0"/>
              <w:suppressLineNumbers w:val="0"/>
              <w:spacing w:before="0" w:beforeAutospacing="0" w:afterAutospacing="0"/>
              <w:ind w:right="0"/>
              <w:rPr>
                <w:rFonts w:hint="default" w:ascii="Times New Roman" w:hAnsi="Times New Roman" w:eastAsia="宋体" w:cs="Times New Roman"/>
                <w:color w:val="auto"/>
                <w:sz w:val="24"/>
                <w:lang w:val="en-US" w:eastAsia="zh-CN"/>
              </w:rPr>
            </w:pPr>
          </w:p>
          <w:p w14:paraId="791A9EAB">
            <w:pPr>
              <w:pStyle w:val="20"/>
              <w:keepNext w:val="0"/>
              <w:keepLines w:val="0"/>
              <w:suppressLineNumbers w:val="0"/>
              <w:spacing w:beforeAutospacing="0" w:afterAutospacing="0"/>
              <w:ind w:left="0" w:leftChars="0" w:firstLine="0" w:firstLineChars="0"/>
              <w:rPr>
                <w:rFonts w:hint="default" w:ascii="Times New Roman" w:hAnsi="Times New Roman" w:eastAsia="宋体" w:cs="Times New Roman"/>
                <w:color w:val="auto"/>
                <w:lang w:val="en-US" w:eastAsia="zh-CN"/>
              </w:rPr>
            </w:pPr>
          </w:p>
        </w:tc>
      </w:tr>
    </w:tbl>
    <w:p w14:paraId="47BDD6D4">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701" w:right="1531" w:bottom="2127" w:left="1531" w:header="851" w:footer="851" w:gutter="0"/>
          <w:pgNumType w:fmt="decimal"/>
          <w:cols w:space="720" w:num="1"/>
          <w:docGrid w:linePitch="312" w:charSpace="0"/>
        </w:sectPr>
      </w:pPr>
    </w:p>
    <w:p w14:paraId="642E2240">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bookmarkStart w:id="14" w:name="_Toc13720"/>
      <w:r>
        <w:rPr>
          <w:rFonts w:hint="default" w:ascii="Times New Roman" w:hAnsi="Times New Roman" w:eastAsia="宋体" w:cs="Times New Roman"/>
          <w:b/>
          <w:bCs/>
          <w:snapToGrid w:val="0"/>
          <w:color w:val="auto"/>
          <w:sz w:val="30"/>
          <w:szCs w:val="30"/>
        </w:rPr>
        <w:t>五、</w:t>
      </w:r>
      <w:bookmarkStart w:id="15" w:name="_Hlk54167917"/>
      <w:r>
        <w:rPr>
          <w:rFonts w:hint="default" w:ascii="Times New Roman" w:hAnsi="Times New Roman" w:eastAsia="宋体" w:cs="Times New Roman"/>
          <w:b/>
          <w:bCs/>
          <w:snapToGrid w:val="0"/>
          <w:color w:val="auto"/>
          <w:sz w:val="30"/>
          <w:szCs w:val="30"/>
        </w:rPr>
        <w:t>环境保护措施监督检查清单</w:t>
      </w:r>
      <w:bookmarkEnd w:id="14"/>
      <w:bookmarkEnd w:id="15"/>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6"/>
        <w:gridCol w:w="2115"/>
        <w:gridCol w:w="1230"/>
        <w:gridCol w:w="2492"/>
        <w:gridCol w:w="2027"/>
      </w:tblGrid>
      <w:tr w14:paraId="6D6CBC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tcBorders>
              <w:tl2br w:val="single" w:color="auto" w:sz="4" w:space="0"/>
            </w:tcBorders>
            <w:noWrap w:val="0"/>
            <w:vAlign w:val="top"/>
          </w:tcPr>
          <w:p w14:paraId="68761C38">
            <w:pPr>
              <w:keepNext w:val="0"/>
              <w:keepLines w:val="0"/>
              <w:suppressLineNumbers w:val="0"/>
              <w:adjustRightInd w:val="0"/>
              <w:snapToGrid w:val="0"/>
              <w:spacing w:before="0" w:beforeAutospacing="0" w:after="0" w:afterAutospacing="0"/>
              <w:ind w:left="0" w:right="0" w:firstLine="84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内容</w:t>
            </w:r>
          </w:p>
          <w:p w14:paraId="3E992792">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要素</w:t>
            </w:r>
          </w:p>
        </w:tc>
        <w:tc>
          <w:tcPr>
            <w:tcW w:w="2115" w:type="dxa"/>
            <w:noWrap w:val="0"/>
            <w:vAlign w:val="center"/>
          </w:tcPr>
          <w:p w14:paraId="02C1D6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排放口(编号、</w:t>
            </w:r>
          </w:p>
          <w:p w14:paraId="0C93C5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名称)/污染源</w:t>
            </w:r>
          </w:p>
        </w:tc>
        <w:tc>
          <w:tcPr>
            <w:tcW w:w="1230" w:type="dxa"/>
            <w:noWrap w:val="0"/>
            <w:vAlign w:val="center"/>
          </w:tcPr>
          <w:p w14:paraId="6195EB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污染物项目</w:t>
            </w:r>
          </w:p>
        </w:tc>
        <w:tc>
          <w:tcPr>
            <w:tcW w:w="2492" w:type="dxa"/>
            <w:noWrap w:val="0"/>
            <w:vAlign w:val="center"/>
          </w:tcPr>
          <w:p w14:paraId="48EAC5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环境保护措施</w:t>
            </w:r>
          </w:p>
        </w:tc>
        <w:tc>
          <w:tcPr>
            <w:tcW w:w="2027" w:type="dxa"/>
            <w:noWrap w:val="0"/>
            <w:vAlign w:val="center"/>
          </w:tcPr>
          <w:p w14:paraId="12D28E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执行标准</w:t>
            </w:r>
          </w:p>
        </w:tc>
      </w:tr>
      <w:tr w14:paraId="2AC80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restart"/>
            <w:noWrap w:val="0"/>
            <w:vAlign w:val="center"/>
          </w:tcPr>
          <w:p w14:paraId="312B25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大气环境</w:t>
            </w:r>
          </w:p>
        </w:tc>
        <w:tc>
          <w:tcPr>
            <w:tcW w:w="2115" w:type="dxa"/>
            <w:noWrap w:val="0"/>
            <w:vAlign w:val="center"/>
          </w:tcPr>
          <w:p w14:paraId="1A2927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DA001排气筒/</w:t>
            </w:r>
            <w:r>
              <w:rPr>
                <w:rFonts w:hint="eastAsia" w:cs="Times New Roman"/>
                <w:color w:val="auto"/>
                <w:szCs w:val="21"/>
                <w:lang w:val="en-US" w:eastAsia="zh-CN"/>
              </w:rPr>
              <w:t>腻子粉生产投料</w:t>
            </w:r>
            <w:r>
              <w:rPr>
                <w:rFonts w:hint="eastAsia" w:cs="Times New Roman"/>
                <w:color w:val="auto"/>
                <w:sz w:val="21"/>
                <w:szCs w:val="21"/>
                <w:lang w:val="en-US" w:eastAsia="zh-CN"/>
              </w:rPr>
              <w:t>粉尘</w:t>
            </w:r>
          </w:p>
        </w:tc>
        <w:tc>
          <w:tcPr>
            <w:tcW w:w="1230" w:type="dxa"/>
            <w:noWrap w:val="0"/>
            <w:vAlign w:val="center"/>
          </w:tcPr>
          <w:p w14:paraId="0976B63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颗粒物</w:t>
            </w:r>
          </w:p>
        </w:tc>
        <w:tc>
          <w:tcPr>
            <w:tcW w:w="2492" w:type="dxa"/>
            <w:noWrap w:val="0"/>
            <w:vAlign w:val="center"/>
          </w:tcPr>
          <w:p w14:paraId="07BD5B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kern w:val="0"/>
                <w:szCs w:val="21"/>
                <w:lang w:val="en-US" w:eastAsia="zh-CN"/>
              </w:rPr>
              <w:t>24个集气罩</w:t>
            </w:r>
            <w:r>
              <w:rPr>
                <w:rFonts w:hint="eastAsia" w:cs="Times New Roman"/>
                <w:color w:val="auto"/>
                <w:kern w:val="0"/>
                <w:szCs w:val="21"/>
                <w:lang w:eastAsia="zh-CN"/>
              </w:rPr>
              <w:t>集气罩</w:t>
            </w:r>
            <w:r>
              <w:rPr>
                <w:rFonts w:hint="eastAsia" w:cs="Times New Roman"/>
                <w:color w:val="auto"/>
                <w:kern w:val="0"/>
                <w:szCs w:val="21"/>
                <w:lang w:val="en-US" w:eastAsia="zh-CN"/>
              </w:rPr>
              <w:t>+</w:t>
            </w:r>
            <w:r>
              <w:rPr>
                <w:rFonts w:hint="eastAsia" w:cs="Times New Roman"/>
                <w:color w:val="auto"/>
                <w:kern w:val="0"/>
                <w:szCs w:val="21"/>
                <w:lang w:eastAsia="zh-CN"/>
              </w:rPr>
              <w:t>集中式滤筒除尘系统</w:t>
            </w:r>
            <w:r>
              <w:rPr>
                <w:rFonts w:hint="default" w:ascii="Times New Roman" w:hAnsi="Times New Roman" w:eastAsia="宋体" w:cs="Times New Roman"/>
                <w:color w:val="auto"/>
                <w:kern w:val="0"/>
                <w:szCs w:val="21"/>
              </w:rPr>
              <w:t>+15m高排气筒</w:t>
            </w:r>
          </w:p>
        </w:tc>
        <w:tc>
          <w:tcPr>
            <w:tcW w:w="2027" w:type="dxa"/>
            <w:vMerge w:val="restart"/>
            <w:noWrap w:val="0"/>
            <w:vAlign w:val="center"/>
          </w:tcPr>
          <w:p w14:paraId="689AD0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颗粒物、非甲烷总烃执行</w:t>
            </w:r>
            <w:r>
              <w:rPr>
                <w:rFonts w:hint="default" w:ascii="Times New Roman" w:hAnsi="Times New Roman" w:eastAsia="宋体" w:cs="Times New Roman"/>
                <w:color w:val="auto"/>
                <w:szCs w:val="21"/>
                <w:lang w:val="en-US" w:eastAsia="zh-CN"/>
              </w:rPr>
              <w:t>《涂料、油墨、胶粘剂工业大气污染物排放标准》（GB37824-2019）表1中有组织最高允许排放浓度限值。</w:t>
            </w:r>
            <w:r>
              <w:rPr>
                <w:rFonts w:hint="eastAsia" w:cs="Times New Roman"/>
                <w:color w:val="auto"/>
                <w:szCs w:val="21"/>
                <w:lang w:val="en-US" w:eastAsia="zh-CN"/>
              </w:rPr>
              <w:t>即：</w:t>
            </w:r>
            <w:r>
              <w:rPr>
                <w:rFonts w:hint="default" w:ascii="Times New Roman" w:hAnsi="Times New Roman" w:eastAsia="宋体" w:cs="Times New Roman"/>
                <w:color w:val="auto"/>
                <w:szCs w:val="21"/>
                <w:lang w:val="en-US" w:eastAsia="zh-CN"/>
              </w:rPr>
              <w:t>颗粒物</w:t>
            </w:r>
            <w:r>
              <w:rPr>
                <w:rFonts w:hint="eastAsia" w:ascii="Times New Roman" w:hAnsi="Times New Roman" w:eastAsia="宋体" w:cs="Times New Roman"/>
                <w:color w:val="auto"/>
                <w:szCs w:val="21"/>
                <w:lang w:val="en-US" w:eastAsia="zh-CN"/>
              </w:rPr>
              <w:t>≤30mg/L、</w:t>
            </w:r>
            <w:r>
              <w:rPr>
                <w:rFonts w:hint="default" w:ascii="Times New Roman" w:hAnsi="Times New Roman" w:eastAsia="宋体" w:cs="Times New Roman"/>
                <w:color w:val="auto"/>
                <w:szCs w:val="21"/>
              </w:rPr>
              <w:t>以非甲烷总烃计</w:t>
            </w:r>
            <w:r>
              <w:rPr>
                <w:rFonts w:hint="eastAsia" w:ascii="Times New Roman" w:hAnsi="Times New Roman" w:eastAsia="宋体" w:cs="Times New Roman"/>
                <w:color w:val="auto"/>
                <w:szCs w:val="21"/>
                <w:lang w:val="en-US" w:eastAsia="zh-CN"/>
              </w:rPr>
              <w:t>≤120mg/L</w:t>
            </w:r>
          </w:p>
        </w:tc>
      </w:tr>
      <w:tr w14:paraId="4BD41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noWrap w:val="0"/>
            <w:vAlign w:val="center"/>
          </w:tcPr>
          <w:p w14:paraId="28CD3C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2115" w:type="dxa"/>
            <w:noWrap w:val="0"/>
            <w:vAlign w:val="center"/>
          </w:tcPr>
          <w:p w14:paraId="20480A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DA002排气筒/</w:t>
            </w:r>
            <w:r>
              <w:rPr>
                <w:rFonts w:hint="eastAsia" w:cs="Times New Roman"/>
                <w:color w:val="auto"/>
                <w:sz w:val="21"/>
                <w:szCs w:val="21"/>
                <w:lang w:val="en-US" w:eastAsia="zh-CN"/>
              </w:rPr>
              <w:t>水性涂料生产车间投料粉尘。包装口挥发性有机废气挥发</w:t>
            </w:r>
          </w:p>
        </w:tc>
        <w:tc>
          <w:tcPr>
            <w:tcW w:w="1230" w:type="dxa"/>
            <w:noWrap w:val="0"/>
            <w:vAlign w:val="center"/>
          </w:tcPr>
          <w:p w14:paraId="167727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颗粒物</w:t>
            </w:r>
            <w:r>
              <w:rPr>
                <w:rFonts w:hint="eastAsia" w:cs="Times New Roman"/>
                <w:color w:val="auto"/>
                <w:szCs w:val="21"/>
                <w:lang w:eastAsia="zh-CN"/>
              </w:rPr>
              <w:t>、</w:t>
            </w:r>
            <w:r>
              <w:rPr>
                <w:rFonts w:hint="default" w:ascii="Times New Roman" w:hAnsi="Times New Roman" w:eastAsia="宋体" w:cs="Times New Roman"/>
                <w:color w:val="auto"/>
                <w:szCs w:val="21"/>
              </w:rPr>
              <w:t>非甲烷总烃</w:t>
            </w:r>
          </w:p>
        </w:tc>
        <w:tc>
          <w:tcPr>
            <w:tcW w:w="2492" w:type="dxa"/>
            <w:noWrap w:val="0"/>
            <w:vAlign w:val="center"/>
          </w:tcPr>
          <w:p w14:paraId="6EDC8D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cs="Times New Roman"/>
                <w:color w:val="auto"/>
                <w:kern w:val="0"/>
                <w:szCs w:val="21"/>
                <w:lang w:val="en-US" w:eastAsia="zh-CN"/>
              </w:rPr>
              <w:t>5个</w:t>
            </w:r>
            <w:r>
              <w:rPr>
                <w:rFonts w:hint="eastAsia" w:cs="Times New Roman"/>
                <w:color w:val="auto"/>
                <w:kern w:val="0"/>
                <w:szCs w:val="21"/>
                <w:lang w:eastAsia="zh-CN"/>
              </w:rPr>
              <w:t>集气罩</w:t>
            </w:r>
            <w:r>
              <w:rPr>
                <w:rFonts w:hint="eastAsia" w:cs="Times New Roman"/>
                <w:color w:val="auto"/>
                <w:kern w:val="0"/>
                <w:szCs w:val="21"/>
                <w:lang w:val="en-US" w:eastAsia="zh-CN"/>
              </w:rPr>
              <w:t>+</w:t>
            </w:r>
            <w:r>
              <w:rPr>
                <w:rFonts w:hint="default" w:ascii="Times New Roman" w:hAnsi="Times New Roman" w:eastAsia="宋体" w:cs="Times New Roman"/>
                <w:color w:val="auto"/>
                <w:kern w:val="0"/>
                <w:szCs w:val="21"/>
              </w:rPr>
              <w:t>布袋除尘器+</w:t>
            </w:r>
            <w:r>
              <w:rPr>
                <w:rFonts w:hint="eastAsia" w:ascii="Times New Roman" w:hAnsi="Times New Roman" w:eastAsia="宋体" w:cs="Times New Roman"/>
                <w:color w:val="auto"/>
                <w:kern w:val="0"/>
                <w:szCs w:val="21"/>
                <w:lang w:val="en-US" w:eastAsia="zh-CN"/>
              </w:rPr>
              <w:t>UV光氧催化</w:t>
            </w:r>
            <w:r>
              <w:rPr>
                <w:rFonts w:hint="default"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eastAsia="zh-CN"/>
              </w:rPr>
              <w:t>活性炭吸附装置</w:t>
            </w:r>
            <w:r>
              <w:rPr>
                <w:rFonts w:hint="eastAsia" w:cs="Times New Roman"/>
                <w:color w:val="auto"/>
                <w:kern w:val="0"/>
                <w:szCs w:val="21"/>
                <w:lang w:val="en-US" w:eastAsia="zh-CN"/>
              </w:rPr>
              <w:t>+</w:t>
            </w:r>
            <w:r>
              <w:rPr>
                <w:rFonts w:hint="default" w:ascii="Times New Roman" w:hAnsi="Times New Roman" w:eastAsia="宋体" w:cs="Times New Roman"/>
                <w:color w:val="auto"/>
                <w:kern w:val="0"/>
                <w:szCs w:val="21"/>
              </w:rPr>
              <w:t>15m高排气筒</w:t>
            </w:r>
          </w:p>
        </w:tc>
        <w:tc>
          <w:tcPr>
            <w:tcW w:w="2027" w:type="dxa"/>
            <w:vMerge w:val="continue"/>
            <w:noWrap w:val="0"/>
            <w:vAlign w:val="center"/>
          </w:tcPr>
          <w:p w14:paraId="7FEC69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r>
      <w:tr w14:paraId="101A8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noWrap w:val="0"/>
            <w:vAlign w:val="center"/>
          </w:tcPr>
          <w:p w14:paraId="7BEDE5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2115" w:type="dxa"/>
            <w:noWrap w:val="0"/>
            <w:vAlign w:val="center"/>
          </w:tcPr>
          <w:p w14:paraId="1D229A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粉料卸料粉尘</w:t>
            </w:r>
          </w:p>
        </w:tc>
        <w:tc>
          <w:tcPr>
            <w:tcW w:w="1230" w:type="dxa"/>
            <w:noWrap w:val="0"/>
            <w:vAlign w:val="center"/>
          </w:tcPr>
          <w:p w14:paraId="63D963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颗粒物</w:t>
            </w:r>
          </w:p>
        </w:tc>
        <w:tc>
          <w:tcPr>
            <w:tcW w:w="2492" w:type="dxa"/>
            <w:noWrap w:val="0"/>
            <w:vAlign w:val="center"/>
          </w:tcPr>
          <w:p w14:paraId="43BC96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采用脉冲布袋除尘装置除尘后，呈无组织排放</w:t>
            </w:r>
          </w:p>
        </w:tc>
        <w:tc>
          <w:tcPr>
            <w:tcW w:w="2027" w:type="dxa"/>
            <w:vMerge w:val="restart"/>
            <w:noWrap w:val="0"/>
            <w:vAlign w:val="center"/>
          </w:tcPr>
          <w:p w14:paraId="1C74A2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cs="Times New Roman"/>
                <w:color w:val="auto"/>
                <w:szCs w:val="21"/>
                <w:lang w:val="en-US" w:eastAsia="zh-CN"/>
              </w:rPr>
              <w:t>执行</w:t>
            </w:r>
            <w:r>
              <w:rPr>
                <w:rFonts w:hint="default" w:ascii="Times New Roman" w:hAnsi="Times New Roman" w:eastAsia="宋体" w:cs="Times New Roman"/>
                <w:color w:val="auto"/>
                <w:szCs w:val="21"/>
                <w:lang w:val="en-US" w:eastAsia="zh-CN"/>
              </w:rPr>
              <w:t>《大气污染物综合排放标准》（GB16297-1996）无组织排放监控浓度限值。</w:t>
            </w:r>
          </w:p>
        </w:tc>
      </w:tr>
      <w:tr w14:paraId="3E11F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noWrap w:val="0"/>
            <w:vAlign w:val="center"/>
          </w:tcPr>
          <w:p w14:paraId="637CE7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2115" w:type="dxa"/>
            <w:noWrap w:val="0"/>
            <w:vAlign w:val="center"/>
          </w:tcPr>
          <w:p w14:paraId="370D89DA">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腻子粉生产线包装粉尘</w:t>
            </w:r>
          </w:p>
        </w:tc>
        <w:tc>
          <w:tcPr>
            <w:tcW w:w="1230" w:type="dxa"/>
            <w:noWrap w:val="0"/>
            <w:vAlign w:val="center"/>
          </w:tcPr>
          <w:p w14:paraId="5222B52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颗粒物</w:t>
            </w:r>
          </w:p>
        </w:tc>
        <w:tc>
          <w:tcPr>
            <w:tcW w:w="2492" w:type="dxa"/>
            <w:noWrap w:val="0"/>
            <w:vAlign w:val="center"/>
          </w:tcPr>
          <w:p w14:paraId="46D460B9">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kern w:val="0"/>
                <w:szCs w:val="21"/>
                <w:lang w:val="en-US" w:eastAsia="zh-CN"/>
              </w:rPr>
            </w:pPr>
            <w:r>
              <w:rPr>
                <w:rFonts w:hint="eastAsia" w:cs="Times New Roman"/>
                <w:color w:val="auto"/>
                <w:kern w:val="0"/>
                <w:szCs w:val="21"/>
                <w:lang w:val="en-US" w:eastAsia="zh-CN"/>
              </w:rPr>
              <w:t>采用旋风除尘系统除尘后，在密闭的生产车间内自然沉降后呈无组织排放</w:t>
            </w:r>
          </w:p>
        </w:tc>
        <w:tc>
          <w:tcPr>
            <w:tcW w:w="2027" w:type="dxa"/>
            <w:vMerge w:val="continue"/>
            <w:noWrap w:val="0"/>
            <w:vAlign w:val="center"/>
          </w:tcPr>
          <w:p w14:paraId="788F58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r>
      <w:tr w14:paraId="1AA5C6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noWrap w:val="0"/>
            <w:vAlign w:val="center"/>
          </w:tcPr>
          <w:p w14:paraId="5920AA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2115" w:type="dxa"/>
            <w:noWrap w:val="0"/>
            <w:vAlign w:val="center"/>
          </w:tcPr>
          <w:p w14:paraId="5B568FA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砂壁生产氨挥发</w:t>
            </w:r>
          </w:p>
        </w:tc>
        <w:tc>
          <w:tcPr>
            <w:tcW w:w="1230" w:type="dxa"/>
            <w:noWrap w:val="0"/>
            <w:vAlign w:val="center"/>
          </w:tcPr>
          <w:p w14:paraId="65B2CE8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eastAsia" w:cs="Times New Roman"/>
                <w:color w:val="auto"/>
                <w:szCs w:val="21"/>
                <w:lang w:eastAsia="zh-CN"/>
              </w:rPr>
              <w:t>氨</w:t>
            </w:r>
          </w:p>
        </w:tc>
        <w:tc>
          <w:tcPr>
            <w:tcW w:w="2492" w:type="dxa"/>
            <w:noWrap w:val="0"/>
            <w:vAlign w:val="center"/>
          </w:tcPr>
          <w:p w14:paraId="4218443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zh-CN"/>
              </w:rPr>
              <w:t>加强通风</w:t>
            </w:r>
            <w:r>
              <w:rPr>
                <w:rFonts w:hint="eastAsia" w:cs="Times New Roman"/>
                <w:color w:val="auto"/>
                <w:szCs w:val="21"/>
                <w:lang w:val="zh-CN"/>
              </w:rPr>
              <w:t>、</w:t>
            </w:r>
            <w:r>
              <w:rPr>
                <w:rFonts w:hint="eastAsia" w:cs="Times New Roman"/>
                <w:color w:val="auto"/>
                <w:szCs w:val="21"/>
                <w:lang w:val="en-US" w:eastAsia="zh-CN"/>
              </w:rPr>
              <w:t>自然扩散</w:t>
            </w:r>
          </w:p>
        </w:tc>
        <w:tc>
          <w:tcPr>
            <w:tcW w:w="2027" w:type="dxa"/>
            <w:vMerge w:val="restart"/>
            <w:noWrap w:val="0"/>
            <w:vAlign w:val="center"/>
          </w:tcPr>
          <w:p w14:paraId="0BDDC6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cs="Times New Roman"/>
                <w:color w:val="auto"/>
                <w:szCs w:val="21"/>
                <w:lang w:eastAsia="zh-CN"/>
              </w:rPr>
              <w:t>无组织氨、臭气浓度满足</w:t>
            </w:r>
            <w:r>
              <w:rPr>
                <w:rFonts w:hint="default" w:ascii="Times New Roman" w:hAnsi="Times New Roman" w:eastAsia="宋体" w:cs="Times New Roman"/>
                <w:color w:val="auto"/>
                <w:szCs w:val="21"/>
              </w:rPr>
              <w:t>《恶臭污染物排放标准》（GB14554-93）中</w:t>
            </w:r>
            <w:r>
              <w:rPr>
                <w:rFonts w:hint="default" w:ascii="Times New Roman" w:hAnsi="Times New Roman" w:eastAsia="宋体" w:cs="Times New Roman"/>
                <w:color w:val="auto"/>
                <w:szCs w:val="21"/>
                <w:lang w:val="en-US" w:eastAsia="zh-CN"/>
              </w:rPr>
              <w:t>表1</w:t>
            </w:r>
            <w:r>
              <w:rPr>
                <w:rFonts w:hint="default" w:ascii="Times New Roman" w:hAnsi="Times New Roman" w:eastAsia="宋体" w:cs="Times New Roman"/>
                <w:color w:val="auto"/>
                <w:szCs w:val="21"/>
                <w:lang w:eastAsia="zh-CN"/>
              </w:rPr>
              <w:t>二级标准</w:t>
            </w:r>
          </w:p>
        </w:tc>
      </w:tr>
      <w:tr w14:paraId="4A0BF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noWrap w:val="0"/>
            <w:vAlign w:val="center"/>
          </w:tcPr>
          <w:p w14:paraId="29E96E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2115" w:type="dxa"/>
            <w:noWrap w:val="0"/>
            <w:vAlign w:val="center"/>
          </w:tcPr>
          <w:p w14:paraId="202051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污水处理系统</w:t>
            </w:r>
          </w:p>
        </w:tc>
        <w:tc>
          <w:tcPr>
            <w:tcW w:w="1230" w:type="dxa"/>
            <w:noWrap w:val="0"/>
            <w:vAlign w:val="center"/>
          </w:tcPr>
          <w:p w14:paraId="2B07134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臭气浓度</w:t>
            </w:r>
          </w:p>
        </w:tc>
        <w:tc>
          <w:tcPr>
            <w:tcW w:w="2492" w:type="dxa"/>
            <w:noWrap w:val="0"/>
            <w:vAlign w:val="center"/>
          </w:tcPr>
          <w:p w14:paraId="44F818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位置开阔、自然扩散</w:t>
            </w:r>
          </w:p>
        </w:tc>
        <w:tc>
          <w:tcPr>
            <w:tcW w:w="2027" w:type="dxa"/>
            <w:vMerge w:val="continue"/>
            <w:noWrap w:val="0"/>
            <w:vAlign w:val="center"/>
          </w:tcPr>
          <w:p w14:paraId="31692E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r>
      <w:tr w14:paraId="7B1C0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noWrap w:val="0"/>
            <w:vAlign w:val="center"/>
          </w:tcPr>
          <w:p w14:paraId="795E63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2115" w:type="dxa"/>
            <w:noWrap w:val="0"/>
            <w:vAlign w:val="center"/>
          </w:tcPr>
          <w:p w14:paraId="7C52F53D">
            <w:pPr>
              <w:keepNext w:val="0"/>
              <w:keepLines w:val="0"/>
              <w:suppressLineNumbers w:val="0"/>
              <w:adjustRightInd w:val="0"/>
              <w:snapToGrid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食堂油烟</w:t>
            </w:r>
          </w:p>
        </w:tc>
        <w:tc>
          <w:tcPr>
            <w:tcW w:w="1230" w:type="dxa"/>
            <w:noWrap w:val="0"/>
            <w:vAlign w:val="center"/>
          </w:tcPr>
          <w:p w14:paraId="1196E35D">
            <w:pPr>
              <w:keepNext w:val="0"/>
              <w:keepLines w:val="0"/>
              <w:suppressLineNumbers w:val="0"/>
              <w:adjustRightInd w:val="0"/>
              <w:snapToGrid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油烟</w:t>
            </w:r>
          </w:p>
        </w:tc>
        <w:tc>
          <w:tcPr>
            <w:tcW w:w="2492" w:type="dxa"/>
            <w:noWrap w:val="0"/>
            <w:vAlign w:val="center"/>
          </w:tcPr>
          <w:p w14:paraId="1B377AEB">
            <w:pPr>
              <w:keepNext w:val="0"/>
              <w:keepLines w:val="0"/>
              <w:suppressLineNumbers w:val="0"/>
              <w:adjustRightInd w:val="0"/>
              <w:snapToGrid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油烟净化器处理</w:t>
            </w:r>
          </w:p>
        </w:tc>
        <w:tc>
          <w:tcPr>
            <w:tcW w:w="2027" w:type="dxa"/>
            <w:noWrap w:val="0"/>
            <w:vAlign w:val="center"/>
          </w:tcPr>
          <w:p w14:paraId="6196294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《饮食业油烟排放标准》（GB18483-2001）小型标准</w:t>
            </w:r>
            <w:r>
              <w:rPr>
                <w:rFonts w:hint="eastAsia" w:cs="Times New Roman"/>
                <w:color w:val="auto"/>
                <w:szCs w:val="21"/>
                <w:lang w:val="en-US" w:eastAsia="zh-CN"/>
              </w:rPr>
              <w:t xml:space="preserve">浓度 </w:t>
            </w:r>
            <w:r>
              <w:rPr>
                <w:rFonts w:hint="default" w:ascii="Times New Roman" w:hAnsi="Times New Roman" w:eastAsia="宋体" w:cs="Times New Roman"/>
                <w:b w:val="0"/>
                <w:bCs w:val="0"/>
                <w:color w:val="auto"/>
                <w:kern w:val="2"/>
                <w:sz w:val="21"/>
                <w:szCs w:val="21"/>
              </w:rPr>
              <w:t>2.0mg/m</w:t>
            </w:r>
            <w:r>
              <w:rPr>
                <w:rFonts w:hint="default" w:ascii="Times New Roman" w:hAnsi="Times New Roman" w:eastAsia="宋体" w:cs="Times New Roman"/>
                <w:b w:val="0"/>
                <w:bCs w:val="0"/>
                <w:color w:val="auto"/>
                <w:kern w:val="2"/>
                <w:sz w:val="21"/>
                <w:szCs w:val="21"/>
                <w:vertAlign w:val="superscript"/>
              </w:rPr>
              <w:t>3</w:t>
            </w:r>
          </w:p>
        </w:tc>
      </w:tr>
      <w:tr w14:paraId="05879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600FD9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地表水环境</w:t>
            </w:r>
          </w:p>
        </w:tc>
        <w:tc>
          <w:tcPr>
            <w:tcW w:w="2115" w:type="dxa"/>
            <w:noWrap w:val="0"/>
            <w:vAlign w:val="center"/>
          </w:tcPr>
          <w:p w14:paraId="2044F7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污水处理系统出口</w:t>
            </w:r>
          </w:p>
        </w:tc>
        <w:tc>
          <w:tcPr>
            <w:tcW w:w="1230" w:type="dxa"/>
            <w:noWrap w:val="0"/>
            <w:vAlign w:val="center"/>
          </w:tcPr>
          <w:p w14:paraId="30735B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Ph、化学需氧量、五日生化需氧量、悬浮物、氨氮、总磷、总有机碳、石油类、动植物油</w:t>
            </w:r>
          </w:p>
        </w:tc>
        <w:tc>
          <w:tcPr>
            <w:tcW w:w="2492" w:type="dxa"/>
            <w:noWrap w:val="0"/>
            <w:vAlign w:val="center"/>
          </w:tcPr>
          <w:p w14:paraId="25130E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生活污水经隔油池、化粪池预处理后同沉淀池沉淀的生产废气一并进入自建污水处理系统，处理达标后进入园区污水管网，最终进入哨箐</w:t>
            </w:r>
            <w:r>
              <w:rPr>
                <w:rFonts w:hint="eastAsia" w:cs="Times New Roman"/>
                <w:color w:val="auto"/>
                <w:szCs w:val="21"/>
                <w:lang w:val="en-US" w:eastAsia="zh-CN"/>
              </w:rPr>
              <w:t>产业园</w:t>
            </w:r>
            <w:r>
              <w:rPr>
                <w:rFonts w:hint="eastAsia" w:cs="Times New Roman"/>
                <w:color w:val="auto"/>
                <w:szCs w:val="21"/>
                <w:lang w:eastAsia="zh-CN"/>
              </w:rPr>
              <w:t>污水处理厂。</w:t>
            </w:r>
          </w:p>
        </w:tc>
        <w:tc>
          <w:tcPr>
            <w:tcW w:w="2027" w:type="dxa"/>
            <w:noWrap w:val="0"/>
            <w:vAlign w:val="center"/>
          </w:tcPr>
          <w:p w14:paraId="3F16B2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《污水排入城镇下水道水质标准》（GB/T31962-2015）表1 中 A 等级标准</w:t>
            </w:r>
          </w:p>
        </w:tc>
      </w:tr>
      <w:tr w14:paraId="1DB29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7CA59A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2115" w:type="dxa"/>
            <w:noWrap w:val="0"/>
            <w:vAlign w:val="center"/>
          </w:tcPr>
          <w:p w14:paraId="2E4F81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生产设备噪声</w:t>
            </w:r>
          </w:p>
        </w:tc>
        <w:tc>
          <w:tcPr>
            <w:tcW w:w="1230" w:type="dxa"/>
            <w:noWrap w:val="0"/>
            <w:vAlign w:val="center"/>
          </w:tcPr>
          <w:p w14:paraId="71659F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vertAlign w:val="baseline"/>
                <w:lang w:val="en-US" w:eastAsia="zh-CN"/>
              </w:rPr>
              <w:t>Leq（A）</w:t>
            </w:r>
          </w:p>
        </w:tc>
        <w:tc>
          <w:tcPr>
            <w:tcW w:w="2492" w:type="dxa"/>
            <w:noWrap w:val="0"/>
            <w:vAlign w:val="center"/>
          </w:tcPr>
          <w:p w14:paraId="218CC3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优先选用先进低噪声设备；主要产噪设备安装减震垫；加强设备管理与维护等措施</w:t>
            </w:r>
          </w:p>
        </w:tc>
        <w:tc>
          <w:tcPr>
            <w:tcW w:w="2027" w:type="dxa"/>
            <w:noWrap w:val="0"/>
            <w:vAlign w:val="center"/>
          </w:tcPr>
          <w:p w14:paraId="5C588D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《工业企业厂界环境噪声排放标准》（GB12348-2008）中的</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类</w:t>
            </w:r>
          </w:p>
        </w:tc>
      </w:tr>
      <w:tr w14:paraId="12D6F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6FE300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电磁辐射</w:t>
            </w:r>
          </w:p>
        </w:tc>
        <w:tc>
          <w:tcPr>
            <w:tcW w:w="2115" w:type="dxa"/>
            <w:noWrap w:val="0"/>
            <w:vAlign w:val="center"/>
          </w:tcPr>
          <w:p w14:paraId="4CD03E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230" w:type="dxa"/>
            <w:noWrap w:val="0"/>
            <w:vAlign w:val="center"/>
          </w:tcPr>
          <w:p w14:paraId="572259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2492" w:type="dxa"/>
            <w:noWrap w:val="0"/>
            <w:vAlign w:val="center"/>
          </w:tcPr>
          <w:p w14:paraId="4922C6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2027" w:type="dxa"/>
            <w:noWrap w:val="0"/>
            <w:vAlign w:val="center"/>
          </w:tcPr>
          <w:p w14:paraId="40A21E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r>
      <w:tr w14:paraId="2D31C7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05B279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固体废物</w:t>
            </w:r>
          </w:p>
        </w:tc>
        <w:tc>
          <w:tcPr>
            <w:tcW w:w="7864" w:type="dxa"/>
            <w:gridSpan w:val="4"/>
            <w:noWrap w:val="0"/>
            <w:vAlign w:val="center"/>
          </w:tcPr>
          <w:p w14:paraId="51316E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 w:val="21"/>
                <w:szCs w:val="21"/>
                <w:lang w:val="en-US" w:eastAsia="zh-CN"/>
              </w:rPr>
              <w:t>项目运营过程中固体废弃物包括一般固体废物及危险固体废物。一般固体废物包括：水过滤材料，除尘器粉尘、废包装材料、污水处理系统污泥、生活垃圾、餐厨固废。其中水过滤材料经收集后外售废品回收站，除尘器粉尘收集后回用到生产，废包装材料收集后外售废品回收站、污水处理系统污泥委托</w:t>
            </w:r>
            <w:r>
              <w:rPr>
                <w:rFonts w:hint="eastAsia" w:cs="Times New Roman"/>
                <w:color w:val="auto"/>
                <w:sz w:val="21"/>
                <w:szCs w:val="21"/>
                <w:lang w:val="en-US" w:eastAsia="zh-CN"/>
              </w:rPr>
              <w:t>富名翔盛废物旧资收购点</w:t>
            </w:r>
            <w:r>
              <w:rPr>
                <w:rFonts w:hint="default" w:ascii="Times New Roman" w:hAnsi="Times New Roman" w:eastAsia="宋体" w:cs="Times New Roman"/>
                <w:color w:val="auto"/>
                <w:sz w:val="21"/>
                <w:szCs w:val="21"/>
                <w:lang w:val="en-US" w:eastAsia="zh-CN"/>
              </w:rPr>
              <w:t>清运处置，生活垃圾经垃圾桶收集后委托环卫部门清运处置，餐厨固废收集后委托有资质单位清运处置</w:t>
            </w:r>
            <w:r>
              <w:rPr>
                <w:rFonts w:hint="eastAsia" w:cs="Times New Roman"/>
                <w:color w:val="auto"/>
                <w:sz w:val="21"/>
                <w:szCs w:val="21"/>
                <w:lang w:val="en-US" w:eastAsia="zh-CN"/>
              </w:rPr>
              <w:t>；危险废物主要包含废活性炭、废UV灯管、废矿物油、沾染有机溶剂的废包装材料等，均收集到危废暂存间内，委托有资质单位清运处置</w:t>
            </w:r>
            <w:r>
              <w:rPr>
                <w:rFonts w:hint="default" w:ascii="Times New Roman" w:hAnsi="Times New Roman" w:eastAsia="宋体" w:cs="Times New Roman"/>
                <w:color w:val="auto"/>
                <w:sz w:val="21"/>
                <w:szCs w:val="21"/>
                <w:lang w:val="en-US" w:eastAsia="zh-CN"/>
              </w:rPr>
              <w:t>。</w:t>
            </w:r>
          </w:p>
        </w:tc>
      </w:tr>
      <w:tr w14:paraId="37BFA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0981C2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土壤及地下水</w:t>
            </w:r>
          </w:p>
          <w:p w14:paraId="17EC97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污染防治措施</w:t>
            </w:r>
          </w:p>
        </w:tc>
        <w:tc>
          <w:tcPr>
            <w:tcW w:w="7864" w:type="dxa"/>
            <w:gridSpan w:val="4"/>
            <w:noWrap w:val="0"/>
            <w:vAlign w:val="center"/>
          </w:tcPr>
          <w:p w14:paraId="36EF6907">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val="en-US" w:eastAsia="zh-CN"/>
              </w:rPr>
              <w:t>①危险废物暂存间</w:t>
            </w:r>
            <w:r>
              <w:rPr>
                <w:rFonts w:hint="eastAsia" w:cs="Times New Roman"/>
                <w:color w:val="auto"/>
                <w:sz w:val="21"/>
                <w:szCs w:val="21"/>
                <w:lang w:val="en-US" w:eastAsia="zh-CN"/>
              </w:rPr>
              <w:t>、甲类仓库</w:t>
            </w:r>
            <w:r>
              <w:rPr>
                <w:rFonts w:hint="default" w:ascii="Times New Roman" w:hAnsi="Times New Roman" w:eastAsia="宋体" w:cs="Times New Roman"/>
                <w:color w:val="auto"/>
                <w:sz w:val="21"/>
                <w:szCs w:val="21"/>
                <w:lang w:val="en-US" w:eastAsia="zh-CN"/>
              </w:rPr>
              <w:t>按照《危险废物贮存污染控制标准》（GB18597-2001）的相关要求，进行重点防渗，危废暂存间采用抗渗混凝土+3mm环氧树脂等进行防渗，渗透系数K≤1.0×10</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lang w:val="en-US" w:eastAsia="zh-CN"/>
              </w:rPr>
              <w:t>cm/s的要求。生活污水处理设施区域、生产区域、原辅料库区、产品库区等一般防渗区采取铺设2.0mm树脂膜进行防渗，K≤1.0×10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cm/s的要求。简单防渗区采取一般地面硬化措施。</w:t>
            </w:r>
          </w:p>
        </w:tc>
      </w:tr>
      <w:tr w14:paraId="28F1C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1A3935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生态保护措施</w:t>
            </w:r>
          </w:p>
        </w:tc>
        <w:tc>
          <w:tcPr>
            <w:tcW w:w="7864" w:type="dxa"/>
            <w:gridSpan w:val="4"/>
            <w:noWrap w:val="0"/>
            <w:vAlign w:val="center"/>
          </w:tcPr>
          <w:p w14:paraId="61F0DA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75EF1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6182D0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环境风险防范措施</w:t>
            </w:r>
          </w:p>
        </w:tc>
        <w:tc>
          <w:tcPr>
            <w:tcW w:w="7864" w:type="dxa"/>
            <w:gridSpan w:val="4"/>
            <w:noWrap w:val="0"/>
            <w:vAlign w:val="center"/>
          </w:tcPr>
          <w:p w14:paraId="6BEB288E">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企业在严格按照有关规范标准的监控和管理的基础下，严格按照原环评及已备案的突发环境事件应急预案要求，认真落实各项环保设施及应急处置措施，加强风险隐患排查，加强应急演练及培训，项目的环境风险可在接受范围内。</w:t>
            </w:r>
          </w:p>
        </w:tc>
      </w:tr>
      <w:tr w14:paraId="646D6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6AFDE5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其他环境</w:t>
            </w:r>
          </w:p>
          <w:p w14:paraId="568EF1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管理要求</w:t>
            </w:r>
          </w:p>
        </w:tc>
        <w:tc>
          <w:tcPr>
            <w:tcW w:w="7864" w:type="dxa"/>
            <w:gridSpan w:val="4"/>
            <w:noWrap w:val="0"/>
            <w:vAlign w:val="center"/>
          </w:tcPr>
          <w:p w14:paraId="2093FF8D">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①项目的环保设施必须和主体工程同时设计、同时施工、同时投产。</w:t>
            </w:r>
          </w:p>
          <w:p w14:paraId="662E407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②为了加强项目设置的各种环保设施的运行，项目必须制订相关的环保设施管理制度，设置一到两名专、兼职环保人员对各种环保设施的日常管理及维护工作。</w:t>
            </w:r>
          </w:p>
          <w:p w14:paraId="5C7E678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③项目应加环保设施的管理，定期对环保设施进行维护、检修，确保各项环保设施的正常运行，以保证处理效果，使各项污染物能达标排放。</w:t>
            </w:r>
          </w:p>
          <w:p w14:paraId="5570C3CB">
            <w:pPr>
              <w:pStyle w:val="39"/>
              <w:spacing w:line="240" w:lineRule="auto"/>
              <w:ind w:firstLine="0"/>
              <w:jc w:val="both"/>
              <w:rPr>
                <w:rFonts w:hint="default" w:ascii="Times New Roman" w:hAnsi="Times New Roman" w:eastAsia="宋体" w:cs="Times New Roman"/>
                <w:color w:val="auto"/>
                <w:lang w:val="en-US"/>
              </w:rPr>
            </w:pPr>
            <w:r>
              <w:rPr>
                <w:rFonts w:hint="default" w:ascii="Times New Roman" w:hAnsi="Times New Roman" w:eastAsia="宋体" w:cs="Times New Roman"/>
                <w:color w:val="auto"/>
              </w:rPr>
              <w:t>④</w:t>
            </w:r>
            <w:r>
              <w:rPr>
                <w:rFonts w:hint="default" w:ascii="Times New Roman" w:hAnsi="Times New Roman" w:eastAsia="宋体" w:cs="Times New Roman"/>
                <w:color w:val="auto"/>
                <w:lang w:val="en-US"/>
              </w:rPr>
              <w:t>建设单位应在各排污口处设置较明显的排污口标志牌，其上应注明主要排污污染物的名称。建设单位应如实填写《中华人民共和国规范化排污口标志登记证》的有关内容，由环保主管部门签发等级证。建设单位应将有关排污口的情况如：排污口的性质、编号、排污口的位置；主要排放的污染物种类、数量、浓度、排放规律、排放去向；污染治理措施的运行情况等进行建档管理，并报送环保主管部门备案。</w:t>
            </w:r>
          </w:p>
          <w:p w14:paraId="2C65F4A1">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rPr>
              <w:t>⑤</w:t>
            </w:r>
            <w:r>
              <w:rPr>
                <w:rFonts w:hint="eastAsia" w:cs="Times New Roman"/>
                <w:color w:val="auto"/>
                <w:lang w:val="en-US" w:eastAsia="zh-CN"/>
              </w:rPr>
              <w:t>定期对</w:t>
            </w:r>
            <w:r>
              <w:rPr>
                <w:rFonts w:hint="default" w:ascii="Times New Roman" w:hAnsi="Times New Roman" w:eastAsia="宋体" w:cs="Times New Roman"/>
                <w:color w:val="auto"/>
                <w:lang w:val="en-US"/>
              </w:rPr>
              <w:t>《突发环境事件应急预案》</w:t>
            </w:r>
            <w:r>
              <w:rPr>
                <w:rFonts w:hint="eastAsia" w:cs="Times New Roman"/>
                <w:color w:val="auto"/>
                <w:lang w:val="en-US" w:eastAsia="zh-CN"/>
              </w:rPr>
              <w:t>进行修编</w:t>
            </w:r>
            <w:r>
              <w:rPr>
                <w:rFonts w:hint="default" w:ascii="Times New Roman" w:hAnsi="Times New Roman" w:eastAsia="宋体" w:cs="Times New Roman"/>
                <w:color w:val="auto"/>
                <w:lang w:val="en-US"/>
              </w:rPr>
              <w:t>，并报送环保主管部门备案。</w:t>
            </w:r>
          </w:p>
        </w:tc>
      </w:tr>
    </w:tbl>
    <w:p w14:paraId="15556B71">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rPr>
        <w:br w:type="page"/>
      </w:r>
      <w:bookmarkStart w:id="16" w:name="_Toc8062"/>
      <w:r>
        <w:rPr>
          <w:rFonts w:hint="default" w:ascii="Times New Roman" w:hAnsi="Times New Roman" w:eastAsia="宋体" w:cs="Times New Roman"/>
          <w:b/>
          <w:bCs/>
          <w:snapToGrid w:val="0"/>
          <w:color w:val="auto"/>
          <w:sz w:val="30"/>
          <w:szCs w:val="30"/>
        </w:rPr>
        <w:t>六、结论</w:t>
      </w:r>
      <w:bookmarkEnd w:id="16"/>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3867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7F4AFB24">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本项目符合国家产业政策，</w:t>
            </w:r>
            <w:r>
              <w:rPr>
                <w:rFonts w:hint="default" w:ascii="Times New Roman" w:hAnsi="Times New Roman" w:eastAsia="宋体" w:cs="Times New Roman"/>
                <w:color w:val="auto"/>
                <w:sz w:val="24"/>
                <w:szCs w:val="24"/>
                <w:lang w:val="en-US" w:eastAsia="zh-CN"/>
              </w:rPr>
              <w:t>符合相关规划、在采取相关环保措施后，废气、噪</w:t>
            </w:r>
            <w:r>
              <w:rPr>
                <w:rFonts w:hint="default" w:ascii="Times New Roman" w:hAnsi="Times New Roman" w:eastAsia="宋体" w:cs="Times New Roman"/>
                <w:color w:val="auto"/>
                <w:sz w:val="24"/>
                <w:szCs w:val="24"/>
              </w:rPr>
              <w:t>声</w:t>
            </w:r>
            <w:r>
              <w:rPr>
                <w:rFonts w:hint="default" w:ascii="Times New Roman" w:hAnsi="Times New Roman" w:eastAsia="宋体" w:cs="Times New Roman"/>
                <w:color w:val="auto"/>
                <w:sz w:val="24"/>
                <w:szCs w:val="24"/>
                <w:lang w:eastAsia="zh-CN"/>
              </w:rPr>
              <w:t>能</w:t>
            </w:r>
            <w:r>
              <w:rPr>
                <w:rFonts w:hint="default" w:ascii="Times New Roman" w:hAnsi="Times New Roman" w:eastAsia="宋体" w:cs="Times New Roman"/>
                <w:color w:val="auto"/>
                <w:sz w:val="24"/>
                <w:szCs w:val="24"/>
                <w:lang w:val="en-US" w:eastAsia="zh-CN"/>
              </w:rPr>
              <w:t>达标排放，废水不外排，固废得到妥善处置。</w:t>
            </w:r>
            <w:r>
              <w:rPr>
                <w:rFonts w:hint="default" w:ascii="Times New Roman" w:hAnsi="Times New Roman" w:eastAsia="宋体" w:cs="Times New Roman"/>
                <w:color w:val="auto"/>
                <w:sz w:val="24"/>
                <w:szCs w:val="24"/>
              </w:rPr>
              <w:t>项目运营过程中对所在区域的环境质量影响较小，不改变所在区域的环境功能</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建设单位</w:t>
            </w:r>
            <w:r>
              <w:rPr>
                <w:rFonts w:hint="default" w:ascii="Times New Roman" w:hAnsi="Times New Roman" w:eastAsia="宋体" w:cs="Times New Roman"/>
                <w:color w:val="auto"/>
                <w:sz w:val="24"/>
                <w:szCs w:val="24"/>
                <w:lang w:val="en-US" w:eastAsia="zh-CN"/>
              </w:rPr>
              <w:t>需</w:t>
            </w:r>
            <w:r>
              <w:rPr>
                <w:rFonts w:hint="default" w:ascii="Times New Roman" w:hAnsi="Times New Roman" w:eastAsia="宋体" w:cs="Times New Roman"/>
                <w:color w:val="auto"/>
                <w:sz w:val="24"/>
                <w:szCs w:val="24"/>
              </w:rPr>
              <w:t>在今后的运营过程中严格按本环境影响报告表中提出的对策措施</w:t>
            </w:r>
            <w:r>
              <w:rPr>
                <w:rFonts w:hint="default" w:ascii="Times New Roman" w:hAnsi="Times New Roman" w:eastAsia="宋体" w:cs="Times New Roman"/>
                <w:color w:val="auto"/>
                <w:sz w:val="24"/>
                <w:szCs w:val="24"/>
                <w:lang w:eastAsia="zh-CN"/>
              </w:rPr>
              <w:t>执行</w:t>
            </w:r>
            <w:r>
              <w:rPr>
                <w:rFonts w:hint="default" w:ascii="Times New Roman" w:hAnsi="Times New Roman" w:eastAsia="宋体" w:cs="Times New Roman"/>
                <w:color w:val="auto"/>
                <w:sz w:val="24"/>
                <w:szCs w:val="24"/>
              </w:rPr>
              <w:t>，严格执行“三同时”制度，加强企业的环境管理，确保污染物的达标排放。</w:t>
            </w:r>
          </w:p>
          <w:p w14:paraId="2DFAAD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从环境影响角度分析，项目建设在环境上可行。</w:t>
            </w:r>
          </w:p>
          <w:p w14:paraId="1FB6389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p>
        </w:tc>
      </w:tr>
    </w:tbl>
    <w:p w14:paraId="373EE81F">
      <w:pPr>
        <w:pStyle w:val="20"/>
        <w:ind w:left="0" w:leftChars="0" w:firstLine="0" w:firstLineChars="0"/>
        <w:rPr>
          <w:rFonts w:hint="default" w:ascii="Times New Roman" w:hAnsi="Times New Roman" w:eastAsia="宋体" w:cs="Times New Roman"/>
          <w:color w:val="auto"/>
          <w:lang w:val="en-US" w:eastAsia="zh-CN"/>
        </w:rPr>
        <w:sectPr>
          <w:footerReference r:id="rId8" w:type="default"/>
          <w:pgSz w:w="11906" w:h="16838"/>
          <w:pgMar w:top="1701" w:right="1531" w:bottom="1701" w:left="1531" w:header="851" w:footer="851" w:gutter="0"/>
          <w:pgNumType w:fmt="decimal"/>
          <w:cols w:space="720" w:num="1"/>
          <w:docGrid w:linePitch="312" w:charSpace="0"/>
        </w:sectPr>
      </w:pPr>
    </w:p>
    <w:p w14:paraId="5B9A6AC2">
      <w:pPr>
        <w:pStyle w:val="26"/>
        <w:adjustRightInd w:val="0"/>
        <w:snapToGrid w:val="0"/>
        <w:spacing w:before="0" w:beforeAutospacing="0" w:after="0" w:afterAutospacing="0" w:line="240" w:lineRule="auto"/>
        <w:outlineLvl w:val="9"/>
        <w:rPr>
          <w:rFonts w:hint="default" w:ascii="Times New Roman" w:hAnsi="Times New Roman" w:eastAsia="宋体" w:cs="Times New Roman"/>
          <w:snapToGrid w:val="0"/>
          <w:color w:val="auto"/>
          <w:sz w:val="32"/>
          <w:szCs w:val="32"/>
        </w:rPr>
      </w:pPr>
      <w:r>
        <w:rPr>
          <w:rFonts w:hint="default" w:ascii="Times New Roman" w:hAnsi="Times New Roman" w:eastAsia="宋体" w:cs="Times New Roman"/>
          <w:snapToGrid w:val="0"/>
          <w:color w:val="auto"/>
          <w:sz w:val="32"/>
          <w:szCs w:val="32"/>
        </w:rPr>
        <w:t>附表</w:t>
      </w:r>
    </w:p>
    <w:p w14:paraId="59718B5F">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snapToGrid w:val="0"/>
          <w:color w:val="auto"/>
          <w:sz w:val="38"/>
          <w:szCs w:val="38"/>
        </w:rPr>
      </w:pPr>
      <w:bookmarkStart w:id="17" w:name="_Toc32073"/>
      <w:bookmarkStart w:id="18" w:name="_Toc4700"/>
      <w:r>
        <w:rPr>
          <w:rFonts w:hint="default" w:ascii="Times New Roman" w:hAnsi="Times New Roman" w:eastAsia="宋体" w:cs="Times New Roman"/>
          <w:snapToGrid w:val="0"/>
          <w:color w:val="auto"/>
          <w:sz w:val="38"/>
          <w:szCs w:val="38"/>
        </w:rPr>
        <w:t>建设项目污染物排放量汇总表</w:t>
      </w:r>
      <w:bookmarkEnd w:id="17"/>
      <w:bookmarkEnd w:id="18"/>
    </w:p>
    <w:tbl>
      <w:tblPr>
        <w:tblStyle w:val="2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14:paraId="24B74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107D795C">
            <w:pPr>
              <w:pStyle w:val="44"/>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项目</w:t>
            </w:r>
          </w:p>
          <w:p w14:paraId="5DB96DE1">
            <w:pPr>
              <w:pStyle w:val="44"/>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分类</w:t>
            </w:r>
          </w:p>
        </w:tc>
        <w:tc>
          <w:tcPr>
            <w:tcW w:w="1417" w:type="dxa"/>
            <w:noWrap w:val="0"/>
            <w:tcMar>
              <w:left w:w="28" w:type="dxa"/>
              <w:right w:w="28" w:type="dxa"/>
            </w:tcMar>
            <w:vAlign w:val="center"/>
          </w:tcPr>
          <w:p w14:paraId="3135F6B3">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污染物名称</w:t>
            </w:r>
          </w:p>
        </w:tc>
        <w:tc>
          <w:tcPr>
            <w:tcW w:w="1701" w:type="dxa"/>
            <w:noWrap w:val="0"/>
            <w:tcMar>
              <w:left w:w="28" w:type="dxa"/>
              <w:right w:w="28" w:type="dxa"/>
            </w:tcMar>
            <w:vAlign w:val="center"/>
          </w:tcPr>
          <w:p w14:paraId="115C07E2">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w:t>
            </w:r>
          </w:p>
          <w:p w14:paraId="741B702D">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①</w:t>
            </w:r>
            <w:r>
              <w:rPr>
                <w:rFonts w:hint="default" w:ascii="Times New Roman" w:hAnsi="Times New Roman" w:eastAsia="宋体" w:cs="Times New Roman"/>
                <w:snapToGrid w:val="0"/>
                <w:color w:val="auto"/>
                <w:spacing w:val="-6"/>
                <w:kern w:val="21"/>
                <w:szCs w:val="21"/>
              </w:rPr>
              <w:fldChar w:fldCharType="end"/>
            </w:r>
          </w:p>
        </w:tc>
        <w:tc>
          <w:tcPr>
            <w:tcW w:w="1276" w:type="dxa"/>
            <w:noWrap w:val="0"/>
            <w:tcMar>
              <w:left w:w="28" w:type="dxa"/>
              <w:right w:w="28" w:type="dxa"/>
            </w:tcMar>
            <w:vAlign w:val="center"/>
          </w:tcPr>
          <w:p w14:paraId="5CDC749F">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w:t>
            </w:r>
          </w:p>
          <w:p w14:paraId="53C4923F">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许可排放量</w:t>
            </w:r>
          </w:p>
          <w:p w14:paraId="79765788">
            <w:pPr>
              <w:pStyle w:val="44"/>
              <w:keepNext w:val="0"/>
              <w:keepLines w:val="0"/>
              <w:suppressLineNumbers w:val="0"/>
              <w:spacing w:before="0" w:beforeLines="0" w:beforeAutospacing="0" w:after="0" w:afterLines="0" w:afterAutospacing="0"/>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2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snapToGrid w:val="0"/>
                <w:color w:val="auto"/>
                <w:spacing w:val="-6"/>
                <w:kern w:val="21"/>
                <w:szCs w:val="21"/>
              </w:rPr>
              <w:t>②</w:t>
            </w:r>
            <w:r>
              <w:rPr>
                <w:rFonts w:hint="default" w:ascii="Times New Roman" w:hAnsi="Times New Roman" w:eastAsia="宋体" w:cs="Times New Roman"/>
                <w:snapToGrid w:val="0"/>
                <w:color w:val="auto"/>
                <w:spacing w:val="-6"/>
                <w:kern w:val="21"/>
                <w:szCs w:val="21"/>
              </w:rPr>
              <w:fldChar w:fldCharType="end"/>
            </w:r>
          </w:p>
        </w:tc>
        <w:tc>
          <w:tcPr>
            <w:tcW w:w="1701" w:type="dxa"/>
            <w:noWrap w:val="0"/>
            <w:tcMar>
              <w:left w:w="28" w:type="dxa"/>
              <w:right w:w="28" w:type="dxa"/>
            </w:tcMar>
            <w:vAlign w:val="center"/>
          </w:tcPr>
          <w:p w14:paraId="34B6AD88">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在建工程</w:t>
            </w:r>
          </w:p>
          <w:p w14:paraId="1834D300">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③</w:t>
            </w:r>
            <w:r>
              <w:rPr>
                <w:rFonts w:hint="default" w:ascii="Times New Roman" w:hAnsi="Times New Roman" w:eastAsia="宋体" w:cs="Times New Roman"/>
                <w:snapToGrid w:val="0"/>
                <w:color w:val="auto"/>
                <w:spacing w:val="-6"/>
                <w:kern w:val="21"/>
                <w:szCs w:val="21"/>
              </w:rPr>
              <w:fldChar w:fldCharType="end"/>
            </w:r>
          </w:p>
        </w:tc>
        <w:tc>
          <w:tcPr>
            <w:tcW w:w="1559" w:type="dxa"/>
            <w:noWrap w:val="0"/>
            <w:tcMar>
              <w:left w:w="28" w:type="dxa"/>
              <w:right w:w="28" w:type="dxa"/>
            </w:tcMar>
            <w:vAlign w:val="center"/>
          </w:tcPr>
          <w:p w14:paraId="539B9141">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本项目</w:t>
            </w:r>
          </w:p>
          <w:p w14:paraId="2E369976">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④</w:t>
            </w:r>
            <w:r>
              <w:rPr>
                <w:rFonts w:hint="default" w:ascii="Times New Roman" w:hAnsi="Times New Roman" w:eastAsia="宋体" w:cs="Times New Roman"/>
                <w:snapToGrid w:val="0"/>
                <w:color w:val="auto"/>
                <w:spacing w:val="-6"/>
                <w:kern w:val="21"/>
                <w:szCs w:val="21"/>
              </w:rPr>
              <w:fldChar w:fldCharType="end"/>
            </w:r>
          </w:p>
        </w:tc>
        <w:tc>
          <w:tcPr>
            <w:tcW w:w="1761" w:type="dxa"/>
            <w:noWrap w:val="0"/>
            <w:tcMar>
              <w:left w:w="28" w:type="dxa"/>
              <w:right w:w="28" w:type="dxa"/>
            </w:tcMar>
            <w:vAlign w:val="center"/>
          </w:tcPr>
          <w:p w14:paraId="23A715EC">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以新带老削减量</w:t>
            </w:r>
          </w:p>
          <w:p w14:paraId="12963BDA">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（新建项目不填）</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kern w:val="2"/>
                <w:szCs w:val="21"/>
              </w:rPr>
              <w:t>⑤</w:t>
            </w:r>
            <w:r>
              <w:rPr>
                <w:rFonts w:hint="default" w:ascii="Times New Roman" w:hAnsi="Times New Roman" w:eastAsia="宋体" w:cs="Times New Roman"/>
                <w:snapToGrid w:val="0"/>
                <w:color w:val="auto"/>
                <w:spacing w:val="-16"/>
                <w:kern w:val="21"/>
                <w:szCs w:val="21"/>
              </w:rPr>
              <w:fldChar w:fldCharType="end"/>
            </w:r>
          </w:p>
        </w:tc>
        <w:tc>
          <w:tcPr>
            <w:tcW w:w="1959" w:type="dxa"/>
            <w:noWrap w:val="0"/>
            <w:tcMar>
              <w:left w:w="28" w:type="dxa"/>
              <w:right w:w="28" w:type="dxa"/>
            </w:tcMar>
            <w:vAlign w:val="center"/>
          </w:tcPr>
          <w:p w14:paraId="7CEC1F1E">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本项目建成后</w:t>
            </w:r>
          </w:p>
          <w:p w14:paraId="041D44A2">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全厂排放量（固体废物产生量）</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kern w:val="2"/>
                <w:szCs w:val="21"/>
              </w:rPr>
              <w:t>⑥</w:t>
            </w:r>
            <w:r>
              <w:rPr>
                <w:rFonts w:hint="default" w:ascii="Times New Roman" w:hAnsi="Times New Roman" w:eastAsia="宋体" w:cs="Times New Roman"/>
                <w:snapToGrid w:val="0"/>
                <w:color w:val="auto"/>
                <w:spacing w:val="-16"/>
                <w:kern w:val="21"/>
                <w:szCs w:val="21"/>
              </w:rPr>
              <w:fldChar w:fldCharType="end"/>
            </w:r>
          </w:p>
        </w:tc>
        <w:tc>
          <w:tcPr>
            <w:tcW w:w="826" w:type="dxa"/>
            <w:noWrap w:val="0"/>
            <w:tcMar>
              <w:left w:w="28" w:type="dxa"/>
              <w:right w:w="28" w:type="dxa"/>
            </w:tcMar>
            <w:vAlign w:val="center"/>
          </w:tcPr>
          <w:p w14:paraId="4C9F0088">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变化量</w:t>
            </w:r>
          </w:p>
          <w:p w14:paraId="0F81DE5A">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⑦</w:t>
            </w:r>
            <w:r>
              <w:rPr>
                <w:rFonts w:hint="default" w:ascii="Times New Roman" w:hAnsi="Times New Roman" w:eastAsia="宋体" w:cs="Times New Roman"/>
                <w:snapToGrid w:val="0"/>
                <w:color w:val="auto"/>
                <w:spacing w:val="-6"/>
                <w:kern w:val="21"/>
                <w:szCs w:val="21"/>
              </w:rPr>
              <w:fldChar w:fldCharType="end"/>
            </w:r>
          </w:p>
        </w:tc>
      </w:tr>
      <w:tr w14:paraId="2F9AEA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2C36B9BE">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废气</w:t>
            </w:r>
          </w:p>
        </w:tc>
        <w:tc>
          <w:tcPr>
            <w:tcW w:w="1417" w:type="dxa"/>
            <w:noWrap w:val="0"/>
            <w:vAlign w:val="center"/>
          </w:tcPr>
          <w:p w14:paraId="5ACAF587">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eastAsia="zh-CN"/>
              </w:rPr>
            </w:pPr>
            <w:r>
              <w:rPr>
                <w:rFonts w:hint="default" w:ascii="Times New Roman" w:hAnsi="Times New Roman" w:eastAsia="宋体" w:cs="Times New Roman"/>
                <w:snapToGrid w:val="0"/>
                <w:color w:val="auto"/>
                <w:kern w:val="21"/>
                <w:szCs w:val="21"/>
                <w:lang w:eastAsia="zh-CN"/>
              </w:rPr>
              <w:t>颗粒物</w:t>
            </w:r>
          </w:p>
        </w:tc>
        <w:tc>
          <w:tcPr>
            <w:tcW w:w="1701" w:type="dxa"/>
            <w:noWrap w:val="0"/>
            <w:vAlign w:val="center"/>
          </w:tcPr>
          <w:p w14:paraId="25C313AB">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0.71</w:t>
            </w:r>
          </w:p>
        </w:tc>
        <w:tc>
          <w:tcPr>
            <w:tcW w:w="1276" w:type="dxa"/>
            <w:noWrap w:val="0"/>
            <w:vAlign w:val="center"/>
          </w:tcPr>
          <w:p w14:paraId="0DD02544">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3859D122">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0DC8E693">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val="en-US"/>
              </w:rPr>
            </w:pPr>
            <w:r>
              <w:rPr>
                <w:rFonts w:hint="eastAsia" w:ascii="Times New Roman" w:cs="Times New Roman"/>
                <w:color w:val="auto"/>
                <w:lang w:val="en-US" w:eastAsia="zh-CN"/>
              </w:rPr>
              <w:t>6.851</w:t>
            </w:r>
          </w:p>
        </w:tc>
        <w:tc>
          <w:tcPr>
            <w:tcW w:w="1761" w:type="dxa"/>
            <w:noWrap w:val="0"/>
            <w:vAlign w:val="center"/>
          </w:tcPr>
          <w:p w14:paraId="2E972FA4">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14EDA500">
            <w:pPr>
              <w:pStyle w:val="44"/>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3.9766</w:t>
            </w:r>
          </w:p>
        </w:tc>
        <w:tc>
          <w:tcPr>
            <w:tcW w:w="826" w:type="dxa"/>
            <w:noWrap w:val="0"/>
            <w:vAlign w:val="center"/>
          </w:tcPr>
          <w:p w14:paraId="5CEC527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r>
      <w:tr w14:paraId="7D2FBB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2B6509D">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18930A85">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bCs/>
                <w:color w:val="auto"/>
                <w:kern w:val="0"/>
                <w:sz w:val="18"/>
                <w:szCs w:val="18"/>
                <w:lang w:val="en-US" w:eastAsia="zh-CN"/>
              </w:rPr>
              <w:t>VOCs</w:t>
            </w:r>
          </w:p>
        </w:tc>
        <w:tc>
          <w:tcPr>
            <w:tcW w:w="1701" w:type="dxa"/>
            <w:noWrap w:val="0"/>
            <w:vAlign w:val="center"/>
          </w:tcPr>
          <w:p w14:paraId="007A393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0.024</w:t>
            </w:r>
          </w:p>
        </w:tc>
        <w:tc>
          <w:tcPr>
            <w:tcW w:w="1276" w:type="dxa"/>
            <w:noWrap w:val="0"/>
            <w:vAlign w:val="center"/>
          </w:tcPr>
          <w:p w14:paraId="7F6DEAD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600F1DA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7979D928">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0.127</w:t>
            </w:r>
          </w:p>
        </w:tc>
        <w:tc>
          <w:tcPr>
            <w:tcW w:w="1761" w:type="dxa"/>
            <w:noWrap w:val="0"/>
            <w:vAlign w:val="center"/>
          </w:tcPr>
          <w:p w14:paraId="0C7A3B1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07E2504D">
            <w:pPr>
              <w:pStyle w:val="44"/>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0.168</w:t>
            </w:r>
          </w:p>
        </w:tc>
        <w:tc>
          <w:tcPr>
            <w:tcW w:w="826" w:type="dxa"/>
            <w:noWrap w:val="0"/>
            <w:vAlign w:val="center"/>
          </w:tcPr>
          <w:p w14:paraId="7154E20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1B51F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7F9A996">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37E3BCF9">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Cs/>
                <w:color w:val="auto"/>
                <w:kern w:val="0"/>
                <w:sz w:val="18"/>
                <w:szCs w:val="18"/>
                <w:lang w:val="en-US" w:eastAsia="zh-CN"/>
              </w:rPr>
            </w:pPr>
            <w:r>
              <w:rPr>
                <w:rFonts w:hint="eastAsia" w:ascii="Times New Roman" w:cs="Times New Roman"/>
                <w:bCs/>
                <w:color w:val="auto"/>
                <w:kern w:val="0"/>
                <w:sz w:val="18"/>
                <w:szCs w:val="18"/>
                <w:lang w:val="en-US" w:eastAsia="zh-CN"/>
              </w:rPr>
              <w:t>氨</w:t>
            </w:r>
          </w:p>
        </w:tc>
        <w:tc>
          <w:tcPr>
            <w:tcW w:w="1701" w:type="dxa"/>
            <w:noWrap w:val="0"/>
            <w:vAlign w:val="center"/>
          </w:tcPr>
          <w:p w14:paraId="453B489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0.14</w:t>
            </w:r>
          </w:p>
        </w:tc>
        <w:tc>
          <w:tcPr>
            <w:tcW w:w="1276" w:type="dxa"/>
            <w:noWrap w:val="0"/>
            <w:vAlign w:val="center"/>
          </w:tcPr>
          <w:p w14:paraId="7C5D999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p>
        </w:tc>
        <w:tc>
          <w:tcPr>
            <w:tcW w:w="1701" w:type="dxa"/>
            <w:noWrap w:val="0"/>
            <w:vAlign w:val="center"/>
          </w:tcPr>
          <w:p w14:paraId="684F3E8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p>
        </w:tc>
        <w:tc>
          <w:tcPr>
            <w:tcW w:w="1559" w:type="dxa"/>
            <w:noWrap w:val="0"/>
            <w:vAlign w:val="center"/>
          </w:tcPr>
          <w:p w14:paraId="4EEC978B">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0.175</w:t>
            </w:r>
          </w:p>
        </w:tc>
        <w:tc>
          <w:tcPr>
            <w:tcW w:w="1761" w:type="dxa"/>
            <w:noWrap w:val="0"/>
            <w:vAlign w:val="center"/>
          </w:tcPr>
          <w:p w14:paraId="2A6C82D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p>
        </w:tc>
        <w:tc>
          <w:tcPr>
            <w:tcW w:w="1959" w:type="dxa"/>
            <w:noWrap w:val="0"/>
            <w:vAlign w:val="center"/>
          </w:tcPr>
          <w:p w14:paraId="42BAAF7A">
            <w:pPr>
              <w:pStyle w:val="44"/>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0.175</w:t>
            </w:r>
          </w:p>
        </w:tc>
        <w:tc>
          <w:tcPr>
            <w:tcW w:w="826" w:type="dxa"/>
            <w:noWrap w:val="0"/>
            <w:vAlign w:val="center"/>
          </w:tcPr>
          <w:p w14:paraId="60E3BF1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59715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588" w:type="dxa"/>
            <w:vMerge w:val="restart"/>
            <w:noWrap w:val="0"/>
            <w:vAlign w:val="center"/>
          </w:tcPr>
          <w:p w14:paraId="4FBE03E9">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废水</w:t>
            </w:r>
          </w:p>
        </w:tc>
        <w:tc>
          <w:tcPr>
            <w:tcW w:w="1417" w:type="dxa"/>
            <w:noWrap w:val="0"/>
            <w:vAlign w:val="center"/>
          </w:tcPr>
          <w:p w14:paraId="5FF67E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color w:val="auto"/>
                <w:sz w:val="21"/>
                <w:szCs w:val="21"/>
                <w:highlight w:val="none"/>
                <w:lang w:val="en-US" w:eastAsia="zh-CN"/>
              </w:rPr>
              <w:t>COD</w:t>
            </w:r>
          </w:p>
        </w:tc>
        <w:tc>
          <w:tcPr>
            <w:tcW w:w="1701" w:type="dxa"/>
            <w:noWrap w:val="0"/>
            <w:vAlign w:val="center"/>
          </w:tcPr>
          <w:p w14:paraId="24F8066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276" w:type="dxa"/>
            <w:noWrap w:val="0"/>
            <w:vAlign w:val="center"/>
          </w:tcPr>
          <w:p w14:paraId="7E8408A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51C7F18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358D76D0">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761" w:type="dxa"/>
            <w:noWrap w:val="0"/>
            <w:vAlign w:val="center"/>
          </w:tcPr>
          <w:p w14:paraId="57BF755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2987BB7B">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826" w:type="dxa"/>
            <w:noWrap w:val="0"/>
            <w:vAlign w:val="center"/>
          </w:tcPr>
          <w:p w14:paraId="6F100B6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r>
      <w:tr w14:paraId="34AE8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588" w:type="dxa"/>
            <w:vMerge w:val="continue"/>
            <w:noWrap w:val="0"/>
            <w:vAlign w:val="center"/>
          </w:tcPr>
          <w:p w14:paraId="7EBB16AD">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7D2FC8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701" w:type="dxa"/>
            <w:noWrap w:val="0"/>
            <w:vAlign w:val="center"/>
          </w:tcPr>
          <w:p w14:paraId="4EC94A90">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276" w:type="dxa"/>
            <w:noWrap w:val="0"/>
            <w:vAlign w:val="center"/>
          </w:tcPr>
          <w:p w14:paraId="31547FF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75B8B6E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3CCF26AA">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61" w:type="dxa"/>
            <w:noWrap w:val="0"/>
            <w:vAlign w:val="center"/>
          </w:tcPr>
          <w:p w14:paraId="590D36B0">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7B563ADA">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826" w:type="dxa"/>
            <w:noWrap w:val="0"/>
            <w:vAlign w:val="center"/>
          </w:tcPr>
          <w:p w14:paraId="0AFEAC8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5F717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7FAF3629">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一般工业</w:t>
            </w:r>
          </w:p>
          <w:p w14:paraId="13BB7DF7">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固体废物</w:t>
            </w:r>
          </w:p>
        </w:tc>
        <w:tc>
          <w:tcPr>
            <w:tcW w:w="1417" w:type="dxa"/>
            <w:noWrap w:val="0"/>
            <w:vAlign w:val="center"/>
          </w:tcPr>
          <w:p w14:paraId="0492B9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color w:val="auto"/>
                <w:sz w:val="21"/>
              </w:rPr>
              <w:t>水过滤材料、废抹布</w:t>
            </w:r>
          </w:p>
        </w:tc>
        <w:tc>
          <w:tcPr>
            <w:tcW w:w="1701" w:type="dxa"/>
            <w:noWrap w:val="0"/>
            <w:vAlign w:val="center"/>
          </w:tcPr>
          <w:p w14:paraId="536D47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color w:val="auto"/>
                <w:sz w:val="21"/>
              </w:rPr>
              <w:t>2.2</w:t>
            </w:r>
          </w:p>
        </w:tc>
        <w:tc>
          <w:tcPr>
            <w:tcW w:w="1276" w:type="dxa"/>
            <w:noWrap w:val="0"/>
            <w:vAlign w:val="center"/>
          </w:tcPr>
          <w:p w14:paraId="178FB85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59E617A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49947ED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2.5</w:t>
            </w:r>
          </w:p>
        </w:tc>
        <w:tc>
          <w:tcPr>
            <w:tcW w:w="1761" w:type="dxa"/>
            <w:noWrap w:val="0"/>
            <w:vAlign w:val="center"/>
          </w:tcPr>
          <w:p w14:paraId="19C33DA8">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57A73C27">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2.5</w:t>
            </w:r>
          </w:p>
        </w:tc>
        <w:tc>
          <w:tcPr>
            <w:tcW w:w="826" w:type="dxa"/>
            <w:noWrap w:val="0"/>
            <w:vAlign w:val="center"/>
          </w:tcPr>
          <w:p w14:paraId="600221D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5D918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967CB14">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74CD9BD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Cs w:val="21"/>
                <w:lang w:val="en-US" w:eastAsia="zh-CN"/>
              </w:rPr>
            </w:pPr>
            <w:r>
              <w:rPr>
                <w:rFonts w:hint="eastAsia"/>
                <w:color w:val="auto"/>
                <w:sz w:val="21"/>
                <w:lang w:eastAsia="zh-CN"/>
              </w:rPr>
              <w:t>除尘器粉尘</w:t>
            </w:r>
          </w:p>
        </w:tc>
        <w:tc>
          <w:tcPr>
            <w:tcW w:w="1701" w:type="dxa"/>
            <w:noWrap w:val="0"/>
            <w:vAlign w:val="center"/>
          </w:tcPr>
          <w:p w14:paraId="0F6AB1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rPr>
            </w:pPr>
            <w:r>
              <w:rPr>
                <w:rFonts w:hint="eastAsia" w:ascii="Times New Roman"/>
                <w:color w:val="auto"/>
                <w:sz w:val="21"/>
                <w:lang w:val="en-US" w:eastAsia="zh-CN"/>
              </w:rPr>
              <w:t>4.6</w:t>
            </w:r>
            <w:r>
              <w:rPr>
                <w:rFonts w:hint="default" w:ascii="Times New Roman"/>
                <w:color w:val="auto"/>
                <w:sz w:val="21"/>
              </w:rPr>
              <w:t xml:space="preserve"> </w:t>
            </w:r>
          </w:p>
        </w:tc>
        <w:tc>
          <w:tcPr>
            <w:tcW w:w="1276" w:type="dxa"/>
            <w:noWrap w:val="0"/>
            <w:vAlign w:val="center"/>
          </w:tcPr>
          <w:p w14:paraId="7D7B66A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39DAF460">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347D848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rPr>
            </w:pPr>
            <w:r>
              <w:rPr>
                <w:rFonts w:hint="eastAsia" w:cs="Times New Roman"/>
                <w:snapToGrid w:val="0"/>
                <w:color w:val="auto"/>
                <w:kern w:val="21"/>
                <w:szCs w:val="21"/>
                <w:lang w:val="en-US" w:eastAsia="zh-CN"/>
              </w:rPr>
              <w:t>500.38</w:t>
            </w:r>
          </w:p>
        </w:tc>
        <w:tc>
          <w:tcPr>
            <w:tcW w:w="1761" w:type="dxa"/>
            <w:noWrap w:val="0"/>
            <w:vAlign w:val="center"/>
          </w:tcPr>
          <w:p w14:paraId="467A740A">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7BF23DAF">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rPr>
            </w:pPr>
            <w:r>
              <w:rPr>
                <w:rFonts w:hint="eastAsia" w:cs="Times New Roman"/>
                <w:snapToGrid w:val="0"/>
                <w:color w:val="auto"/>
                <w:kern w:val="21"/>
                <w:szCs w:val="21"/>
                <w:lang w:val="en-US" w:eastAsia="zh-CN"/>
              </w:rPr>
              <w:t>500.38</w:t>
            </w:r>
          </w:p>
        </w:tc>
        <w:tc>
          <w:tcPr>
            <w:tcW w:w="826" w:type="dxa"/>
            <w:noWrap w:val="0"/>
            <w:vAlign w:val="center"/>
          </w:tcPr>
          <w:p w14:paraId="47B44AA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snapToGrid w:val="0"/>
                <w:color w:val="auto"/>
                <w:kern w:val="21"/>
                <w:szCs w:val="21"/>
                <w:lang w:val="en-US" w:eastAsia="zh-CN"/>
              </w:rPr>
              <w:t>/</w:t>
            </w:r>
          </w:p>
        </w:tc>
      </w:tr>
      <w:tr w14:paraId="6B67A9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8481DB0">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55FDDF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color w:val="auto"/>
                <w:sz w:val="21"/>
                <w:lang w:eastAsia="zh-CN"/>
              </w:rPr>
              <w:t>废包装材料</w:t>
            </w:r>
          </w:p>
        </w:tc>
        <w:tc>
          <w:tcPr>
            <w:tcW w:w="1701" w:type="dxa"/>
            <w:noWrap w:val="0"/>
            <w:vAlign w:val="center"/>
          </w:tcPr>
          <w:p w14:paraId="1A1499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eastAsia="Times New Roman"/>
                <w:color w:val="auto"/>
                <w:sz w:val="21"/>
              </w:rPr>
              <w:t xml:space="preserve">6000 </w:t>
            </w:r>
            <w:r>
              <w:rPr>
                <w:rFonts w:hint="default"/>
                <w:color w:val="auto"/>
                <w:sz w:val="21"/>
              </w:rPr>
              <w:t>条</w:t>
            </w:r>
            <w:r>
              <w:rPr>
                <w:rFonts w:hint="default" w:ascii="Times New Roman" w:eastAsia="Times New Roman"/>
                <w:color w:val="auto"/>
                <w:sz w:val="21"/>
              </w:rPr>
              <w:t>/a</w:t>
            </w:r>
          </w:p>
        </w:tc>
        <w:tc>
          <w:tcPr>
            <w:tcW w:w="1276" w:type="dxa"/>
            <w:noWrap w:val="0"/>
            <w:vAlign w:val="center"/>
          </w:tcPr>
          <w:p w14:paraId="679D696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21265F2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4A3C0B9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w:t>
            </w:r>
          </w:p>
        </w:tc>
        <w:tc>
          <w:tcPr>
            <w:tcW w:w="1761" w:type="dxa"/>
            <w:noWrap w:val="0"/>
            <w:vAlign w:val="center"/>
          </w:tcPr>
          <w:p w14:paraId="2994F6B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168172C1">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w:t>
            </w:r>
          </w:p>
        </w:tc>
        <w:tc>
          <w:tcPr>
            <w:tcW w:w="826" w:type="dxa"/>
            <w:noWrap w:val="0"/>
            <w:vAlign w:val="center"/>
          </w:tcPr>
          <w:p w14:paraId="02BA538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7C53B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8118F0D">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3E3553C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color w:val="auto"/>
                <w:sz w:val="21"/>
              </w:rPr>
              <w:t>污水处理系统污</w:t>
            </w:r>
            <w:r>
              <w:rPr>
                <w:rFonts w:hint="default"/>
                <w:color w:val="auto"/>
                <w:w w:val="100"/>
                <w:sz w:val="21"/>
              </w:rPr>
              <w:t>泥</w:t>
            </w:r>
          </w:p>
        </w:tc>
        <w:tc>
          <w:tcPr>
            <w:tcW w:w="1701" w:type="dxa"/>
            <w:noWrap w:val="0"/>
            <w:vAlign w:val="center"/>
          </w:tcPr>
          <w:p w14:paraId="342D9E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color w:val="auto"/>
                <w:szCs w:val="21"/>
                <w:lang w:val="en-US" w:eastAsia="zh-CN"/>
              </w:rPr>
              <w:t>5.4</w:t>
            </w:r>
          </w:p>
        </w:tc>
        <w:tc>
          <w:tcPr>
            <w:tcW w:w="1276" w:type="dxa"/>
            <w:noWrap w:val="0"/>
            <w:vAlign w:val="center"/>
          </w:tcPr>
          <w:p w14:paraId="03533871">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4BE4CE9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750BA2B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12</w:t>
            </w:r>
          </w:p>
        </w:tc>
        <w:tc>
          <w:tcPr>
            <w:tcW w:w="1761" w:type="dxa"/>
            <w:noWrap w:val="0"/>
            <w:vAlign w:val="center"/>
          </w:tcPr>
          <w:p w14:paraId="5C5E1EFA">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6267877F">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12</w:t>
            </w:r>
          </w:p>
        </w:tc>
        <w:tc>
          <w:tcPr>
            <w:tcW w:w="826" w:type="dxa"/>
            <w:noWrap w:val="0"/>
            <w:vAlign w:val="center"/>
          </w:tcPr>
          <w:p w14:paraId="78D8EAF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61FDC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588" w:type="dxa"/>
            <w:vMerge w:val="restart"/>
            <w:noWrap w:val="0"/>
            <w:vAlign w:val="center"/>
          </w:tcPr>
          <w:p w14:paraId="2AE28277">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危险废物</w:t>
            </w:r>
          </w:p>
        </w:tc>
        <w:tc>
          <w:tcPr>
            <w:tcW w:w="1417" w:type="dxa"/>
            <w:noWrap w:val="0"/>
            <w:vAlign w:val="center"/>
          </w:tcPr>
          <w:p w14:paraId="313584F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w:t>
            </w:r>
            <w:r>
              <w:rPr>
                <w:rFonts w:hint="eastAsia" w:cs="Times New Roman"/>
                <w:snapToGrid w:val="0"/>
                <w:color w:val="auto"/>
                <w:kern w:val="21"/>
                <w:szCs w:val="21"/>
                <w:lang w:val="en-US" w:eastAsia="zh-CN"/>
              </w:rPr>
              <w:t>矿物油</w:t>
            </w:r>
          </w:p>
        </w:tc>
        <w:tc>
          <w:tcPr>
            <w:tcW w:w="1701" w:type="dxa"/>
            <w:noWrap w:val="0"/>
            <w:vAlign w:val="center"/>
          </w:tcPr>
          <w:p w14:paraId="5187BAA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rPr>
            </w:pPr>
            <w:r>
              <w:rPr>
                <w:rFonts w:hint="eastAsia" w:cs="Times New Roman"/>
                <w:snapToGrid w:val="0"/>
                <w:color w:val="auto"/>
                <w:kern w:val="21"/>
                <w:szCs w:val="21"/>
                <w:lang w:val="en-US" w:eastAsia="zh-CN"/>
              </w:rPr>
              <w:t>0.5</w:t>
            </w:r>
          </w:p>
        </w:tc>
        <w:tc>
          <w:tcPr>
            <w:tcW w:w="1276" w:type="dxa"/>
            <w:noWrap w:val="0"/>
            <w:vAlign w:val="center"/>
          </w:tcPr>
          <w:p w14:paraId="0FC43E7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73F46EA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3D69C23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snapToGrid w:val="0"/>
                <w:color w:val="auto"/>
                <w:kern w:val="21"/>
                <w:szCs w:val="21"/>
                <w:lang w:val="en-US" w:eastAsia="zh-CN"/>
              </w:rPr>
              <w:t>0.5</w:t>
            </w:r>
          </w:p>
        </w:tc>
        <w:tc>
          <w:tcPr>
            <w:tcW w:w="1761" w:type="dxa"/>
            <w:noWrap w:val="0"/>
            <w:vAlign w:val="center"/>
          </w:tcPr>
          <w:p w14:paraId="0BA3E3A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11F85B8D">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0.5</w:t>
            </w:r>
          </w:p>
        </w:tc>
        <w:tc>
          <w:tcPr>
            <w:tcW w:w="826" w:type="dxa"/>
            <w:noWrap w:val="0"/>
            <w:vAlign w:val="center"/>
          </w:tcPr>
          <w:p w14:paraId="7D1EC00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r>
      <w:tr w14:paraId="7B314A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588" w:type="dxa"/>
            <w:vMerge w:val="continue"/>
            <w:noWrap w:val="0"/>
            <w:vAlign w:val="center"/>
          </w:tcPr>
          <w:p w14:paraId="5E82B231">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654E288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废活性炭</w:t>
            </w:r>
          </w:p>
        </w:tc>
        <w:tc>
          <w:tcPr>
            <w:tcW w:w="1701" w:type="dxa"/>
            <w:noWrap w:val="0"/>
            <w:vAlign w:val="center"/>
          </w:tcPr>
          <w:p w14:paraId="206F0FE1">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276" w:type="dxa"/>
            <w:noWrap w:val="0"/>
            <w:vAlign w:val="center"/>
          </w:tcPr>
          <w:p w14:paraId="576E0D2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2AF9996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6780A01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14.2</w:t>
            </w:r>
          </w:p>
        </w:tc>
        <w:tc>
          <w:tcPr>
            <w:tcW w:w="1761" w:type="dxa"/>
            <w:noWrap w:val="0"/>
            <w:vAlign w:val="center"/>
          </w:tcPr>
          <w:p w14:paraId="1A60661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66A62D1C">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14.2</w:t>
            </w:r>
          </w:p>
        </w:tc>
        <w:tc>
          <w:tcPr>
            <w:tcW w:w="826" w:type="dxa"/>
            <w:noWrap w:val="0"/>
            <w:vAlign w:val="center"/>
          </w:tcPr>
          <w:p w14:paraId="228B58A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3B186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588" w:type="dxa"/>
            <w:vMerge w:val="continue"/>
            <w:noWrap w:val="0"/>
            <w:vAlign w:val="center"/>
          </w:tcPr>
          <w:p w14:paraId="0D665952">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754EC73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废UV灯管</w:t>
            </w:r>
          </w:p>
        </w:tc>
        <w:tc>
          <w:tcPr>
            <w:tcW w:w="1701" w:type="dxa"/>
            <w:noWrap w:val="0"/>
            <w:vAlign w:val="center"/>
          </w:tcPr>
          <w:p w14:paraId="177126F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1276" w:type="dxa"/>
            <w:noWrap w:val="0"/>
            <w:vAlign w:val="center"/>
          </w:tcPr>
          <w:p w14:paraId="3B376848">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369B093A">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0558D54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0.08</w:t>
            </w:r>
          </w:p>
        </w:tc>
        <w:tc>
          <w:tcPr>
            <w:tcW w:w="1761" w:type="dxa"/>
            <w:noWrap w:val="0"/>
            <w:vAlign w:val="center"/>
          </w:tcPr>
          <w:p w14:paraId="3ACD13A1">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2D1D2FBE">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0.08</w:t>
            </w:r>
          </w:p>
        </w:tc>
        <w:tc>
          <w:tcPr>
            <w:tcW w:w="826" w:type="dxa"/>
            <w:noWrap w:val="0"/>
            <w:vAlign w:val="center"/>
          </w:tcPr>
          <w:p w14:paraId="69F4C70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10412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588" w:type="dxa"/>
            <w:vMerge w:val="continue"/>
            <w:noWrap w:val="0"/>
            <w:vAlign w:val="center"/>
          </w:tcPr>
          <w:p w14:paraId="6F15EFD2">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75F99DE5">
            <w:pPr>
              <w:keepNext w:val="0"/>
              <w:keepLines w:val="0"/>
              <w:suppressLineNumbers w:val="0"/>
              <w:spacing w:before="0" w:beforeLines="0" w:beforeAutospacing="0" w:after="0" w:afterLines="0" w:afterAutospacing="0" w:line="240" w:lineRule="auto"/>
              <w:ind w:left="0" w:right="0"/>
              <w:jc w:val="center"/>
              <w:rPr>
                <w:rFonts w:hint="eastAsia" w:cs="Times New Roman"/>
                <w:snapToGrid w:val="0"/>
                <w:color w:val="auto"/>
                <w:kern w:val="21"/>
                <w:szCs w:val="21"/>
                <w:lang w:val="en-US" w:eastAsia="zh-CN"/>
              </w:rPr>
            </w:pPr>
            <w:r>
              <w:rPr>
                <w:rFonts w:hint="eastAsia" w:cs="Times New Roman"/>
                <w:snapToGrid w:val="0"/>
                <w:color w:val="auto"/>
                <w:kern w:val="21"/>
                <w:szCs w:val="21"/>
                <w:lang w:val="en-US" w:eastAsia="zh-CN"/>
              </w:rPr>
              <w:t>沾染有机溶剂的废包装材料</w:t>
            </w:r>
          </w:p>
        </w:tc>
        <w:tc>
          <w:tcPr>
            <w:tcW w:w="1701" w:type="dxa"/>
            <w:noWrap w:val="0"/>
            <w:vAlign w:val="center"/>
          </w:tcPr>
          <w:p w14:paraId="4D8B806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0.1</w:t>
            </w:r>
          </w:p>
        </w:tc>
        <w:tc>
          <w:tcPr>
            <w:tcW w:w="1276" w:type="dxa"/>
            <w:noWrap w:val="0"/>
            <w:vAlign w:val="center"/>
          </w:tcPr>
          <w:p w14:paraId="03819A4F">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2610A42D">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7DFEDAA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0.2</w:t>
            </w:r>
          </w:p>
        </w:tc>
        <w:tc>
          <w:tcPr>
            <w:tcW w:w="1761" w:type="dxa"/>
            <w:noWrap w:val="0"/>
            <w:vAlign w:val="center"/>
          </w:tcPr>
          <w:p w14:paraId="5DDE6AF8">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0EDE5F53">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0.2</w:t>
            </w:r>
          </w:p>
        </w:tc>
        <w:tc>
          <w:tcPr>
            <w:tcW w:w="826" w:type="dxa"/>
            <w:noWrap w:val="0"/>
            <w:vAlign w:val="center"/>
          </w:tcPr>
          <w:p w14:paraId="60538B7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bl>
    <w:p w14:paraId="16DFC85A">
      <w:pPr>
        <w:pStyle w:val="44"/>
        <w:spacing w:before="192" w:beforeLines="80" w:after="24"/>
        <w:jc w:val="left"/>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sectPr>
      <w:footerReference r:id="rId9" w:type="default"/>
      <w:pgSz w:w="16838" w:h="11906" w:orient="landscape"/>
      <w:pgMar w:top="1531" w:right="1701" w:bottom="1531" w:left="1701"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CDDF7">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33193">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923B4">
    <w:pPr>
      <w:pStyle w:val="2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CB5E1">
    <w:pPr>
      <w:pStyle w:val="22"/>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8730E">
    <w:pPr>
      <w:pStyle w:val="2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-68580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91D89">
                          <w:pPr>
                            <w:pStyle w:val="22"/>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9</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4pt;height:144pt;width:144pt;mso-position-horizontal:center;mso-position-horizontal-relative:margin;mso-wrap-style:none;z-index:251660288;mso-width-relative:page;mso-height-relative:page;" filled="f" stroked="f" coordsize="21600,21600" o:gfxdata="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XVUgZ1QAAAAgBAAAPAAAAAAAAAAEAIAAAACIAAABkcnMvZG93bnJldi54bWxQ&#10;SwECFAAUAAAACACHTuJABZb7ejMCAABjBAAADgAAAAAAAAABACAAAAAkAQAAZHJzL2Uyb0RvYy54&#10;bWxQSwUGAAAAAAYABgBZAQAAyQUAAAAA&#10;">
              <v:fill on="f" focussize="0,0"/>
              <v:stroke on="f" weight="0.5pt"/>
              <v:imagedata o:title=""/>
              <o:lock v:ext="edit" aspectratio="f"/>
              <v:textbox inset="0mm,0mm,0mm,0mm" style="mso-fit-shape-to-text:t;">
                <w:txbxContent>
                  <w:p w14:paraId="20891D89">
                    <w:pPr>
                      <w:pStyle w:val="22"/>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9</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BCB81">
    <w:pPr>
      <w:pStyle w:val="22"/>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-68580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041F3">
                          <w:pPr>
                            <w:pStyle w:val="22"/>
                            <w:jc w:val="both"/>
                          </w:pPr>
                          <w:r>
                            <w:rPr>
                              <w:rFonts w:hint="eastAsia" w:ascii="宋体" w:hAnsi="宋体" w:eastAsia="宋体" w:cs="宋体"/>
                              <w:sz w:val="26"/>
                              <w:szCs w:val="26"/>
                            </w:rPr>
                            <w:t>—</w:t>
                          </w:r>
                          <w:r>
                            <w:rPr>
                              <w:rFonts w:hint="eastAsia" w:ascii="宋体" w:hAnsi="宋体" w:eastAsia="宋体" w:cs="宋体"/>
                              <w:sz w:val="26"/>
                              <w:szCs w:val="26"/>
                              <w:lang w:val="en-US" w:eastAsia="zh-CN"/>
                            </w:rPr>
                            <w:t xml:space="preserve"> </w:t>
                          </w:r>
                          <w:r>
                            <w:rPr>
                              <w:rFonts w:hint="eastAsia" w:ascii="宋体" w:hAnsi="宋体" w:eastAsia="宋体" w:cs="宋体"/>
                              <w:sz w:val="26"/>
                              <w:szCs w:val="26"/>
                            </w:rPr>
                            <w:t xml:space="preserve"> </w:t>
                          </w:r>
                          <w:r>
                            <w:rPr>
                              <w:rFonts w:hint="eastAsia" w:ascii="宋体" w:hAnsi="宋体" w:eastAsia="宋体" w:cs="宋体"/>
                              <w:sz w:val="26"/>
                              <w:szCs w:val="26"/>
                            </w:rPr>
                            <w:fldChar w:fldCharType="begin"/>
                          </w:r>
                          <w:r>
                            <w:rPr>
                              <w:rFonts w:hint="eastAsia" w:ascii="宋体" w:hAnsi="宋体" w:eastAsia="宋体" w:cs="宋体"/>
                              <w:sz w:val="26"/>
                              <w:szCs w:val="26"/>
                            </w:rPr>
                            <w:instrText xml:space="preserve"> PAGE  \* MERGEFORMAT </w:instrText>
                          </w:r>
                          <w:r>
                            <w:rPr>
                              <w:rFonts w:hint="eastAsia" w:ascii="宋体" w:hAnsi="宋体" w:eastAsia="宋体" w:cs="宋体"/>
                              <w:sz w:val="26"/>
                              <w:szCs w:val="26"/>
                            </w:rPr>
                            <w:fldChar w:fldCharType="separate"/>
                          </w:r>
                          <w:r>
                            <w:rPr>
                              <w:rFonts w:hint="eastAsia" w:ascii="宋体" w:hAnsi="宋体" w:eastAsia="宋体" w:cs="宋体"/>
                              <w:sz w:val="26"/>
                              <w:szCs w:val="26"/>
                            </w:rPr>
                            <w:t>84</w:t>
                          </w:r>
                          <w:r>
                            <w:rPr>
                              <w:rFonts w:hint="eastAsia" w:ascii="宋体" w:hAnsi="宋体" w:eastAsia="宋体" w:cs="宋体"/>
                              <w:sz w:val="26"/>
                              <w:szCs w:val="26"/>
                            </w:rPr>
                            <w:fldChar w:fldCharType="end"/>
                          </w:r>
                          <w:r>
                            <w:rPr>
                              <w:rFonts w:hint="eastAsia" w:ascii="宋体" w:hAnsi="宋体" w:eastAsia="宋体" w:cs="宋体"/>
                              <w:sz w:val="26"/>
                              <w:szCs w:val="26"/>
                              <w:lang w:val="en-US" w:eastAsia="zh-CN"/>
                            </w:rPr>
                            <w:t xml:space="preserve"> </w:t>
                          </w:r>
                          <w:r>
                            <w:rPr>
                              <w:rFonts w:hint="eastAsia" w:ascii="宋体" w:hAnsi="宋体" w:eastAsia="宋体" w:cs="宋体"/>
                              <w:sz w:val="26"/>
                              <w:szCs w:val="26"/>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4pt;height:144pt;width:144pt;mso-position-horizontal:center;mso-position-horizontal-relative:margin;mso-wrap-style:none;z-index:251659264;mso-width-relative:page;mso-height-relative:page;" filled="f" stroked="f" coordsize="21600,21600" o:gfxdata="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1VIGdUAAAAIAQAADwAAAAAAAAABACAAAAAiAAAAZHJzL2Rvd25yZXYueG1sUEsB&#10;AhQAFAAAAAgAh07iQGz+8ZExAgAAYwQAAA4AAAAAAAAAAQAgAAAAJAEAAGRycy9lMm9Eb2MueG1s&#10;UEsFBgAAAAAGAAYAWQEAAMcFAAAAAA==&#10;">
              <v:fill on="f" focussize="0,0"/>
              <v:stroke on="f" weight="0.5pt"/>
              <v:imagedata o:title=""/>
              <o:lock v:ext="edit" aspectratio="f"/>
              <v:textbox inset="0mm,0mm,0mm,0mm" style="mso-fit-shape-to-text:t;">
                <w:txbxContent>
                  <w:p w14:paraId="1FC041F3">
                    <w:pPr>
                      <w:pStyle w:val="22"/>
                      <w:jc w:val="both"/>
                    </w:pPr>
                    <w:r>
                      <w:rPr>
                        <w:rFonts w:hint="eastAsia" w:ascii="宋体" w:hAnsi="宋体" w:eastAsia="宋体" w:cs="宋体"/>
                        <w:sz w:val="26"/>
                        <w:szCs w:val="26"/>
                      </w:rPr>
                      <w:t>—</w:t>
                    </w:r>
                    <w:r>
                      <w:rPr>
                        <w:rFonts w:hint="eastAsia" w:ascii="宋体" w:hAnsi="宋体" w:eastAsia="宋体" w:cs="宋体"/>
                        <w:sz w:val="26"/>
                        <w:szCs w:val="26"/>
                        <w:lang w:val="en-US" w:eastAsia="zh-CN"/>
                      </w:rPr>
                      <w:t xml:space="preserve"> </w:t>
                    </w:r>
                    <w:r>
                      <w:rPr>
                        <w:rFonts w:hint="eastAsia" w:ascii="宋体" w:hAnsi="宋体" w:eastAsia="宋体" w:cs="宋体"/>
                        <w:sz w:val="26"/>
                        <w:szCs w:val="26"/>
                      </w:rPr>
                      <w:t xml:space="preserve"> </w:t>
                    </w:r>
                    <w:r>
                      <w:rPr>
                        <w:rFonts w:hint="eastAsia" w:ascii="宋体" w:hAnsi="宋体" w:eastAsia="宋体" w:cs="宋体"/>
                        <w:sz w:val="26"/>
                        <w:szCs w:val="26"/>
                      </w:rPr>
                      <w:fldChar w:fldCharType="begin"/>
                    </w:r>
                    <w:r>
                      <w:rPr>
                        <w:rFonts w:hint="eastAsia" w:ascii="宋体" w:hAnsi="宋体" w:eastAsia="宋体" w:cs="宋体"/>
                        <w:sz w:val="26"/>
                        <w:szCs w:val="26"/>
                      </w:rPr>
                      <w:instrText xml:space="preserve"> PAGE  \* MERGEFORMAT </w:instrText>
                    </w:r>
                    <w:r>
                      <w:rPr>
                        <w:rFonts w:hint="eastAsia" w:ascii="宋体" w:hAnsi="宋体" w:eastAsia="宋体" w:cs="宋体"/>
                        <w:sz w:val="26"/>
                        <w:szCs w:val="26"/>
                      </w:rPr>
                      <w:fldChar w:fldCharType="separate"/>
                    </w:r>
                    <w:r>
                      <w:rPr>
                        <w:rFonts w:hint="eastAsia" w:ascii="宋体" w:hAnsi="宋体" w:eastAsia="宋体" w:cs="宋体"/>
                        <w:sz w:val="26"/>
                        <w:szCs w:val="26"/>
                      </w:rPr>
                      <w:t>84</w:t>
                    </w:r>
                    <w:r>
                      <w:rPr>
                        <w:rFonts w:hint="eastAsia" w:ascii="宋体" w:hAnsi="宋体" w:eastAsia="宋体" w:cs="宋体"/>
                        <w:sz w:val="26"/>
                        <w:szCs w:val="26"/>
                      </w:rPr>
                      <w:fldChar w:fldCharType="end"/>
                    </w:r>
                    <w:r>
                      <w:rPr>
                        <w:rFonts w:hint="eastAsia" w:ascii="宋体" w:hAnsi="宋体" w:eastAsia="宋体" w:cs="宋体"/>
                        <w:sz w:val="26"/>
                        <w:szCs w:val="26"/>
                        <w:lang w:val="en-US" w:eastAsia="zh-CN"/>
                      </w:rPr>
                      <w:t xml:space="preserve"> </w:t>
                    </w:r>
                    <w:r>
                      <w:rPr>
                        <w:rFonts w:hint="eastAsia" w:ascii="宋体" w:hAnsi="宋体" w:eastAsia="宋体" w:cs="宋体"/>
                        <w:sz w:val="26"/>
                        <w:szCs w:val="26"/>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E1166">
    <w:pPr>
      <w:pStyle w:val="2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B75CBA"/>
    <w:multiLevelType w:val="singleLevel"/>
    <w:tmpl w:val="91B75CBA"/>
    <w:lvl w:ilvl="0" w:tentative="0">
      <w:start w:val="1"/>
      <w:numFmt w:val="upperLetter"/>
      <w:suff w:val="nothing"/>
      <w:lvlText w:val="%1、"/>
      <w:lvlJc w:val="left"/>
    </w:lvl>
  </w:abstractNum>
  <w:abstractNum w:abstractNumId="1">
    <w:nsid w:val="B376A7BF"/>
    <w:multiLevelType w:val="singleLevel"/>
    <w:tmpl w:val="B376A7BF"/>
    <w:lvl w:ilvl="0" w:tentative="0">
      <w:start w:val="1"/>
      <w:numFmt w:val="upperLetter"/>
      <w:suff w:val="nothing"/>
      <w:lvlText w:val="%1、"/>
      <w:lvlJc w:val="left"/>
    </w:lvl>
  </w:abstractNum>
  <w:abstractNum w:abstractNumId="2">
    <w:nsid w:val="BA4492E2"/>
    <w:multiLevelType w:val="singleLevel"/>
    <w:tmpl w:val="BA4492E2"/>
    <w:lvl w:ilvl="0" w:tentative="0">
      <w:start w:val="7"/>
      <w:numFmt w:val="chineseCounting"/>
      <w:suff w:val="nothing"/>
      <w:lvlText w:val="%1、"/>
      <w:lvlJc w:val="left"/>
      <w:rPr>
        <w:rFonts w:hint="eastAsia"/>
      </w:rPr>
    </w:lvl>
  </w:abstractNum>
  <w:abstractNum w:abstractNumId="3">
    <w:nsid w:val="01203B59"/>
    <w:multiLevelType w:val="singleLevel"/>
    <w:tmpl w:val="01203B59"/>
    <w:lvl w:ilvl="0" w:tentative="0">
      <w:start w:val="1"/>
      <w:numFmt w:val="decimal"/>
      <w:suff w:val="nothing"/>
      <w:lvlText w:val="%1、"/>
      <w:lvlJc w:val="left"/>
    </w:lvl>
  </w:abstractNum>
  <w:abstractNum w:abstractNumId="4">
    <w:nsid w:val="1CEAAF18"/>
    <w:multiLevelType w:val="singleLevel"/>
    <w:tmpl w:val="1CEAAF18"/>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5">
    <w:nsid w:val="7693F017"/>
    <w:multiLevelType w:val="singleLevel"/>
    <w:tmpl w:val="7693F017"/>
    <w:lvl w:ilvl="0" w:tentative="0">
      <w:start w:val="2"/>
      <w:numFmt w:val="decimal"/>
      <w:suff w:val="nothing"/>
      <w:lvlText w:val="%1、"/>
      <w:lvlJc w:val="left"/>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kNTg4ODcxN2QzMDNkNzE5ZWVlOWI0ZjgzZjkwNGEifQ=="/>
  </w:docVars>
  <w:rsids>
    <w:rsidRoot w:val="00172A27"/>
    <w:rsid w:val="000060B3"/>
    <w:rsid w:val="0004364B"/>
    <w:rsid w:val="00061B1F"/>
    <w:rsid w:val="000733C4"/>
    <w:rsid w:val="00074783"/>
    <w:rsid w:val="0008070B"/>
    <w:rsid w:val="000810AC"/>
    <w:rsid w:val="00081A02"/>
    <w:rsid w:val="00082136"/>
    <w:rsid w:val="00082231"/>
    <w:rsid w:val="00092D38"/>
    <w:rsid w:val="0009377B"/>
    <w:rsid w:val="000A20C9"/>
    <w:rsid w:val="000B058F"/>
    <w:rsid w:val="000B4467"/>
    <w:rsid w:val="000B4DB9"/>
    <w:rsid w:val="000C09AC"/>
    <w:rsid w:val="000C3DA7"/>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4F264C"/>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D0D61"/>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49D8"/>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0AC0"/>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1302"/>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C67D8"/>
    <w:rsid w:val="00BD1B51"/>
    <w:rsid w:val="00BD4596"/>
    <w:rsid w:val="00BE1405"/>
    <w:rsid w:val="00BE312D"/>
    <w:rsid w:val="00BF1C20"/>
    <w:rsid w:val="00C01D55"/>
    <w:rsid w:val="00C10578"/>
    <w:rsid w:val="00C135BC"/>
    <w:rsid w:val="00C15C95"/>
    <w:rsid w:val="00C237AB"/>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B09"/>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75660"/>
    <w:rsid w:val="00F80A0A"/>
    <w:rsid w:val="00F82B19"/>
    <w:rsid w:val="00F9212D"/>
    <w:rsid w:val="00F965DA"/>
    <w:rsid w:val="00FA406A"/>
    <w:rsid w:val="00FB503A"/>
    <w:rsid w:val="00FB516C"/>
    <w:rsid w:val="00FD0236"/>
    <w:rsid w:val="00FD18F4"/>
    <w:rsid w:val="00FD54DB"/>
    <w:rsid w:val="00FD619F"/>
    <w:rsid w:val="01152DCD"/>
    <w:rsid w:val="011B18A3"/>
    <w:rsid w:val="01290F7E"/>
    <w:rsid w:val="015D1E09"/>
    <w:rsid w:val="018207C5"/>
    <w:rsid w:val="019E4F6A"/>
    <w:rsid w:val="01C0189D"/>
    <w:rsid w:val="01CC28D2"/>
    <w:rsid w:val="01D57C29"/>
    <w:rsid w:val="01FA2421"/>
    <w:rsid w:val="01FD609D"/>
    <w:rsid w:val="02697903"/>
    <w:rsid w:val="026C1900"/>
    <w:rsid w:val="02890C75"/>
    <w:rsid w:val="02BF18C9"/>
    <w:rsid w:val="02D323B7"/>
    <w:rsid w:val="02F96569"/>
    <w:rsid w:val="03411FB9"/>
    <w:rsid w:val="0359385C"/>
    <w:rsid w:val="036A7762"/>
    <w:rsid w:val="037458C4"/>
    <w:rsid w:val="0375377F"/>
    <w:rsid w:val="038729D0"/>
    <w:rsid w:val="03A10CAA"/>
    <w:rsid w:val="03C54999"/>
    <w:rsid w:val="03EA7B21"/>
    <w:rsid w:val="03F373F2"/>
    <w:rsid w:val="040A3D96"/>
    <w:rsid w:val="0469018F"/>
    <w:rsid w:val="0469030D"/>
    <w:rsid w:val="046B78CB"/>
    <w:rsid w:val="048C54B6"/>
    <w:rsid w:val="04AD6C91"/>
    <w:rsid w:val="04CA6664"/>
    <w:rsid w:val="04FE47B4"/>
    <w:rsid w:val="05091FB9"/>
    <w:rsid w:val="05342089"/>
    <w:rsid w:val="05393113"/>
    <w:rsid w:val="059874F0"/>
    <w:rsid w:val="059C7B8C"/>
    <w:rsid w:val="05C869C2"/>
    <w:rsid w:val="05F83EAE"/>
    <w:rsid w:val="063E7D85"/>
    <w:rsid w:val="06450847"/>
    <w:rsid w:val="06767035"/>
    <w:rsid w:val="06D33870"/>
    <w:rsid w:val="07293586"/>
    <w:rsid w:val="07295285"/>
    <w:rsid w:val="075404D0"/>
    <w:rsid w:val="07551D1D"/>
    <w:rsid w:val="075D20E3"/>
    <w:rsid w:val="07636392"/>
    <w:rsid w:val="07770C56"/>
    <w:rsid w:val="077E7B9E"/>
    <w:rsid w:val="07CD7519"/>
    <w:rsid w:val="07D3254F"/>
    <w:rsid w:val="07D37407"/>
    <w:rsid w:val="07F5285C"/>
    <w:rsid w:val="08333F1C"/>
    <w:rsid w:val="083E7781"/>
    <w:rsid w:val="083F44CE"/>
    <w:rsid w:val="0843388F"/>
    <w:rsid w:val="08434BFA"/>
    <w:rsid w:val="0874551F"/>
    <w:rsid w:val="087E51AC"/>
    <w:rsid w:val="08920519"/>
    <w:rsid w:val="089D4B92"/>
    <w:rsid w:val="08A76D63"/>
    <w:rsid w:val="08C43471"/>
    <w:rsid w:val="08D07B88"/>
    <w:rsid w:val="08DA6337"/>
    <w:rsid w:val="090D4716"/>
    <w:rsid w:val="092217DD"/>
    <w:rsid w:val="093A7294"/>
    <w:rsid w:val="098201B1"/>
    <w:rsid w:val="09940F07"/>
    <w:rsid w:val="09B47989"/>
    <w:rsid w:val="09C50C51"/>
    <w:rsid w:val="09D82BC8"/>
    <w:rsid w:val="09E632F5"/>
    <w:rsid w:val="0A0F3C2B"/>
    <w:rsid w:val="0A263993"/>
    <w:rsid w:val="0A2D3AC2"/>
    <w:rsid w:val="0A511613"/>
    <w:rsid w:val="0A76377C"/>
    <w:rsid w:val="0AA755DF"/>
    <w:rsid w:val="0AC7476A"/>
    <w:rsid w:val="0B120D44"/>
    <w:rsid w:val="0B3F14D4"/>
    <w:rsid w:val="0B462863"/>
    <w:rsid w:val="0B6F3894"/>
    <w:rsid w:val="0B901D30"/>
    <w:rsid w:val="0B9064F5"/>
    <w:rsid w:val="0B9F7216"/>
    <w:rsid w:val="0BBC0D77"/>
    <w:rsid w:val="0BC67500"/>
    <w:rsid w:val="0BD27BF6"/>
    <w:rsid w:val="0BDA4333"/>
    <w:rsid w:val="0C1369A8"/>
    <w:rsid w:val="0C3B3C7D"/>
    <w:rsid w:val="0C601702"/>
    <w:rsid w:val="0C6B5778"/>
    <w:rsid w:val="0C855539"/>
    <w:rsid w:val="0CAB2EAE"/>
    <w:rsid w:val="0CB6274B"/>
    <w:rsid w:val="0CBF6192"/>
    <w:rsid w:val="0CDB7556"/>
    <w:rsid w:val="0D0C2A31"/>
    <w:rsid w:val="0D621C7D"/>
    <w:rsid w:val="0D676DE1"/>
    <w:rsid w:val="0DD63418"/>
    <w:rsid w:val="0DDB09CA"/>
    <w:rsid w:val="0E2C3CE0"/>
    <w:rsid w:val="0E6E46B5"/>
    <w:rsid w:val="0E72396F"/>
    <w:rsid w:val="0E73034D"/>
    <w:rsid w:val="0E9E5721"/>
    <w:rsid w:val="0EAE7EF9"/>
    <w:rsid w:val="0EB63C6A"/>
    <w:rsid w:val="0EC03894"/>
    <w:rsid w:val="0EDF6E15"/>
    <w:rsid w:val="0EE72A6E"/>
    <w:rsid w:val="0EEF4F23"/>
    <w:rsid w:val="0EFB14DD"/>
    <w:rsid w:val="0EFD1B4C"/>
    <w:rsid w:val="0F0A63FE"/>
    <w:rsid w:val="0F13775A"/>
    <w:rsid w:val="0F1869D9"/>
    <w:rsid w:val="0F206065"/>
    <w:rsid w:val="0F367CD4"/>
    <w:rsid w:val="0F386966"/>
    <w:rsid w:val="0F414AFC"/>
    <w:rsid w:val="0F5F45FE"/>
    <w:rsid w:val="0F6C64AC"/>
    <w:rsid w:val="0F7134C9"/>
    <w:rsid w:val="0F73174D"/>
    <w:rsid w:val="0F756358"/>
    <w:rsid w:val="0F7A6D8E"/>
    <w:rsid w:val="0F9A112B"/>
    <w:rsid w:val="0FC75A7C"/>
    <w:rsid w:val="0FD34244"/>
    <w:rsid w:val="0FDF56EB"/>
    <w:rsid w:val="0FEB39D9"/>
    <w:rsid w:val="1021389E"/>
    <w:rsid w:val="10314B4E"/>
    <w:rsid w:val="106D2F64"/>
    <w:rsid w:val="10772943"/>
    <w:rsid w:val="10A342B4"/>
    <w:rsid w:val="10A51DDA"/>
    <w:rsid w:val="10B63710"/>
    <w:rsid w:val="10E0675E"/>
    <w:rsid w:val="10F10820"/>
    <w:rsid w:val="10F82A02"/>
    <w:rsid w:val="111A5394"/>
    <w:rsid w:val="111C2F7A"/>
    <w:rsid w:val="1122167C"/>
    <w:rsid w:val="11447845"/>
    <w:rsid w:val="11535CDA"/>
    <w:rsid w:val="115B220C"/>
    <w:rsid w:val="115F642C"/>
    <w:rsid w:val="11665CA1"/>
    <w:rsid w:val="116D39C1"/>
    <w:rsid w:val="11955AFF"/>
    <w:rsid w:val="11E62AA2"/>
    <w:rsid w:val="11EF3A11"/>
    <w:rsid w:val="11F77C2F"/>
    <w:rsid w:val="123244C2"/>
    <w:rsid w:val="126350DB"/>
    <w:rsid w:val="128A7F55"/>
    <w:rsid w:val="12F65FF1"/>
    <w:rsid w:val="133259FB"/>
    <w:rsid w:val="133C0C35"/>
    <w:rsid w:val="13420EB1"/>
    <w:rsid w:val="13951726"/>
    <w:rsid w:val="13F0456A"/>
    <w:rsid w:val="13FC4322"/>
    <w:rsid w:val="14396509"/>
    <w:rsid w:val="143D6E71"/>
    <w:rsid w:val="144709B0"/>
    <w:rsid w:val="14535839"/>
    <w:rsid w:val="1466322F"/>
    <w:rsid w:val="14AA3E63"/>
    <w:rsid w:val="14D326C8"/>
    <w:rsid w:val="14DD2C3C"/>
    <w:rsid w:val="14F84448"/>
    <w:rsid w:val="151B1BCE"/>
    <w:rsid w:val="15242CEF"/>
    <w:rsid w:val="15592293"/>
    <w:rsid w:val="15785654"/>
    <w:rsid w:val="158A3C94"/>
    <w:rsid w:val="15CE424C"/>
    <w:rsid w:val="16087E1D"/>
    <w:rsid w:val="160908F8"/>
    <w:rsid w:val="161D511E"/>
    <w:rsid w:val="167D0D9F"/>
    <w:rsid w:val="1684106C"/>
    <w:rsid w:val="16B7102A"/>
    <w:rsid w:val="16BF7F6E"/>
    <w:rsid w:val="16CC325A"/>
    <w:rsid w:val="16EE7FBC"/>
    <w:rsid w:val="1745386C"/>
    <w:rsid w:val="177003D2"/>
    <w:rsid w:val="17701D14"/>
    <w:rsid w:val="17735226"/>
    <w:rsid w:val="17CA0378"/>
    <w:rsid w:val="180E1725"/>
    <w:rsid w:val="1817101A"/>
    <w:rsid w:val="183D22B3"/>
    <w:rsid w:val="187E2EF8"/>
    <w:rsid w:val="189F624C"/>
    <w:rsid w:val="18B0756E"/>
    <w:rsid w:val="18C1787A"/>
    <w:rsid w:val="18D535EC"/>
    <w:rsid w:val="18EB5E8A"/>
    <w:rsid w:val="18F53659"/>
    <w:rsid w:val="190231C7"/>
    <w:rsid w:val="19142ADF"/>
    <w:rsid w:val="19641052"/>
    <w:rsid w:val="196925EF"/>
    <w:rsid w:val="1974125A"/>
    <w:rsid w:val="197F30DF"/>
    <w:rsid w:val="19832705"/>
    <w:rsid w:val="198A76AD"/>
    <w:rsid w:val="19907789"/>
    <w:rsid w:val="199A53BF"/>
    <w:rsid w:val="199A7B5B"/>
    <w:rsid w:val="19C164A7"/>
    <w:rsid w:val="19CA115C"/>
    <w:rsid w:val="19DC245C"/>
    <w:rsid w:val="1A12732B"/>
    <w:rsid w:val="1A1C66C0"/>
    <w:rsid w:val="1A2F0966"/>
    <w:rsid w:val="1A3516BA"/>
    <w:rsid w:val="1A3A4CED"/>
    <w:rsid w:val="1A42393B"/>
    <w:rsid w:val="1A546D47"/>
    <w:rsid w:val="1A6A56CA"/>
    <w:rsid w:val="1A866E39"/>
    <w:rsid w:val="1A8E0638"/>
    <w:rsid w:val="1A9359BC"/>
    <w:rsid w:val="1AAD45DE"/>
    <w:rsid w:val="1AD57393"/>
    <w:rsid w:val="1B046F80"/>
    <w:rsid w:val="1B0C7CFF"/>
    <w:rsid w:val="1B163388"/>
    <w:rsid w:val="1B1B6455"/>
    <w:rsid w:val="1B3267B5"/>
    <w:rsid w:val="1B40161D"/>
    <w:rsid w:val="1B441859"/>
    <w:rsid w:val="1B601BEE"/>
    <w:rsid w:val="1B6606B1"/>
    <w:rsid w:val="1BA2771D"/>
    <w:rsid w:val="1BE30DA3"/>
    <w:rsid w:val="1C1E778E"/>
    <w:rsid w:val="1C2954CF"/>
    <w:rsid w:val="1C392150"/>
    <w:rsid w:val="1C5E7925"/>
    <w:rsid w:val="1C8A7D9A"/>
    <w:rsid w:val="1C906331"/>
    <w:rsid w:val="1C98639D"/>
    <w:rsid w:val="1CA74427"/>
    <w:rsid w:val="1CF52996"/>
    <w:rsid w:val="1CFD070F"/>
    <w:rsid w:val="1D07320F"/>
    <w:rsid w:val="1D323F5F"/>
    <w:rsid w:val="1D486934"/>
    <w:rsid w:val="1D554F18"/>
    <w:rsid w:val="1D5F6196"/>
    <w:rsid w:val="1D6132A5"/>
    <w:rsid w:val="1D645410"/>
    <w:rsid w:val="1D8E56D5"/>
    <w:rsid w:val="1D931860"/>
    <w:rsid w:val="1DD66C03"/>
    <w:rsid w:val="1E1B5D56"/>
    <w:rsid w:val="1E1D46AD"/>
    <w:rsid w:val="1E311EC1"/>
    <w:rsid w:val="1E393709"/>
    <w:rsid w:val="1E6F1C79"/>
    <w:rsid w:val="1E731FD5"/>
    <w:rsid w:val="1E7A43DA"/>
    <w:rsid w:val="1ED463D3"/>
    <w:rsid w:val="1EDA5344"/>
    <w:rsid w:val="1EDB7B17"/>
    <w:rsid w:val="1EF25047"/>
    <w:rsid w:val="1F170346"/>
    <w:rsid w:val="1F454293"/>
    <w:rsid w:val="1F4C10C3"/>
    <w:rsid w:val="1F960AA1"/>
    <w:rsid w:val="1FC16504"/>
    <w:rsid w:val="1FC74DA1"/>
    <w:rsid w:val="1FD2426D"/>
    <w:rsid w:val="1FE7539E"/>
    <w:rsid w:val="204B2381"/>
    <w:rsid w:val="205F36DB"/>
    <w:rsid w:val="20620D45"/>
    <w:rsid w:val="20671BE0"/>
    <w:rsid w:val="207B2B57"/>
    <w:rsid w:val="20963CB8"/>
    <w:rsid w:val="20A81A1B"/>
    <w:rsid w:val="20AC65B4"/>
    <w:rsid w:val="20B07FB6"/>
    <w:rsid w:val="20B646FB"/>
    <w:rsid w:val="20B67613"/>
    <w:rsid w:val="20C311EB"/>
    <w:rsid w:val="20C71E58"/>
    <w:rsid w:val="20D66A29"/>
    <w:rsid w:val="20E331C9"/>
    <w:rsid w:val="20E73D48"/>
    <w:rsid w:val="20F17AFC"/>
    <w:rsid w:val="20F4410C"/>
    <w:rsid w:val="21046956"/>
    <w:rsid w:val="21115D6E"/>
    <w:rsid w:val="21132180"/>
    <w:rsid w:val="213450F3"/>
    <w:rsid w:val="213B74B1"/>
    <w:rsid w:val="213D7E0C"/>
    <w:rsid w:val="21537B98"/>
    <w:rsid w:val="215A2310"/>
    <w:rsid w:val="21622C54"/>
    <w:rsid w:val="216E6E30"/>
    <w:rsid w:val="217F7C02"/>
    <w:rsid w:val="21C877CC"/>
    <w:rsid w:val="21CB71C6"/>
    <w:rsid w:val="21D238B9"/>
    <w:rsid w:val="21DE318A"/>
    <w:rsid w:val="21EF5B80"/>
    <w:rsid w:val="220637A5"/>
    <w:rsid w:val="22576990"/>
    <w:rsid w:val="22721D38"/>
    <w:rsid w:val="227E5F58"/>
    <w:rsid w:val="228D0FA2"/>
    <w:rsid w:val="229B38CB"/>
    <w:rsid w:val="22B1460E"/>
    <w:rsid w:val="22BD5DB2"/>
    <w:rsid w:val="22C150BE"/>
    <w:rsid w:val="22F47480"/>
    <w:rsid w:val="22FC082E"/>
    <w:rsid w:val="233A3E74"/>
    <w:rsid w:val="23591002"/>
    <w:rsid w:val="23661941"/>
    <w:rsid w:val="23826D22"/>
    <w:rsid w:val="23AB0346"/>
    <w:rsid w:val="23AD3B76"/>
    <w:rsid w:val="23D85073"/>
    <w:rsid w:val="23DE1C48"/>
    <w:rsid w:val="23E805EC"/>
    <w:rsid w:val="240210CD"/>
    <w:rsid w:val="24161B64"/>
    <w:rsid w:val="24273BF0"/>
    <w:rsid w:val="24660846"/>
    <w:rsid w:val="247B6558"/>
    <w:rsid w:val="248C41C4"/>
    <w:rsid w:val="24BF09F7"/>
    <w:rsid w:val="24CC1AF0"/>
    <w:rsid w:val="24CC23AE"/>
    <w:rsid w:val="24E94533"/>
    <w:rsid w:val="24EA6324"/>
    <w:rsid w:val="24FD784D"/>
    <w:rsid w:val="250776EC"/>
    <w:rsid w:val="2521167B"/>
    <w:rsid w:val="252D53FE"/>
    <w:rsid w:val="25386BF9"/>
    <w:rsid w:val="255142BF"/>
    <w:rsid w:val="25870AC2"/>
    <w:rsid w:val="25940D3D"/>
    <w:rsid w:val="25A41F3C"/>
    <w:rsid w:val="25B91AB0"/>
    <w:rsid w:val="25C94C6F"/>
    <w:rsid w:val="25EC2D81"/>
    <w:rsid w:val="26061115"/>
    <w:rsid w:val="261B2AFA"/>
    <w:rsid w:val="26211F57"/>
    <w:rsid w:val="263001D5"/>
    <w:rsid w:val="26337C31"/>
    <w:rsid w:val="263E0BC9"/>
    <w:rsid w:val="26433B70"/>
    <w:rsid w:val="26B81856"/>
    <w:rsid w:val="26BB70E8"/>
    <w:rsid w:val="26E67B9A"/>
    <w:rsid w:val="26F45A61"/>
    <w:rsid w:val="2745516B"/>
    <w:rsid w:val="275F6280"/>
    <w:rsid w:val="27687154"/>
    <w:rsid w:val="27693709"/>
    <w:rsid w:val="277057A2"/>
    <w:rsid w:val="27BF4BEE"/>
    <w:rsid w:val="27EB002E"/>
    <w:rsid w:val="27F26324"/>
    <w:rsid w:val="27F72B4F"/>
    <w:rsid w:val="281124B5"/>
    <w:rsid w:val="283B2F3D"/>
    <w:rsid w:val="283F5F78"/>
    <w:rsid w:val="28723935"/>
    <w:rsid w:val="28A6451F"/>
    <w:rsid w:val="28EB0A2F"/>
    <w:rsid w:val="28EF1766"/>
    <w:rsid w:val="290F79A5"/>
    <w:rsid w:val="29171F21"/>
    <w:rsid w:val="29206EB8"/>
    <w:rsid w:val="292C49EE"/>
    <w:rsid w:val="293521DB"/>
    <w:rsid w:val="29595666"/>
    <w:rsid w:val="295F1A74"/>
    <w:rsid w:val="2979531C"/>
    <w:rsid w:val="29874881"/>
    <w:rsid w:val="299A402F"/>
    <w:rsid w:val="29E325E0"/>
    <w:rsid w:val="29E37B59"/>
    <w:rsid w:val="2A006359"/>
    <w:rsid w:val="2A1674DF"/>
    <w:rsid w:val="2A1E1E90"/>
    <w:rsid w:val="2A327838"/>
    <w:rsid w:val="2A377665"/>
    <w:rsid w:val="2A452503"/>
    <w:rsid w:val="2AA13343"/>
    <w:rsid w:val="2ABB0091"/>
    <w:rsid w:val="2ACF43C2"/>
    <w:rsid w:val="2AD3333F"/>
    <w:rsid w:val="2AF56E08"/>
    <w:rsid w:val="2B1E10A9"/>
    <w:rsid w:val="2B225228"/>
    <w:rsid w:val="2B6657EE"/>
    <w:rsid w:val="2B74267D"/>
    <w:rsid w:val="2B8F302C"/>
    <w:rsid w:val="2B914A51"/>
    <w:rsid w:val="2BA936A8"/>
    <w:rsid w:val="2C097269"/>
    <w:rsid w:val="2C315A5A"/>
    <w:rsid w:val="2C4B1C25"/>
    <w:rsid w:val="2C4B64D3"/>
    <w:rsid w:val="2C7A289A"/>
    <w:rsid w:val="2C962819"/>
    <w:rsid w:val="2CA845BC"/>
    <w:rsid w:val="2CBB2565"/>
    <w:rsid w:val="2CCC7DB3"/>
    <w:rsid w:val="2CFC6DCE"/>
    <w:rsid w:val="2D0629F6"/>
    <w:rsid w:val="2D067C3E"/>
    <w:rsid w:val="2D117479"/>
    <w:rsid w:val="2D26209C"/>
    <w:rsid w:val="2D312E05"/>
    <w:rsid w:val="2D7A456E"/>
    <w:rsid w:val="2D9E56F5"/>
    <w:rsid w:val="2DD0689B"/>
    <w:rsid w:val="2E050FA5"/>
    <w:rsid w:val="2E21483B"/>
    <w:rsid w:val="2E292154"/>
    <w:rsid w:val="2E2E745B"/>
    <w:rsid w:val="2E464FAA"/>
    <w:rsid w:val="2E667F96"/>
    <w:rsid w:val="2E6B4F3E"/>
    <w:rsid w:val="2E8226AB"/>
    <w:rsid w:val="2EB80461"/>
    <w:rsid w:val="2EB93B48"/>
    <w:rsid w:val="2ED64E95"/>
    <w:rsid w:val="2EE404E5"/>
    <w:rsid w:val="2EED458F"/>
    <w:rsid w:val="2F0668C6"/>
    <w:rsid w:val="2F0F2DE8"/>
    <w:rsid w:val="2F171FA3"/>
    <w:rsid w:val="2F185C20"/>
    <w:rsid w:val="2F19349B"/>
    <w:rsid w:val="2F1B6036"/>
    <w:rsid w:val="2F2919D0"/>
    <w:rsid w:val="2F52544D"/>
    <w:rsid w:val="2F664804"/>
    <w:rsid w:val="2F697837"/>
    <w:rsid w:val="2F8F55BB"/>
    <w:rsid w:val="2FD065E6"/>
    <w:rsid w:val="2FD96870"/>
    <w:rsid w:val="2FDD33E1"/>
    <w:rsid w:val="301009EA"/>
    <w:rsid w:val="30580BC9"/>
    <w:rsid w:val="307D7A4F"/>
    <w:rsid w:val="30910313"/>
    <w:rsid w:val="30DF4A3C"/>
    <w:rsid w:val="30F21B89"/>
    <w:rsid w:val="310F23AD"/>
    <w:rsid w:val="311E2ED7"/>
    <w:rsid w:val="313A4B14"/>
    <w:rsid w:val="315619EE"/>
    <w:rsid w:val="315C449C"/>
    <w:rsid w:val="3168771B"/>
    <w:rsid w:val="31923517"/>
    <w:rsid w:val="31A33B6F"/>
    <w:rsid w:val="31A57048"/>
    <w:rsid w:val="31B82709"/>
    <w:rsid w:val="31BF1404"/>
    <w:rsid w:val="31D05482"/>
    <w:rsid w:val="31DC623E"/>
    <w:rsid w:val="31F6193A"/>
    <w:rsid w:val="32400B34"/>
    <w:rsid w:val="327E5354"/>
    <w:rsid w:val="329E6876"/>
    <w:rsid w:val="32A60242"/>
    <w:rsid w:val="32AE7C54"/>
    <w:rsid w:val="32BC7CD8"/>
    <w:rsid w:val="32C84D0A"/>
    <w:rsid w:val="32EF3DFB"/>
    <w:rsid w:val="333015F2"/>
    <w:rsid w:val="334037E5"/>
    <w:rsid w:val="334B6320"/>
    <w:rsid w:val="33631954"/>
    <w:rsid w:val="337168F1"/>
    <w:rsid w:val="33AD0E22"/>
    <w:rsid w:val="33D934D4"/>
    <w:rsid w:val="33FE2F6A"/>
    <w:rsid w:val="340E07E5"/>
    <w:rsid w:val="34235BF7"/>
    <w:rsid w:val="34305317"/>
    <w:rsid w:val="349049EA"/>
    <w:rsid w:val="34980ECF"/>
    <w:rsid w:val="34A33AD6"/>
    <w:rsid w:val="35386E11"/>
    <w:rsid w:val="353F25D6"/>
    <w:rsid w:val="356C2617"/>
    <w:rsid w:val="358507C6"/>
    <w:rsid w:val="358C5FA8"/>
    <w:rsid w:val="35C15DF1"/>
    <w:rsid w:val="35DA0F8B"/>
    <w:rsid w:val="35ED4950"/>
    <w:rsid w:val="36040D92"/>
    <w:rsid w:val="36074A7F"/>
    <w:rsid w:val="363102B5"/>
    <w:rsid w:val="36923549"/>
    <w:rsid w:val="36B75FBF"/>
    <w:rsid w:val="36BD0C45"/>
    <w:rsid w:val="36CD163E"/>
    <w:rsid w:val="36EF2CA4"/>
    <w:rsid w:val="36F5269C"/>
    <w:rsid w:val="370901AA"/>
    <w:rsid w:val="370F7AB8"/>
    <w:rsid w:val="37452509"/>
    <w:rsid w:val="374B650A"/>
    <w:rsid w:val="37936580"/>
    <w:rsid w:val="37B00EE0"/>
    <w:rsid w:val="37E00298"/>
    <w:rsid w:val="380D7333"/>
    <w:rsid w:val="38155F02"/>
    <w:rsid w:val="381D6C95"/>
    <w:rsid w:val="384604A0"/>
    <w:rsid w:val="386C3ADB"/>
    <w:rsid w:val="38813290"/>
    <w:rsid w:val="38926D6D"/>
    <w:rsid w:val="38A004C0"/>
    <w:rsid w:val="38B302F9"/>
    <w:rsid w:val="38C65BD6"/>
    <w:rsid w:val="38E278D2"/>
    <w:rsid w:val="38F12CD3"/>
    <w:rsid w:val="38F94775"/>
    <w:rsid w:val="38FB17E8"/>
    <w:rsid w:val="392562D3"/>
    <w:rsid w:val="392971ED"/>
    <w:rsid w:val="392C12C7"/>
    <w:rsid w:val="39325651"/>
    <w:rsid w:val="39626A70"/>
    <w:rsid w:val="397B5283"/>
    <w:rsid w:val="39861EF9"/>
    <w:rsid w:val="398B34A7"/>
    <w:rsid w:val="39956713"/>
    <w:rsid w:val="39E972DA"/>
    <w:rsid w:val="39EC3135"/>
    <w:rsid w:val="3A245D26"/>
    <w:rsid w:val="3A772CF1"/>
    <w:rsid w:val="3A872856"/>
    <w:rsid w:val="3AB306D5"/>
    <w:rsid w:val="3AE25855"/>
    <w:rsid w:val="3AEA2693"/>
    <w:rsid w:val="3B014914"/>
    <w:rsid w:val="3B043A1D"/>
    <w:rsid w:val="3B3763D1"/>
    <w:rsid w:val="3B8638BD"/>
    <w:rsid w:val="3B9740B8"/>
    <w:rsid w:val="3BA54E53"/>
    <w:rsid w:val="3BD67E40"/>
    <w:rsid w:val="3C2F6E1E"/>
    <w:rsid w:val="3C335C3C"/>
    <w:rsid w:val="3C3B356A"/>
    <w:rsid w:val="3C3C6F58"/>
    <w:rsid w:val="3C3F7F2E"/>
    <w:rsid w:val="3C4F64BA"/>
    <w:rsid w:val="3C6E3CD0"/>
    <w:rsid w:val="3C9A6CB2"/>
    <w:rsid w:val="3C9C4D89"/>
    <w:rsid w:val="3C9F1D8F"/>
    <w:rsid w:val="3CA20063"/>
    <w:rsid w:val="3CDA245A"/>
    <w:rsid w:val="3CDD63A8"/>
    <w:rsid w:val="3CE468F1"/>
    <w:rsid w:val="3D1E06B7"/>
    <w:rsid w:val="3D3C0771"/>
    <w:rsid w:val="3D4930D0"/>
    <w:rsid w:val="3D6E288F"/>
    <w:rsid w:val="3D9B1CEB"/>
    <w:rsid w:val="3DAB098B"/>
    <w:rsid w:val="3DE46669"/>
    <w:rsid w:val="3DF31F00"/>
    <w:rsid w:val="3E0246F2"/>
    <w:rsid w:val="3E18333B"/>
    <w:rsid w:val="3E261EFC"/>
    <w:rsid w:val="3E355907"/>
    <w:rsid w:val="3E9B4698"/>
    <w:rsid w:val="3EDA0523"/>
    <w:rsid w:val="3EF23B8C"/>
    <w:rsid w:val="3F157EE7"/>
    <w:rsid w:val="3F2523AA"/>
    <w:rsid w:val="3F4965E2"/>
    <w:rsid w:val="3F5C22C8"/>
    <w:rsid w:val="3F663CE1"/>
    <w:rsid w:val="3F7D4827"/>
    <w:rsid w:val="3F9F5AD7"/>
    <w:rsid w:val="3FAC53E4"/>
    <w:rsid w:val="3FEF754B"/>
    <w:rsid w:val="402E0D3E"/>
    <w:rsid w:val="403C5521"/>
    <w:rsid w:val="40571702"/>
    <w:rsid w:val="407A6407"/>
    <w:rsid w:val="40B816C8"/>
    <w:rsid w:val="40BE641C"/>
    <w:rsid w:val="40C645D8"/>
    <w:rsid w:val="40C840EC"/>
    <w:rsid w:val="411B6C88"/>
    <w:rsid w:val="41217B45"/>
    <w:rsid w:val="415134A6"/>
    <w:rsid w:val="415649C7"/>
    <w:rsid w:val="41926B13"/>
    <w:rsid w:val="41D61543"/>
    <w:rsid w:val="41E10EF1"/>
    <w:rsid w:val="4200449D"/>
    <w:rsid w:val="421C2970"/>
    <w:rsid w:val="423A3BCC"/>
    <w:rsid w:val="42424E2B"/>
    <w:rsid w:val="42477C62"/>
    <w:rsid w:val="424E57D2"/>
    <w:rsid w:val="427C4401"/>
    <w:rsid w:val="42B26C49"/>
    <w:rsid w:val="42F53870"/>
    <w:rsid w:val="433A6FE6"/>
    <w:rsid w:val="43466528"/>
    <w:rsid w:val="43480868"/>
    <w:rsid w:val="4350713C"/>
    <w:rsid w:val="436653E0"/>
    <w:rsid w:val="438A3B4B"/>
    <w:rsid w:val="43A4731F"/>
    <w:rsid w:val="43B0717E"/>
    <w:rsid w:val="43B753A5"/>
    <w:rsid w:val="43C4431A"/>
    <w:rsid w:val="43D12710"/>
    <w:rsid w:val="4416031D"/>
    <w:rsid w:val="441D5B50"/>
    <w:rsid w:val="44226CBD"/>
    <w:rsid w:val="4450482F"/>
    <w:rsid w:val="446D1FD1"/>
    <w:rsid w:val="44AC5767"/>
    <w:rsid w:val="44B951CC"/>
    <w:rsid w:val="44CD14E0"/>
    <w:rsid w:val="44CE6390"/>
    <w:rsid w:val="44F20B0B"/>
    <w:rsid w:val="45171DA2"/>
    <w:rsid w:val="452E5F4C"/>
    <w:rsid w:val="45400FF5"/>
    <w:rsid w:val="4543346A"/>
    <w:rsid w:val="454D082E"/>
    <w:rsid w:val="454E486A"/>
    <w:rsid w:val="45612018"/>
    <w:rsid w:val="45633A36"/>
    <w:rsid w:val="458946E9"/>
    <w:rsid w:val="459104C8"/>
    <w:rsid w:val="45A47C0E"/>
    <w:rsid w:val="45BF2E72"/>
    <w:rsid w:val="461229C6"/>
    <w:rsid w:val="463A2B86"/>
    <w:rsid w:val="46577FD6"/>
    <w:rsid w:val="46771AF7"/>
    <w:rsid w:val="468C5C25"/>
    <w:rsid w:val="46A3401E"/>
    <w:rsid w:val="46AB7FA3"/>
    <w:rsid w:val="46BE6AA6"/>
    <w:rsid w:val="46C87FF5"/>
    <w:rsid w:val="46D955A7"/>
    <w:rsid w:val="46DD105A"/>
    <w:rsid w:val="46F4619E"/>
    <w:rsid w:val="46F779AA"/>
    <w:rsid w:val="4701608D"/>
    <w:rsid w:val="47133957"/>
    <w:rsid w:val="4724681E"/>
    <w:rsid w:val="47475B50"/>
    <w:rsid w:val="477470D5"/>
    <w:rsid w:val="47A07E0C"/>
    <w:rsid w:val="47A1028B"/>
    <w:rsid w:val="47AF5B80"/>
    <w:rsid w:val="47BC7823"/>
    <w:rsid w:val="47C00CCC"/>
    <w:rsid w:val="47D31F3E"/>
    <w:rsid w:val="47D652E2"/>
    <w:rsid w:val="47F95160"/>
    <w:rsid w:val="47F97A1E"/>
    <w:rsid w:val="48016002"/>
    <w:rsid w:val="480C2163"/>
    <w:rsid w:val="481903DC"/>
    <w:rsid w:val="48433D7A"/>
    <w:rsid w:val="486378A9"/>
    <w:rsid w:val="4870272E"/>
    <w:rsid w:val="487F467C"/>
    <w:rsid w:val="488B30E5"/>
    <w:rsid w:val="488E2EC4"/>
    <w:rsid w:val="48AC469F"/>
    <w:rsid w:val="48AF0961"/>
    <w:rsid w:val="48B57394"/>
    <w:rsid w:val="48D52867"/>
    <w:rsid w:val="48DC1F02"/>
    <w:rsid w:val="48E51464"/>
    <w:rsid w:val="49155F87"/>
    <w:rsid w:val="493917A1"/>
    <w:rsid w:val="49427509"/>
    <w:rsid w:val="49433DAD"/>
    <w:rsid w:val="4946455F"/>
    <w:rsid w:val="49696660"/>
    <w:rsid w:val="497004D0"/>
    <w:rsid w:val="497C4B51"/>
    <w:rsid w:val="499441BE"/>
    <w:rsid w:val="49C56A6D"/>
    <w:rsid w:val="49DC7715"/>
    <w:rsid w:val="4A023139"/>
    <w:rsid w:val="4A0E1A30"/>
    <w:rsid w:val="4A192722"/>
    <w:rsid w:val="4A1C2405"/>
    <w:rsid w:val="4A6F3355"/>
    <w:rsid w:val="4A747DC9"/>
    <w:rsid w:val="4A7B576F"/>
    <w:rsid w:val="4A9221B7"/>
    <w:rsid w:val="4AB16D7A"/>
    <w:rsid w:val="4AC14A37"/>
    <w:rsid w:val="4AC15F41"/>
    <w:rsid w:val="4ACE4542"/>
    <w:rsid w:val="4ADC3C3A"/>
    <w:rsid w:val="4ADE66C8"/>
    <w:rsid w:val="4AF561A9"/>
    <w:rsid w:val="4B156818"/>
    <w:rsid w:val="4B2D0A81"/>
    <w:rsid w:val="4B311597"/>
    <w:rsid w:val="4B3A7520"/>
    <w:rsid w:val="4B514962"/>
    <w:rsid w:val="4BCD4A3C"/>
    <w:rsid w:val="4BEE0130"/>
    <w:rsid w:val="4BF829F1"/>
    <w:rsid w:val="4C142292"/>
    <w:rsid w:val="4C4A0649"/>
    <w:rsid w:val="4C547172"/>
    <w:rsid w:val="4C7E5ECA"/>
    <w:rsid w:val="4C854DA4"/>
    <w:rsid w:val="4C876AA5"/>
    <w:rsid w:val="4CC7552F"/>
    <w:rsid w:val="4CF46FE9"/>
    <w:rsid w:val="4CFB58CD"/>
    <w:rsid w:val="4D0E00FB"/>
    <w:rsid w:val="4D176606"/>
    <w:rsid w:val="4D262ACE"/>
    <w:rsid w:val="4D5C0B12"/>
    <w:rsid w:val="4D645B24"/>
    <w:rsid w:val="4D880E9F"/>
    <w:rsid w:val="4DB218B5"/>
    <w:rsid w:val="4DBA372C"/>
    <w:rsid w:val="4DC67A98"/>
    <w:rsid w:val="4DD50D75"/>
    <w:rsid w:val="4DD7334A"/>
    <w:rsid w:val="4DEC4FB0"/>
    <w:rsid w:val="4E020FA2"/>
    <w:rsid w:val="4E075D8A"/>
    <w:rsid w:val="4E265601"/>
    <w:rsid w:val="4E385882"/>
    <w:rsid w:val="4E6D3230"/>
    <w:rsid w:val="4E7F092B"/>
    <w:rsid w:val="4EAF5973"/>
    <w:rsid w:val="4EC00FAD"/>
    <w:rsid w:val="4EDD654F"/>
    <w:rsid w:val="4EF34E17"/>
    <w:rsid w:val="4F0114FC"/>
    <w:rsid w:val="4F1F29D1"/>
    <w:rsid w:val="4F383404"/>
    <w:rsid w:val="4F3C3011"/>
    <w:rsid w:val="4F4D1638"/>
    <w:rsid w:val="4F6665FD"/>
    <w:rsid w:val="4F930E3F"/>
    <w:rsid w:val="4F9843DC"/>
    <w:rsid w:val="4FAD5FDA"/>
    <w:rsid w:val="4FB024FD"/>
    <w:rsid w:val="4FC62A8C"/>
    <w:rsid w:val="4FD24FE7"/>
    <w:rsid w:val="4FDE3F1C"/>
    <w:rsid w:val="4FE20F0D"/>
    <w:rsid w:val="4FE269A3"/>
    <w:rsid w:val="4FE51552"/>
    <w:rsid w:val="501025C1"/>
    <w:rsid w:val="501732F3"/>
    <w:rsid w:val="50265F82"/>
    <w:rsid w:val="502E5346"/>
    <w:rsid w:val="503D5B05"/>
    <w:rsid w:val="5041027E"/>
    <w:rsid w:val="504946D5"/>
    <w:rsid w:val="50504C4B"/>
    <w:rsid w:val="508A5A1E"/>
    <w:rsid w:val="509C6E7C"/>
    <w:rsid w:val="509D6D9C"/>
    <w:rsid w:val="509F7B93"/>
    <w:rsid w:val="50F067EF"/>
    <w:rsid w:val="51167E56"/>
    <w:rsid w:val="51242673"/>
    <w:rsid w:val="5162104E"/>
    <w:rsid w:val="51654086"/>
    <w:rsid w:val="51753765"/>
    <w:rsid w:val="51767B7B"/>
    <w:rsid w:val="517B58DE"/>
    <w:rsid w:val="519817F0"/>
    <w:rsid w:val="51DC15B9"/>
    <w:rsid w:val="520E6AD8"/>
    <w:rsid w:val="52FA1E17"/>
    <w:rsid w:val="531E2D4A"/>
    <w:rsid w:val="532F3B45"/>
    <w:rsid w:val="53397B84"/>
    <w:rsid w:val="534B11BA"/>
    <w:rsid w:val="534B6376"/>
    <w:rsid w:val="53511B0B"/>
    <w:rsid w:val="535D3EBD"/>
    <w:rsid w:val="536A41E2"/>
    <w:rsid w:val="536E626B"/>
    <w:rsid w:val="537F1832"/>
    <w:rsid w:val="53A039CC"/>
    <w:rsid w:val="53A1505A"/>
    <w:rsid w:val="53B844C3"/>
    <w:rsid w:val="53E70B54"/>
    <w:rsid w:val="53F6284F"/>
    <w:rsid w:val="54063E08"/>
    <w:rsid w:val="540A7284"/>
    <w:rsid w:val="542025C4"/>
    <w:rsid w:val="543437E8"/>
    <w:rsid w:val="54410961"/>
    <w:rsid w:val="544628F9"/>
    <w:rsid w:val="54771CAF"/>
    <w:rsid w:val="549B3710"/>
    <w:rsid w:val="54A55572"/>
    <w:rsid w:val="54A9657C"/>
    <w:rsid w:val="54B020C8"/>
    <w:rsid w:val="54BC5BCA"/>
    <w:rsid w:val="54F73313"/>
    <w:rsid w:val="54F80955"/>
    <w:rsid w:val="55206FE8"/>
    <w:rsid w:val="55305EED"/>
    <w:rsid w:val="555170A7"/>
    <w:rsid w:val="55570796"/>
    <w:rsid w:val="556C0CBB"/>
    <w:rsid w:val="5587536D"/>
    <w:rsid w:val="559B174B"/>
    <w:rsid w:val="55AC5374"/>
    <w:rsid w:val="55B61694"/>
    <w:rsid w:val="55C04758"/>
    <w:rsid w:val="55C40DE3"/>
    <w:rsid w:val="55CE0CF4"/>
    <w:rsid w:val="55D75CC7"/>
    <w:rsid w:val="55DC7082"/>
    <w:rsid w:val="55E529F2"/>
    <w:rsid w:val="56175BFF"/>
    <w:rsid w:val="56321D83"/>
    <w:rsid w:val="56567928"/>
    <w:rsid w:val="5684664B"/>
    <w:rsid w:val="56A07D17"/>
    <w:rsid w:val="56B22A9C"/>
    <w:rsid w:val="56BF5061"/>
    <w:rsid w:val="56C1236A"/>
    <w:rsid w:val="571A0AAE"/>
    <w:rsid w:val="57201009"/>
    <w:rsid w:val="57391942"/>
    <w:rsid w:val="57802226"/>
    <w:rsid w:val="57B72A76"/>
    <w:rsid w:val="57BD1EC5"/>
    <w:rsid w:val="57C3426C"/>
    <w:rsid w:val="57CE1F93"/>
    <w:rsid w:val="580F562A"/>
    <w:rsid w:val="58120373"/>
    <w:rsid w:val="58321187"/>
    <w:rsid w:val="58337298"/>
    <w:rsid w:val="58453315"/>
    <w:rsid w:val="5868458A"/>
    <w:rsid w:val="58805767"/>
    <w:rsid w:val="58851DAD"/>
    <w:rsid w:val="588743D1"/>
    <w:rsid w:val="5887701A"/>
    <w:rsid w:val="58ED666D"/>
    <w:rsid w:val="59313EA0"/>
    <w:rsid w:val="59575208"/>
    <w:rsid w:val="59594CD1"/>
    <w:rsid w:val="596B480F"/>
    <w:rsid w:val="59731CC6"/>
    <w:rsid w:val="597933D0"/>
    <w:rsid w:val="59C0439F"/>
    <w:rsid w:val="59CC622E"/>
    <w:rsid w:val="59D12EFB"/>
    <w:rsid w:val="59D536C8"/>
    <w:rsid w:val="5A2244EE"/>
    <w:rsid w:val="5A3D4334"/>
    <w:rsid w:val="5A863D67"/>
    <w:rsid w:val="5A8C4FCA"/>
    <w:rsid w:val="5A8F493E"/>
    <w:rsid w:val="5ABE2233"/>
    <w:rsid w:val="5AC63DC3"/>
    <w:rsid w:val="5AED64E5"/>
    <w:rsid w:val="5AFE3CEE"/>
    <w:rsid w:val="5B03007A"/>
    <w:rsid w:val="5B091034"/>
    <w:rsid w:val="5B1E112E"/>
    <w:rsid w:val="5B1F58B2"/>
    <w:rsid w:val="5B345801"/>
    <w:rsid w:val="5B35300C"/>
    <w:rsid w:val="5B6432F7"/>
    <w:rsid w:val="5B7662A3"/>
    <w:rsid w:val="5B914A01"/>
    <w:rsid w:val="5B9804DA"/>
    <w:rsid w:val="5BDF5D95"/>
    <w:rsid w:val="5BFE7528"/>
    <w:rsid w:val="5C095DBB"/>
    <w:rsid w:val="5C0E026E"/>
    <w:rsid w:val="5C4C74DD"/>
    <w:rsid w:val="5C503520"/>
    <w:rsid w:val="5C7378EC"/>
    <w:rsid w:val="5CB32E76"/>
    <w:rsid w:val="5CB724C6"/>
    <w:rsid w:val="5D1B0EFB"/>
    <w:rsid w:val="5D3529AA"/>
    <w:rsid w:val="5D4E06D0"/>
    <w:rsid w:val="5DAB656A"/>
    <w:rsid w:val="5DBB6437"/>
    <w:rsid w:val="5DBD43CC"/>
    <w:rsid w:val="5DE62E60"/>
    <w:rsid w:val="5E056619"/>
    <w:rsid w:val="5E1B1359"/>
    <w:rsid w:val="5E1B15B1"/>
    <w:rsid w:val="5E2467F1"/>
    <w:rsid w:val="5E4E09DC"/>
    <w:rsid w:val="5E622E3B"/>
    <w:rsid w:val="5E851CC4"/>
    <w:rsid w:val="5E943373"/>
    <w:rsid w:val="5EA30287"/>
    <w:rsid w:val="5F1172E6"/>
    <w:rsid w:val="5F1A2B43"/>
    <w:rsid w:val="5F345DE8"/>
    <w:rsid w:val="5F677827"/>
    <w:rsid w:val="5F6B5F9C"/>
    <w:rsid w:val="5FB837BB"/>
    <w:rsid w:val="600A1AD5"/>
    <w:rsid w:val="601B68C0"/>
    <w:rsid w:val="601E2F80"/>
    <w:rsid w:val="60220256"/>
    <w:rsid w:val="602A7D19"/>
    <w:rsid w:val="602C3155"/>
    <w:rsid w:val="603E4A2C"/>
    <w:rsid w:val="60713EB7"/>
    <w:rsid w:val="609868B8"/>
    <w:rsid w:val="60A46F85"/>
    <w:rsid w:val="60B70E63"/>
    <w:rsid w:val="60BC3104"/>
    <w:rsid w:val="60C17E20"/>
    <w:rsid w:val="60C4154B"/>
    <w:rsid w:val="60C72C73"/>
    <w:rsid w:val="60CC405A"/>
    <w:rsid w:val="60D55390"/>
    <w:rsid w:val="60EA46C8"/>
    <w:rsid w:val="611F33FF"/>
    <w:rsid w:val="613608D5"/>
    <w:rsid w:val="614C6207"/>
    <w:rsid w:val="614E3223"/>
    <w:rsid w:val="61670238"/>
    <w:rsid w:val="61940C13"/>
    <w:rsid w:val="619723D9"/>
    <w:rsid w:val="61A469E9"/>
    <w:rsid w:val="61E0223F"/>
    <w:rsid w:val="61E215D8"/>
    <w:rsid w:val="620D2F09"/>
    <w:rsid w:val="62111717"/>
    <w:rsid w:val="621B3775"/>
    <w:rsid w:val="62265778"/>
    <w:rsid w:val="62364782"/>
    <w:rsid w:val="624D71A8"/>
    <w:rsid w:val="62B35947"/>
    <w:rsid w:val="62B94155"/>
    <w:rsid w:val="62BB614A"/>
    <w:rsid w:val="62BD1A6B"/>
    <w:rsid w:val="62C330EE"/>
    <w:rsid w:val="62EE2885"/>
    <w:rsid w:val="63154AB4"/>
    <w:rsid w:val="632745D0"/>
    <w:rsid w:val="633D02D8"/>
    <w:rsid w:val="633E440D"/>
    <w:rsid w:val="6370227B"/>
    <w:rsid w:val="637D216D"/>
    <w:rsid w:val="63851327"/>
    <w:rsid w:val="638B0489"/>
    <w:rsid w:val="6394356A"/>
    <w:rsid w:val="63B81333"/>
    <w:rsid w:val="63C61B2C"/>
    <w:rsid w:val="63CC07EF"/>
    <w:rsid w:val="63CC0BBF"/>
    <w:rsid w:val="63D40BE9"/>
    <w:rsid w:val="64102431"/>
    <w:rsid w:val="648E0CA3"/>
    <w:rsid w:val="64A5243A"/>
    <w:rsid w:val="64DE2339"/>
    <w:rsid w:val="64F531DE"/>
    <w:rsid w:val="65373578"/>
    <w:rsid w:val="655403F9"/>
    <w:rsid w:val="65567306"/>
    <w:rsid w:val="656A5B57"/>
    <w:rsid w:val="65715360"/>
    <w:rsid w:val="65822B2F"/>
    <w:rsid w:val="65D45DC0"/>
    <w:rsid w:val="662A14E4"/>
    <w:rsid w:val="6635242D"/>
    <w:rsid w:val="663E6154"/>
    <w:rsid w:val="667411A7"/>
    <w:rsid w:val="66856847"/>
    <w:rsid w:val="66881357"/>
    <w:rsid w:val="668E4FFB"/>
    <w:rsid w:val="66A01F9C"/>
    <w:rsid w:val="66C27196"/>
    <w:rsid w:val="66C75CB3"/>
    <w:rsid w:val="66DC7598"/>
    <w:rsid w:val="66E81298"/>
    <w:rsid w:val="67185FD7"/>
    <w:rsid w:val="671F124A"/>
    <w:rsid w:val="672675EF"/>
    <w:rsid w:val="67581E6D"/>
    <w:rsid w:val="677A33C6"/>
    <w:rsid w:val="679D5123"/>
    <w:rsid w:val="681F6961"/>
    <w:rsid w:val="682664D1"/>
    <w:rsid w:val="68610A2F"/>
    <w:rsid w:val="68686D63"/>
    <w:rsid w:val="686A0EF5"/>
    <w:rsid w:val="68732DD5"/>
    <w:rsid w:val="68805514"/>
    <w:rsid w:val="68EB00A2"/>
    <w:rsid w:val="69203ED4"/>
    <w:rsid w:val="69236EB5"/>
    <w:rsid w:val="692B565B"/>
    <w:rsid w:val="69316E2F"/>
    <w:rsid w:val="69390E53"/>
    <w:rsid w:val="6942733B"/>
    <w:rsid w:val="694E2071"/>
    <w:rsid w:val="69586974"/>
    <w:rsid w:val="69766163"/>
    <w:rsid w:val="697A3B33"/>
    <w:rsid w:val="698379B0"/>
    <w:rsid w:val="698A4D40"/>
    <w:rsid w:val="698B23FE"/>
    <w:rsid w:val="69D24B82"/>
    <w:rsid w:val="69D44760"/>
    <w:rsid w:val="69E91EAC"/>
    <w:rsid w:val="6A0F5A49"/>
    <w:rsid w:val="6A140B08"/>
    <w:rsid w:val="6A283D6D"/>
    <w:rsid w:val="6A3C6480"/>
    <w:rsid w:val="6A4158BE"/>
    <w:rsid w:val="6A4E5D95"/>
    <w:rsid w:val="6A520EC7"/>
    <w:rsid w:val="6A545FB4"/>
    <w:rsid w:val="6AF775FB"/>
    <w:rsid w:val="6AF87E20"/>
    <w:rsid w:val="6B3158B9"/>
    <w:rsid w:val="6B322639"/>
    <w:rsid w:val="6B415740"/>
    <w:rsid w:val="6B4F4FBE"/>
    <w:rsid w:val="6B587E5E"/>
    <w:rsid w:val="6B751E54"/>
    <w:rsid w:val="6C011E9C"/>
    <w:rsid w:val="6C613F7C"/>
    <w:rsid w:val="6C636C38"/>
    <w:rsid w:val="6C7E36C6"/>
    <w:rsid w:val="6CA9458B"/>
    <w:rsid w:val="6CAB127E"/>
    <w:rsid w:val="6CC83D72"/>
    <w:rsid w:val="6CE84A5B"/>
    <w:rsid w:val="6CED474B"/>
    <w:rsid w:val="6D1B65FB"/>
    <w:rsid w:val="6D4F0E98"/>
    <w:rsid w:val="6D57537F"/>
    <w:rsid w:val="6DB34098"/>
    <w:rsid w:val="6DB545B6"/>
    <w:rsid w:val="6DC36570"/>
    <w:rsid w:val="6DE02FB4"/>
    <w:rsid w:val="6E3B0B85"/>
    <w:rsid w:val="6E422ED1"/>
    <w:rsid w:val="6E514CED"/>
    <w:rsid w:val="6E59572E"/>
    <w:rsid w:val="6E7B67C3"/>
    <w:rsid w:val="6E827EED"/>
    <w:rsid w:val="6E8774BD"/>
    <w:rsid w:val="6E882FEE"/>
    <w:rsid w:val="6E965CFE"/>
    <w:rsid w:val="6E9D7CA8"/>
    <w:rsid w:val="6EB563D5"/>
    <w:rsid w:val="6EBB4ABD"/>
    <w:rsid w:val="6ED11CE8"/>
    <w:rsid w:val="6ED92677"/>
    <w:rsid w:val="6F157954"/>
    <w:rsid w:val="6F225983"/>
    <w:rsid w:val="6F7234D1"/>
    <w:rsid w:val="6FAD6731"/>
    <w:rsid w:val="6FDF1F9F"/>
    <w:rsid w:val="6FFC5590"/>
    <w:rsid w:val="703B7137"/>
    <w:rsid w:val="706D1DD0"/>
    <w:rsid w:val="707D18A2"/>
    <w:rsid w:val="70856B87"/>
    <w:rsid w:val="709A7A5C"/>
    <w:rsid w:val="70D311C0"/>
    <w:rsid w:val="70D527EE"/>
    <w:rsid w:val="7100422F"/>
    <w:rsid w:val="712A7918"/>
    <w:rsid w:val="713E3024"/>
    <w:rsid w:val="71417227"/>
    <w:rsid w:val="715B5300"/>
    <w:rsid w:val="71704C61"/>
    <w:rsid w:val="71A14E1B"/>
    <w:rsid w:val="71AD37BF"/>
    <w:rsid w:val="71CC25AC"/>
    <w:rsid w:val="71D27F8A"/>
    <w:rsid w:val="71DB20DB"/>
    <w:rsid w:val="71E62E61"/>
    <w:rsid w:val="71FC02A3"/>
    <w:rsid w:val="720640AE"/>
    <w:rsid w:val="72357E7A"/>
    <w:rsid w:val="723839D1"/>
    <w:rsid w:val="72553024"/>
    <w:rsid w:val="72822E9E"/>
    <w:rsid w:val="72996137"/>
    <w:rsid w:val="72E8794E"/>
    <w:rsid w:val="72EE6C55"/>
    <w:rsid w:val="73122968"/>
    <w:rsid w:val="73161C4E"/>
    <w:rsid w:val="731F5D5E"/>
    <w:rsid w:val="73550DD3"/>
    <w:rsid w:val="736305DA"/>
    <w:rsid w:val="738576A8"/>
    <w:rsid w:val="73966568"/>
    <w:rsid w:val="73C51AD5"/>
    <w:rsid w:val="73C67BAF"/>
    <w:rsid w:val="73D30BA9"/>
    <w:rsid w:val="741E793C"/>
    <w:rsid w:val="741E79F2"/>
    <w:rsid w:val="742B5E8C"/>
    <w:rsid w:val="74391FC0"/>
    <w:rsid w:val="743F2553"/>
    <w:rsid w:val="74427B8C"/>
    <w:rsid w:val="745E3944"/>
    <w:rsid w:val="749A2EE6"/>
    <w:rsid w:val="74A23A6D"/>
    <w:rsid w:val="74BA61F9"/>
    <w:rsid w:val="74DA61D2"/>
    <w:rsid w:val="74E57499"/>
    <w:rsid w:val="74FC6F38"/>
    <w:rsid w:val="74FE3FE7"/>
    <w:rsid w:val="751468AE"/>
    <w:rsid w:val="75150673"/>
    <w:rsid w:val="7555388A"/>
    <w:rsid w:val="756401B5"/>
    <w:rsid w:val="75B92E0A"/>
    <w:rsid w:val="75D72DC6"/>
    <w:rsid w:val="760D6F22"/>
    <w:rsid w:val="76165A19"/>
    <w:rsid w:val="761C7166"/>
    <w:rsid w:val="7635099D"/>
    <w:rsid w:val="765756B0"/>
    <w:rsid w:val="76596926"/>
    <w:rsid w:val="765F4616"/>
    <w:rsid w:val="765F4872"/>
    <w:rsid w:val="76650BFD"/>
    <w:rsid w:val="76745F78"/>
    <w:rsid w:val="76970562"/>
    <w:rsid w:val="769F09AA"/>
    <w:rsid w:val="76AE3F0A"/>
    <w:rsid w:val="771F3F4E"/>
    <w:rsid w:val="77762421"/>
    <w:rsid w:val="77895CE2"/>
    <w:rsid w:val="77B506B7"/>
    <w:rsid w:val="77B56B1F"/>
    <w:rsid w:val="77C2228F"/>
    <w:rsid w:val="77CF0E43"/>
    <w:rsid w:val="780A06B6"/>
    <w:rsid w:val="780F09F4"/>
    <w:rsid w:val="781A6334"/>
    <w:rsid w:val="78380B3E"/>
    <w:rsid w:val="78582336"/>
    <w:rsid w:val="78A90480"/>
    <w:rsid w:val="78F8494D"/>
    <w:rsid w:val="792828EC"/>
    <w:rsid w:val="793A1F57"/>
    <w:rsid w:val="793F4730"/>
    <w:rsid w:val="7950014D"/>
    <w:rsid w:val="7956298E"/>
    <w:rsid w:val="796E7CD8"/>
    <w:rsid w:val="7981328D"/>
    <w:rsid w:val="799368CC"/>
    <w:rsid w:val="799F60E4"/>
    <w:rsid w:val="79A25BD4"/>
    <w:rsid w:val="79B778D1"/>
    <w:rsid w:val="79B82B1F"/>
    <w:rsid w:val="79B853F7"/>
    <w:rsid w:val="7A0917AF"/>
    <w:rsid w:val="7A364017"/>
    <w:rsid w:val="7A3E07E7"/>
    <w:rsid w:val="7A431165"/>
    <w:rsid w:val="7A7C219B"/>
    <w:rsid w:val="7A8075F9"/>
    <w:rsid w:val="7A8265E1"/>
    <w:rsid w:val="7AB72BD4"/>
    <w:rsid w:val="7B033696"/>
    <w:rsid w:val="7B3F62EE"/>
    <w:rsid w:val="7B5B659A"/>
    <w:rsid w:val="7B686D42"/>
    <w:rsid w:val="7B6A6F46"/>
    <w:rsid w:val="7B77618C"/>
    <w:rsid w:val="7B7B492E"/>
    <w:rsid w:val="7B841746"/>
    <w:rsid w:val="7B957660"/>
    <w:rsid w:val="7B9A1258"/>
    <w:rsid w:val="7BAE2F2A"/>
    <w:rsid w:val="7C39681C"/>
    <w:rsid w:val="7C496329"/>
    <w:rsid w:val="7C4C3283"/>
    <w:rsid w:val="7C6C5AC7"/>
    <w:rsid w:val="7C7467CD"/>
    <w:rsid w:val="7C8543F1"/>
    <w:rsid w:val="7CA60C20"/>
    <w:rsid w:val="7CC6544B"/>
    <w:rsid w:val="7CCC3693"/>
    <w:rsid w:val="7CD5125C"/>
    <w:rsid w:val="7CEA3A9B"/>
    <w:rsid w:val="7D0239FF"/>
    <w:rsid w:val="7D2625A7"/>
    <w:rsid w:val="7D4F34FC"/>
    <w:rsid w:val="7D58029C"/>
    <w:rsid w:val="7D5E40CD"/>
    <w:rsid w:val="7D914697"/>
    <w:rsid w:val="7DA939D5"/>
    <w:rsid w:val="7DAB424E"/>
    <w:rsid w:val="7DAF1558"/>
    <w:rsid w:val="7DCC5338"/>
    <w:rsid w:val="7DCD56F2"/>
    <w:rsid w:val="7DD84604"/>
    <w:rsid w:val="7DEF3FAD"/>
    <w:rsid w:val="7DFB06AF"/>
    <w:rsid w:val="7E0B7CD6"/>
    <w:rsid w:val="7E3503B1"/>
    <w:rsid w:val="7E3E3071"/>
    <w:rsid w:val="7E4E074A"/>
    <w:rsid w:val="7E7062A0"/>
    <w:rsid w:val="7E7861C6"/>
    <w:rsid w:val="7E790DDD"/>
    <w:rsid w:val="7ED448B1"/>
    <w:rsid w:val="7F001CE7"/>
    <w:rsid w:val="7F590AE3"/>
    <w:rsid w:val="7F6A0F42"/>
    <w:rsid w:val="7F704689"/>
    <w:rsid w:val="7F790B12"/>
    <w:rsid w:val="7F7C0A32"/>
    <w:rsid w:val="7F927503"/>
    <w:rsid w:val="7F9D0B0A"/>
    <w:rsid w:val="7FA2581F"/>
    <w:rsid w:val="7FAD723D"/>
    <w:rsid w:val="7FC965A7"/>
    <w:rsid w:val="7FD011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1"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3"/>
    <w:basedOn w:val="1"/>
    <w:next w:val="1"/>
    <w:qFormat/>
    <w:locked/>
    <w:uiPriority w:val="1"/>
    <w:pPr>
      <w:ind w:left="240"/>
      <w:outlineLvl w:val="3"/>
    </w:pPr>
    <w:rPr>
      <w:rFonts w:ascii="宋体" w:hAnsi="宋体" w:eastAsia="宋体"/>
      <w:b/>
      <w:bCs/>
      <w:sz w:val="24"/>
      <w:szCs w:val="24"/>
    </w:rPr>
  </w:style>
  <w:style w:type="paragraph" w:styleId="8">
    <w:name w:val="heading 4"/>
    <w:basedOn w:val="1"/>
    <w:next w:val="1"/>
    <w:qFormat/>
    <w:locked/>
    <w:uiPriority w:val="1"/>
    <w:pPr>
      <w:ind w:left="1237" w:hanging="662"/>
      <w:outlineLvl w:val="4"/>
    </w:pPr>
    <w:rPr>
      <w:rFonts w:ascii="宋体" w:hAnsi="宋体" w:eastAsia="宋体" w:cs="宋体"/>
      <w:b/>
      <w:bCs/>
      <w:sz w:val="24"/>
      <w:szCs w:val="24"/>
    </w:rPr>
  </w:style>
  <w:style w:type="character" w:default="1" w:styleId="30">
    <w:name w:val="Default Paragraph Font"/>
    <w:semiHidden/>
    <w:qFormat/>
    <w:uiPriority w:val="0"/>
  </w:style>
  <w:style w:type="table" w:default="1" w:styleId="2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pPr>
    <w:rPr>
      <w:rFonts w:ascii="Times New Roman" w:hAnsi="Times New Roman"/>
      <w:color w:val="000000"/>
      <w:sz w:val="24"/>
      <w:szCs w:val="24"/>
    </w:rPr>
  </w:style>
  <w:style w:type="paragraph" w:customStyle="1" w:styleId="3">
    <w:name w:val="纯文本1"/>
    <w:basedOn w:val="1"/>
    <w:next w:val="1"/>
    <w:qFormat/>
    <w:uiPriority w:val="0"/>
    <w:pPr>
      <w:adjustRightInd w:val="0"/>
      <w:textAlignment w:val="baseline"/>
    </w:pPr>
    <w:rPr>
      <w:rFonts w:ascii="宋体" w:hAnsi="Courier New"/>
      <w:szCs w:val="20"/>
    </w:rPr>
  </w:style>
  <w:style w:type="paragraph" w:customStyle="1" w:styleId="4">
    <w:name w:val="样式 样式 首行缩进:  2 字符 + 首行缩进:  2 字符"/>
    <w:next w:val="5"/>
    <w:qFormat/>
    <w:uiPriority w:val="0"/>
    <w:pPr>
      <w:widowControl w:val="0"/>
      <w:snapToGrid w:val="0"/>
      <w:spacing w:line="360" w:lineRule="auto"/>
      <w:ind w:firstLine="560" w:firstLineChars="200"/>
      <w:jc w:val="both"/>
    </w:pPr>
    <w:rPr>
      <w:rFonts w:ascii="Times New Roman" w:hAnsi="Times New Roman" w:eastAsia="宋体" w:cs="Times New Roman"/>
      <w:kern w:val="2"/>
      <w:sz w:val="28"/>
      <w:szCs w:val="28"/>
      <w:lang w:val="en-US" w:eastAsia="zh-CN" w:bidi="ar-SA"/>
    </w:rPr>
  </w:style>
  <w:style w:type="paragraph" w:styleId="5">
    <w:name w:val="toc 1"/>
    <w:basedOn w:val="1"/>
    <w:next w:val="1"/>
    <w:qFormat/>
    <w:locked/>
    <w:uiPriority w:val="0"/>
  </w:style>
  <w:style w:type="paragraph" w:styleId="9">
    <w:name w:val="Normal Indent"/>
    <w:basedOn w:val="1"/>
    <w:next w:val="1"/>
    <w:qFormat/>
    <w:locked/>
    <w:uiPriority w:val="0"/>
    <w:pPr>
      <w:spacing w:before="120" w:line="312" w:lineRule="auto"/>
      <w:ind w:firstLine="420" w:firstLineChars="200"/>
    </w:pPr>
    <w:rPr>
      <w:rFonts w:ascii="Times New Roman" w:hAnsi="Times New Roman"/>
      <w:kern w:val="24"/>
      <w:sz w:val="28"/>
      <w:szCs w:val="20"/>
    </w:rPr>
  </w:style>
  <w:style w:type="paragraph" w:styleId="10">
    <w:name w:val="annotation text"/>
    <w:basedOn w:val="1"/>
    <w:link w:val="50"/>
    <w:semiHidden/>
    <w:qFormat/>
    <w:uiPriority w:val="0"/>
    <w:pPr>
      <w:jc w:val="left"/>
    </w:pPr>
    <w:rPr>
      <w:kern w:val="0"/>
      <w:sz w:val="24"/>
      <w:szCs w:val="20"/>
    </w:rPr>
  </w:style>
  <w:style w:type="paragraph" w:styleId="11">
    <w:name w:val="Salutation"/>
    <w:basedOn w:val="1"/>
    <w:next w:val="1"/>
    <w:qFormat/>
    <w:locked/>
    <w:uiPriority w:val="0"/>
  </w:style>
  <w:style w:type="paragraph" w:styleId="12">
    <w:name w:val="Body Text"/>
    <w:basedOn w:val="1"/>
    <w:next w:val="1"/>
    <w:link w:val="51"/>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47"/>
    <w:qFormat/>
    <w:uiPriority w:val="0"/>
    <w:pPr>
      <w:spacing w:after="120"/>
      <w:ind w:left="420" w:leftChars="200"/>
    </w:pPr>
    <w:rPr>
      <w:kern w:val="0"/>
      <w:sz w:val="24"/>
      <w:szCs w:val="20"/>
    </w:rPr>
  </w:style>
  <w:style w:type="paragraph" w:styleId="14">
    <w:name w:val="header"/>
    <w:basedOn w:val="1"/>
    <w:next w:val="1"/>
    <w:link w:val="56"/>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Plain Text"/>
    <w:basedOn w:val="1"/>
    <w:next w:val="1"/>
    <w:qFormat/>
    <w:locked/>
    <w:uiPriority w:val="99"/>
    <w:rPr>
      <w:rFonts w:ascii="宋体" w:hAnsi="Courier New"/>
      <w:kern w:val="0"/>
      <w:szCs w:val="21"/>
    </w:rPr>
  </w:style>
  <w:style w:type="paragraph" w:styleId="16">
    <w:name w:val="List Bullet 5"/>
    <w:basedOn w:val="1"/>
    <w:qFormat/>
    <w:locked/>
    <w:uiPriority w:val="0"/>
    <w:pPr>
      <w:numPr>
        <w:ilvl w:val="0"/>
        <w:numId w:val="1"/>
      </w:numPr>
    </w:pPr>
  </w:style>
  <w:style w:type="paragraph" w:styleId="17">
    <w:name w:val="Date"/>
    <w:basedOn w:val="1"/>
    <w:next w:val="1"/>
    <w:link w:val="53"/>
    <w:qFormat/>
    <w:uiPriority w:val="0"/>
    <w:pPr>
      <w:ind w:left="100" w:leftChars="2500"/>
    </w:pPr>
    <w:rPr>
      <w:kern w:val="0"/>
      <w:sz w:val="24"/>
      <w:szCs w:val="20"/>
    </w:rPr>
  </w:style>
  <w:style w:type="paragraph" w:styleId="18">
    <w:name w:val="Body Text Indent 2"/>
    <w:basedOn w:val="1"/>
    <w:next w:val="19"/>
    <w:qFormat/>
    <w:locked/>
    <w:uiPriority w:val="0"/>
    <w:pPr>
      <w:spacing w:after="120" w:afterLines="0" w:line="480" w:lineRule="auto"/>
      <w:ind w:leftChars="200"/>
    </w:pPr>
    <w:rPr>
      <w:sz w:val="24"/>
    </w:rPr>
  </w:style>
  <w:style w:type="paragraph" w:styleId="19">
    <w:name w:val="Body Text First Indent 2"/>
    <w:basedOn w:val="13"/>
    <w:next w:val="20"/>
    <w:qFormat/>
    <w:locked/>
    <w:uiPriority w:val="0"/>
    <w:pPr>
      <w:ind w:firstLine="420" w:firstLineChars="200"/>
    </w:pPr>
  </w:style>
  <w:style w:type="paragraph" w:styleId="20">
    <w:name w:val="Body Text First Indent"/>
    <w:basedOn w:val="12"/>
    <w:next w:val="1"/>
    <w:qFormat/>
    <w:locked/>
    <w:uiPriority w:val="0"/>
    <w:pPr>
      <w:ind w:firstLine="420" w:firstLineChars="100"/>
    </w:pPr>
    <w:rPr>
      <w:sz w:val="24"/>
    </w:rPr>
  </w:style>
  <w:style w:type="paragraph" w:styleId="21">
    <w:name w:val="Balloon Text"/>
    <w:basedOn w:val="1"/>
    <w:link w:val="54"/>
    <w:semiHidden/>
    <w:qFormat/>
    <w:uiPriority w:val="0"/>
    <w:rPr>
      <w:kern w:val="0"/>
      <w:sz w:val="18"/>
      <w:szCs w:val="20"/>
    </w:rPr>
  </w:style>
  <w:style w:type="paragraph" w:styleId="22">
    <w:name w:val="footer"/>
    <w:basedOn w:val="1"/>
    <w:link w:val="48"/>
    <w:qFormat/>
    <w:uiPriority w:val="99"/>
    <w:pPr>
      <w:tabs>
        <w:tab w:val="center" w:pos="4153"/>
        <w:tab w:val="right" w:pos="8306"/>
      </w:tabs>
      <w:snapToGrid w:val="0"/>
      <w:jc w:val="left"/>
    </w:pPr>
    <w:rPr>
      <w:kern w:val="0"/>
      <w:sz w:val="18"/>
      <w:szCs w:val="20"/>
    </w:rPr>
  </w:style>
  <w:style w:type="paragraph" w:styleId="23">
    <w:name w:val="index heading"/>
    <w:basedOn w:val="1"/>
    <w:next w:val="24"/>
    <w:qFormat/>
    <w:locked/>
    <w:uiPriority w:val="0"/>
    <w:rPr>
      <w:rFonts w:ascii="Arial" w:hAnsi="Arial"/>
      <w:b/>
    </w:rPr>
  </w:style>
  <w:style w:type="paragraph" w:styleId="24">
    <w:name w:val="index 1"/>
    <w:basedOn w:val="1"/>
    <w:next w:val="1"/>
    <w:semiHidden/>
    <w:qFormat/>
    <w:locked/>
    <w:uiPriority w:val="0"/>
    <w:pPr>
      <w:adjustRightInd w:val="0"/>
      <w:snapToGrid w:val="0"/>
      <w:ind w:firstLine="823" w:firstLineChars="358"/>
      <w:jc w:val="left"/>
    </w:pPr>
    <w:rPr>
      <w:rFonts w:ascii="宋体" w:hAnsi="宋体"/>
      <w:spacing w:val="10"/>
    </w:rPr>
  </w:style>
  <w:style w:type="paragraph" w:styleId="25">
    <w:name w:val="toc 2"/>
    <w:basedOn w:val="1"/>
    <w:next w:val="1"/>
    <w:qFormat/>
    <w:locked/>
    <w:uiPriority w:val="39"/>
    <w:pPr>
      <w:ind w:left="420" w:leftChars="200"/>
    </w:pPr>
  </w:style>
  <w:style w:type="paragraph" w:styleId="26">
    <w:name w:val="Normal (Web)"/>
    <w:basedOn w:val="1"/>
    <w:link w:val="52"/>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10"/>
    <w:next w:val="10"/>
    <w:link w:val="45"/>
    <w:semiHidden/>
    <w:qFormat/>
    <w:uiPriority w:val="0"/>
    <w:rPr>
      <w:b/>
      <w:sz w:val="24"/>
      <w:szCs w:val="20"/>
    </w:r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0"/>
    <w:rPr>
      <w:b/>
    </w:rPr>
  </w:style>
  <w:style w:type="character" w:styleId="32">
    <w:name w:val="page number"/>
    <w:basedOn w:val="30"/>
    <w:qFormat/>
    <w:locked/>
    <w:uiPriority w:val="0"/>
  </w:style>
  <w:style w:type="character" w:styleId="33">
    <w:name w:val="Hyperlink"/>
    <w:basedOn w:val="30"/>
    <w:qFormat/>
    <w:locked/>
    <w:uiPriority w:val="0"/>
    <w:rPr>
      <w:color w:val="0000FF"/>
      <w:u w:val="single"/>
    </w:rPr>
  </w:style>
  <w:style w:type="character" w:styleId="34">
    <w:name w:val="annotation reference"/>
    <w:basedOn w:val="30"/>
    <w:semiHidden/>
    <w:qFormat/>
    <w:uiPriority w:val="0"/>
    <w:rPr>
      <w:sz w:val="21"/>
    </w:rPr>
  </w:style>
  <w:style w:type="paragraph" w:customStyle="1" w:styleId="35">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6">
    <w:name w:val="表头"/>
    <w:basedOn w:val="25"/>
    <w:next w:val="15"/>
    <w:qFormat/>
    <w:uiPriority w:val="0"/>
    <w:pPr>
      <w:spacing w:before="156" w:beforeLines="50"/>
      <w:jc w:val="center"/>
    </w:pPr>
    <w:rPr>
      <w:rFonts w:ascii="宋体" w:hAnsi="宋体"/>
      <w:kern w:val="0"/>
      <w:sz w:val="24"/>
    </w:rPr>
  </w:style>
  <w:style w:type="paragraph" w:customStyle="1" w:styleId="37">
    <w:name w:val="样式 标题 1 + 四号 段前: 0 磅 段后: 0 磅 行距: 1.5 倍行距"/>
    <w:basedOn w:val="38"/>
    <w:next w:val="39"/>
    <w:qFormat/>
    <w:uiPriority w:val="0"/>
    <w:pPr>
      <w:spacing w:line="360" w:lineRule="auto"/>
      <w:jc w:val="center"/>
    </w:pPr>
    <w:rPr>
      <w:rFonts w:hAnsi="黑体" w:eastAsia="宋体"/>
      <w:sz w:val="21"/>
    </w:rPr>
  </w:style>
  <w:style w:type="paragraph" w:customStyle="1" w:styleId="38">
    <w:name w:val="1正文"/>
    <w:basedOn w:val="1"/>
    <w:qFormat/>
    <w:uiPriority w:val="0"/>
    <w:pPr>
      <w:spacing w:line="500" w:lineRule="exact"/>
      <w:ind w:firstLine="588" w:firstLineChars="196"/>
    </w:pPr>
    <w:rPr>
      <w:rFonts w:eastAsia="楷体_GB2312"/>
      <w:sz w:val="30"/>
      <w:szCs w:val="30"/>
    </w:rPr>
  </w:style>
  <w:style w:type="paragraph" w:customStyle="1" w:styleId="39">
    <w:name w:val="文本正文"/>
    <w:basedOn w:val="1"/>
    <w:qFormat/>
    <w:uiPriority w:val="0"/>
    <w:pPr>
      <w:keepNext w:val="0"/>
      <w:keepLines w:val="0"/>
      <w:widowControl w:val="0"/>
      <w:suppressLineNumbers w:val="0"/>
      <w:snapToGrid w:val="0"/>
      <w:spacing w:before="0" w:beforeAutospacing="0" w:after="0" w:afterAutospacing="0" w:line="360" w:lineRule="auto"/>
      <w:ind w:left="0" w:right="0" w:firstLine="510"/>
      <w:jc w:val="left"/>
    </w:pPr>
    <w:rPr>
      <w:rFonts w:hint="default" w:ascii="Calibri" w:hAnsi="Calibri" w:eastAsia="宋体" w:cs="Times New Roman"/>
      <w:spacing w:val="4"/>
      <w:kern w:val="24"/>
      <w:sz w:val="21"/>
      <w:szCs w:val="24"/>
      <w:lang w:val="en-US" w:eastAsia="zh-CN" w:bidi="ar"/>
    </w:rPr>
  </w:style>
  <w:style w:type="paragraph" w:customStyle="1" w:styleId="40">
    <w:name w:val="自定义正文"/>
    <w:basedOn w:val="1"/>
    <w:qFormat/>
    <w:uiPriority w:val="0"/>
    <w:pPr>
      <w:adjustRightInd w:val="0"/>
      <w:spacing w:line="360" w:lineRule="auto"/>
      <w:ind w:firstLine="560"/>
    </w:pPr>
    <w:rPr>
      <w:kern w:val="0"/>
      <w:sz w:val="28"/>
      <w:szCs w:val="20"/>
    </w:rPr>
  </w:style>
  <w:style w:type="paragraph" w:customStyle="1" w:styleId="41">
    <w:name w:val="Table Paragraph"/>
    <w:basedOn w:val="1"/>
    <w:qFormat/>
    <w:uiPriority w:val="1"/>
  </w:style>
  <w:style w:type="paragraph" w:customStyle="1" w:styleId="4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4">
    <w:name w:val="表格"/>
    <w:basedOn w:val="1"/>
    <w:next w:val="1"/>
    <w:link w:val="46"/>
    <w:qFormat/>
    <w:uiPriority w:val="0"/>
    <w:pPr>
      <w:adjustRightInd w:val="0"/>
      <w:snapToGrid w:val="0"/>
      <w:spacing w:beforeLines="10" w:afterLines="10" w:line="259" w:lineRule="auto"/>
      <w:jc w:val="center"/>
    </w:pPr>
    <w:rPr>
      <w:rFonts w:ascii="宋体"/>
      <w:kern w:val="0"/>
      <w:szCs w:val="20"/>
    </w:rPr>
  </w:style>
  <w:style w:type="character" w:customStyle="1" w:styleId="45">
    <w:name w:val="批注主题 Char"/>
    <w:link w:val="27"/>
    <w:semiHidden/>
    <w:qFormat/>
    <w:locked/>
    <w:uiPriority w:val="0"/>
    <w:rPr>
      <w:rFonts w:ascii="Times New Roman" w:hAnsi="Times New Roman" w:eastAsia="宋体"/>
      <w:b/>
      <w:kern w:val="2"/>
      <w:sz w:val="24"/>
    </w:rPr>
  </w:style>
  <w:style w:type="character" w:customStyle="1" w:styleId="46">
    <w:name w:val="表格 Char"/>
    <w:link w:val="44"/>
    <w:qFormat/>
    <w:locked/>
    <w:uiPriority w:val="0"/>
    <w:rPr>
      <w:rFonts w:ascii="宋体"/>
      <w:sz w:val="21"/>
    </w:rPr>
  </w:style>
  <w:style w:type="character" w:customStyle="1" w:styleId="47">
    <w:name w:val="正文文本缩进 Char"/>
    <w:link w:val="13"/>
    <w:semiHidden/>
    <w:qFormat/>
    <w:locked/>
    <w:uiPriority w:val="0"/>
    <w:rPr>
      <w:rFonts w:ascii="Times New Roman" w:hAnsi="Times New Roman" w:eastAsia="宋体"/>
      <w:sz w:val="24"/>
    </w:rPr>
  </w:style>
  <w:style w:type="character" w:customStyle="1" w:styleId="48">
    <w:name w:val="页脚 Char"/>
    <w:link w:val="22"/>
    <w:qFormat/>
    <w:locked/>
    <w:uiPriority w:val="99"/>
    <w:rPr>
      <w:sz w:val="18"/>
    </w:rPr>
  </w:style>
  <w:style w:type="character" w:customStyle="1" w:styleId="49">
    <w:name w:val="批注文字 字符1"/>
    <w:semiHidden/>
    <w:qFormat/>
    <w:uiPriority w:val="0"/>
    <w:rPr>
      <w:rFonts w:ascii="Times New Roman" w:hAnsi="Times New Roman" w:eastAsia="宋体"/>
      <w:sz w:val="24"/>
    </w:rPr>
  </w:style>
  <w:style w:type="character" w:customStyle="1" w:styleId="50">
    <w:name w:val="批注文字 Char"/>
    <w:link w:val="10"/>
    <w:qFormat/>
    <w:locked/>
    <w:uiPriority w:val="0"/>
    <w:rPr>
      <w:rFonts w:ascii="Times New Roman" w:hAnsi="Times New Roman" w:eastAsia="宋体"/>
      <w:sz w:val="24"/>
    </w:rPr>
  </w:style>
  <w:style w:type="character" w:customStyle="1" w:styleId="51">
    <w:name w:val="正文文本 Char"/>
    <w:basedOn w:val="30"/>
    <w:link w:val="12"/>
    <w:qFormat/>
    <w:locked/>
    <w:uiPriority w:val="0"/>
    <w:rPr>
      <w:sz w:val="18"/>
    </w:rPr>
  </w:style>
  <w:style w:type="character" w:customStyle="1" w:styleId="52">
    <w:name w:val="普通(网站) Char"/>
    <w:link w:val="26"/>
    <w:qFormat/>
    <w:locked/>
    <w:uiPriority w:val="0"/>
    <w:rPr>
      <w:rFonts w:ascii="宋体" w:hAnsi="宋体" w:eastAsia="宋体"/>
      <w:sz w:val="24"/>
    </w:rPr>
  </w:style>
  <w:style w:type="character" w:customStyle="1" w:styleId="53">
    <w:name w:val="日期 Char"/>
    <w:link w:val="17"/>
    <w:qFormat/>
    <w:locked/>
    <w:uiPriority w:val="0"/>
    <w:rPr>
      <w:rFonts w:ascii="Times New Roman" w:hAnsi="Times New Roman" w:eastAsia="宋体"/>
      <w:sz w:val="24"/>
    </w:rPr>
  </w:style>
  <w:style w:type="character" w:customStyle="1" w:styleId="54">
    <w:name w:val="批注框文本 Char"/>
    <w:link w:val="21"/>
    <w:semiHidden/>
    <w:qFormat/>
    <w:locked/>
    <w:uiPriority w:val="0"/>
    <w:rPr>
      <w:rFonts w:ascii="Times New Roman" w:hAnsi="Times New Roman" w:eastAsia="宋体"/>
      <w:sz w:val="18"/>
    </w:rPr>
  </w:style>
  <w:style w:type="character" w:customStyle="1" w:styleId="55">
    <w:name w:val="日期 字符"/>
    <w:semiHidden/>
    <w:qFormat/>
    <w:uiPriority w:val="0"/>
    <w:rPr>
      <w:rFonts w:ascii="Times New Roman" w:hAnsi="Times New Roman" w:eastAsia="宋体"/>
      <w:sz w:val="24"/>
    </w:rPr>
  </w:style>
  <w:style w:type="character" w:customStyle="1" w:styleId="56">
    <w:name w:val="页眉 Char"/>
    <w:link w:val="14"/>
    <w:qFormat/>
    <w:locked/>
    <w:uiPriority w:val="0"/>
    <w:rPr>
      <w:sz w:val="18"/>
    </w:rPr>
  </w:style>
  <w:style w:type="character" w:customStyle="1" w:styleId="57">
    <w:name w:val="页脚 字符"/>
    <w:basedOn w:val="30"/>
    <w:qFormat/>
    <w:uiPriority w:val="99"/>
  </w:style>
  <w:style w:type="character" w:customStyle="1" w:styleId="58">
    <w:name w:val="正文文本 字符1"/>
    <w:semiHidden/>
    <w:qFormat/>
    <w:uiPriority w:val="0"/>
    <w:rPr>
      <w:rFonts w:ascii="Times New Roman" w:hAnsi="Times New Roman" w:eastAsia="宋体"/>
      <w:sz w:val="24"/>
    </w:rPr>
  </w:style>
  <w:style w:type="paragraph" w:customStyle="1" w:styleId="59">
    <w:name w:val="11"/>
    <w:basedOn w:val="12"/>
    <w:qFormat/>
    <w:uiPriority w:val="0"/>
    <w:pPr>
      <w:autoSpaceDE w:val="0"/>
      <w:autoSpaceDN w:val="0"/>
      <w:adjustRightInd w:val="0"/>
      <w:spacing w:after="0"/>
      <w:ind w:firstLine="472" w:firstLineChars="196"/>
      <w:jc w:val="left"/>
    </w:pPr>
  </w:style>
  <w:style w:type="paragraph" w:customStyle="1" w:styleId="60">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61">
    <w:name w:val="正 文"/>
    <w:qFormat/>
    <w:uiPriority w:val="0"/>
    <w:pPr>
      <w:widowControl w:val="0"/>
      <w:spacing w:line="360" w:lineRule="auto"/>
      <w:ind w:firstLine="480" w:firstLineChars="200"/>
    </w:pPr>
    <w:rPr>
      <w:rFonts w:ascii="Times New Roman" w:hAnsi="Times New Roman" w:eastAsia="宋体" w:cs="宋体"/>
      <w:kern w:val="2"/>
      <w:sz w:val="24"/>
      <w:szCs w:val="24"/>
      <w:lang w:val="en-US" w:eastAsia="zh-CN" w:bidi="ar-SA"/>
    </w:rPr>
  </w:style>
  <w:style w:type="paragraph" w:customStyle="1" w:styleId="62">
    <w:name w:val="制表格"/>
    <w:basedOn w:val="1"/>
    <w:qFormat/>
    <w:uiPriority w:val="0"/>
    <w:pPr>
      <w:jc w:val="center"/>
    </w:pPr>
    <w:rPr>
      <w:rFonts w:ascii="Times New Roman" w:hAnsi="Times New Roman"/>
      <w:snapToGrid w:val="0"/>
      <w:kern w:val="0"/>
      <w:szCs w:val="28"/>
    </w:rPr>
  </w:style>
  <w:style w:type="character" w:customStyle="1" w:styleId="63">
    <w:name w:val="ggzbt011"/>
    <w:basedOn w:val="30"/>
    <w:qFormat/>
    <w:uiPriority w:val="0"/>
  </w:style>
  <w:style w:type="paragraph" w:customStyle="1" w:styleId="64">
    <w:name w:val="WPSOffice手动目录 1"/>
    <w:qFormat/>
    <w:uiPriority w:val="0"/>
    <w:pPr>
      <w:ind w:leftChars="0"/>
    </w:pPr>
    <w:rPr>
      <w:rFonts w:ascii="Times New Roman" w:hAnsi="Times New Roman" w:eastAsia="宋体" w:cs="Times New Roman"/>
      <w:sz w:val="20"/>
      <w:szCs w:val="20"/>
    </w:rPr>
  </w:style>
  <w:style w:type="character" w:customStyle="1" w:styleId="65">
    <w:name w:val="正文（首行缩进两字） Char"/>
    <w:qFormat/>
    <w:uiPriority w:val="0"/>
    <w:rPr>
      <w:rFonts w:eastAsia="宋体"/>
      <w:kern w:val="2"/>
      <w:sz w:val="24"/>
      <w:lang w:val="en-US" w:eastAsia="zh-CN"/>
    </w:rPr>
  </w:style>
  <w:style w:type="paragraph" w:customStyle="1" w:styleId="66">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67">
    <w:name w:val="三级标题"/>
    <w:basedOn w:val="68"/>
    <w:qFormat/>
    <w:uiPriority w:val="0"/>
    <w:rPr>
      <w:sz w:val="24"/>
    </w:rPr>
  </w:style>
  <w:style w:type="paragraph" w:customStyle="1" w:styleId="68">
    <w:name w:val="一级标题"/>
    <w:basedOn w:val="1"/>
    <w:qFormat/>
    <w:uiPriority w:val="0"/>
    <w:pPr>
      <w:ind w:firstLine="0" w:firstLineChars="0"/>
      <w:jc w:val="left"/>
    </w:pPr>
    <w:rPr>
      <w:b/>
      <w:sz w:val="30"/>
    </w:rPr>
  </w:style>
  <w:style w:type="paragraph" w:customStyle="1" w:styleId="69">
    <w:name w:val="文本22"/>
    <w:basedOn w:val="1"/>
    <w:qFormat/>
    <w:uiPriority w:val="0"/>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4"/>
      <w:lang w:val="en-US" w:eastAsia="zh-CN" w:bidi="ar"/>
    </w:rPr>
  </w:style>
  <w:style w:type="paragraph" w:customStyle="1" w:styleId="70">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71">
    <w:name w:val="表格内文字"/>
    <w:semiHidden/>
    <w:qFormat/>
    <w:uiPriority w:val="0"/>
    <w:pPr>
      <w:keepNext/>
      <w:widowControl w:val="0"/>
      <w:spacing w:line="240" w:lineRule="atLeast"/>
      <w:jc w:val="center"/>
    </w:pPr>
    <w:rPr>
      <w:rFonts w:ascii="宋体" w:hAnsi="宋体" w:eastAsia="宋体" w:cs="Times New Roman"/>
      <w:w w:val="90"/>
      <w:sz w:val="21"/>
      <w:szCs w:val="22"/>
      <w:lang w:val="en-US" w:eastAsia="zh-CN" w:bidi="ar-SA"/>
    </w:rPr>
  </w:style>
  <w:style w:type="paragraph" w:customStyle="1" w:styleId="72">
    <w:name w:val=" Char Char Char Char"/>
    <w:basedOn w:val="1"/>
    <w:qFormat/>
    <w:uiPriority w:val="0"/>
    <w:pPr>
      <w:snapToGrid w:val="0"/>
      <w:spacing w:line="360" w:lineRule="auto"/>
      <w:ind w:firstLine="200" w:firstLineChars="200"/>
    </w:pPr>
    <w:rPr>
      <w:szCs w:val="20"/>
    </w:rPr>
  </w:style>
  <w:style w:type="paragraph" w:customStyle="1" w:styleId="73">
    <w:name w:val="标题5"/>
    <w:basedOn w:val="1"/>
    <w:qFormat/>
    <w:uiPriority w:val="0"/>
    <w:pPr>
      <w:adjustRightInd w:val="0"/>
      <w:spacing w:line="520" w:lineRule="atLeast"/>
      <w:ind w:firstLine="480" w:firstLineChars="200"/>
    </w:pPr>
    <w:rPr>
      <w:rFonts w:ascii="宋体" w:hAnsi="宋体"/>
      <w:color w:val="000000"/>
      <w:sz w:val="24"/>
      <w:szCs w:val="24"/>
    </w:rPr>
  </w:style>
  <w:style w:type="paragraph" w:customStyle="1" w:styleId="74">
    <w:name w:val="表内容"/>
    <w:basedOn w:val="1"/>
    <w:qFormat/>
    <w:uiPriority w:val="0"/>
    <w:pPr>
      <w:jc w:val="center"/>
    </w:pPr>
    <w:rPr>
      <w:rFonts w:ascii="Times New Roman" w:hAnsi="Times New Roman" w:eastAsia="仿宋" w:cstheme="minorBidi"/>
    </w:rPr>
  </w:style>
  <w:style w:type="paragraph" w:customStyle="1" w:styleId="75">
    <w:name w:val="样式 正文 行距: 固定值 25 磅"/>
    <w:basedOn w:val="1"/>
    <w:qFormat/>
    <w:uiPriority w:val="0"/>
    <w:pPr>
      <w:adjustRightInd w:val="0"/>
      <w:spacing w:line="500" w:lineRule="exact"/>
      <w:ind w:firstLine="200" w:firstLineChars="200"/>
      <w:jc w:val="left"/>
    </w:pPr>
    <w:rPr>
      <w:rFonts w:ascii="Times New Roman" w:hAnsi="Times New Roman" w:cs="宋体"/>
      <w:sz w:val="24"/>
      <w:szCs w:val="24"/>
    </w:rPr>
  </w:style>
  <w:style w:type="paragraph" w:customStyle="1" w:styleId="76">
    <w:name w:val="Char1"/>
    <w:basedOn w:val="1"/>
    <w:qFormat/>
    <w:uiPriority w:val="0"/>
    <w:rPr>
      <w:rFonts w:ascii="Times New Roman" w:hAnsi="Times New Roman"/>
      <w:szCs w:val="21"/>
    </w:rPr>
  </w:style>
  <w:style w:type="paragraph" w:customStyle="1" w:styleId="77">
    <w:name w:val="文本"/>
    <w:basedOn w:val="1"/>
    <w:qFormat/>
    <w:uiPriority w:val="0"/>
    <w:pPr>
      <w:spacing w:line="360" w:lineRule="auto"/>
      <w:ind w:firstLine="480" w:firstLineChars="200"/>
    </w:pPr>
    <w:rPr>
      <w:rFonts w:ascii="Times New Roman" w:hAnsi="Times New Roman"/>
      <w:sz w:val="24"/>
      <w:szCs w:val="24"/>
    </w:rPr>
  </w:style>
  <w:style w:type="paragraph" w:customStyle="1" w:styleId="78">
    <w:name w:val="F正文"/>
    <w:basedOn w:val="1"/>
    <w:qFormat/>
    <w:uiPriority w:val="0"/>
    <w:pPr>
      <w:framePr w:wrap="notBeside" w:vAnchor="text" w:hAnchor="text" w:y="1"/>
      <w:spacing w:line="360" w:lineRule="auto"/>
      <w:ind w:firstLine="200" w:firstLineChars="200"/>
    </w:pPr>
    <w:rPr>
      <w:rFonts w:ascii="Times New Roman" w:hAnsi="Times New Roman"/>
      <w:color w:val="000000"/>
      <w:kern w:val="0"/>
      <w:sz w:val="24"/>
      <w:szCs w:val="20"/>
      <w:lang w:val="zh-CN"/>
    </w:rPr>
  </w:style>
  <w:style w:type="character" w:customStyle="1" w:styleId="79">
    <w:name w:val="NormalCharacter"/>
    <w:semiHidden/>
    <w:qFormat/>
    <w:uiPriority w:val="0"/>
  </w:style>
  <w:style w:type="paragraph" w:customStyle="1" w:styleId="80">
    <w:name w:val="1正文段落"/>
    <w:basedOn w:val="1"/>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character" w:customStyle="1" w:styleId="81">
    <w:name w:val="正文文本 Char1"/>
    <w:qFormat/>
    <w:uiPriority w:val="0"/>
    <w:rPr>
      <w:rFonts w:eastAsia="宋体"/>
      <w:kern w:val="2"/>
      <w:sz w:val="28"/>
      <w:szCs w:val="24"/>
      <w:lang w:val="en-US" w:eastAsia="zh-CN" w:bidi="ar-SA"/>
    </w:rPr>
  </w:style>
  <w:style w:type="paragraph" w:customStyle="1" w:styleId="82">
    <w:name w:val="中文报告书样式"/>
    <w:basedOn w:val="1"/>
    <w:qFormat/>
    <w:uiPriority w:val="0"/>
    <w:pPr>
      <w:adjustRightInd w:val="0"/>
      <w:spacing w:line="480" w:lineRule="atLeast"/>
      <w:ind w:firstLine="482"/>
    </w:pPr>
    <w:rPr>
      <w:rFonts w:hint="default" w:ascii="Arial" w:hAnsi="Arial" w:eastAsia="Times New Roman" w:cs="Verdana"/>
      <w:b/>
      <w:kern w:val="24"/>
      <w:szCs w:val="24"/>
      <w:lang w:eastAsia="en-US"/>
    </w:rPr>
  </w:style>
  <w:style w:type="paragraph" w:customStyle="1" w:styleId="83">
    <w:name w:val="自定义2"/>
    <w:basedOn w:val="1"/>
    <w:qFormat/>
    <w:uiPriority w:val="0"/>
    <w:pPr>
      <w:spacing w:line="360" w:lineRule="auto"/>
      <w:ind w:firstLine="480" w:firstLineChars="200"/>
    </w:pPr>
    <w:rPr>
      <w:rFonts w:hAnsi="宋体"/>
      <w:sz w:val="24"/>
      <w:szCs w:val="22"/>
    </w:rPr>
  </w:style>
  <w:style w:type="paragraph" w:customStyle="1" w:styleId="84">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5">
    <w:name w:val="5 Char"/>
    <w:basedOn w:val="1"/>
    <w:qFormat/>
    <w:uiPriority w:val="0"/>
    <w:rPr>
      <w:sz w:val="24"/>
    </w:rPr>
  </w:style>
  <w:style w:type="paragraph" w:styleId="86">
    <w:name w:val="List Paragraph"/>
    <w:basedOn w:val="1"/>
    <w:next w:val="1"/>
    <w:qFormat/>
    <w:uiPriority w:val="1"/>
    <w:pPr>
      <w:ind w:left="1237" w:hanging="601"/>
    </w:pPr>
    <w:rPr>
      <w:rFonts w:ascii="宋体" w:hAnsi="宋体" w:eastAsia="宋体" w:cs="宋体"/>
    </w:rPr>
  </w:style>
  <w:style w:type="paragraph" w:customStyle="1" w:styleId="87">
    <w:name w:val="A-文本格式"/>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88">
    <w:name w:val="无间隔1"/>
    <w:basedOn w:val="1"/>
    <w:qFormat/>
    <w:uiPriority w:val="1"/>
    <w:pPr>
      <w:spacing w:line="360" w:lineRule="auto"/>
      <w:ind w:firstLine="200" w:firstLineChars="200"/>
    </w:pPr>
    <w:rPr>
      <w:rFonts w:ascii="Times New Roman" w:hAnsi="Times New Roman"/>
      <w:color w:val="000000"/>
      <w:sz w:val="24"/>
      <w:szCs w:val="24"/>
    </w:rPr>
  </w:style>
  <w:style w:type="character" w:customStyle="1" w:styleId="89">
    <w:name w:val="font11"/>
    <w:basedOn w:val="30"/>
    <w:qFormat/>
    <w:uiPriority w:val="0"/>
    <w:rPr>
      <w:rFonts w:hint="eastAsia" w:ascii="宋体" w:hAnsi="宋体" w:eastAsia="宋体" w:cs="宋体"/>
      <w:color w:val="000000"/>
      <w:sz w:val="21"/>
      <w:szCs w:val="21"/>
      <w:u w:val="none"/>
    </w:rPr>
  </w:style>
  <w:style w:type="character" w:customStyle="1" w:styleId="90">
    <w:name w:val="font31"/>
    <w:basedOn w:val="30"/>
    <w:qFormat/>
    <w:uiPriority w:val="0"/>
    <w:rPr>
      <w:rFonts w:hint="default" w:ascii="Times New Roman" w:hAnsi="Times New Roman" w:cs="Times New Roman"/>
      <w:color w:val="000000"/>
      <w:sz w:val="21"/>
      <w:szCs w:val="21"/>
      <w:u w:val="none"/>
    </w:rPr>
  </w:style>
  <w:style w:type="character" w:customStyle="1" w:styleId="91">
    <w:name w:val="font21"/>
    <w:basedOn w:val="30"/>
    <w:qFormat/>
    <w:uiPriority w:val="0"/>
    <w:rPr>
      <w:rFonts w:hint="default" w:ascii="Times New Roman" w:hAnsi="Times New Roman" w:cs="Times New Roman"/>
      <w:color w:val="000000"/>
      <w:sz w:val="13"/>
      <w:szCs w:val="13"/>
      <w:u w:val="none"/>
    </w:rPr>
  </w:style>
  <w:style w:type="paragraph" w:customStyle="1" w:styleId="92">
    <w:name w:val="dxj正文"/>
    <w:basedOn w:val="1"/>
    <w:qFormat/>
    <w:uiPriority w:val="0"/>
    <w:pPr>
      <w:spacing w:line="360" w:lineRule="auto"/>
      <w:ind w:firstLine="200" w:firstLineChars="200"/>
    </w:pPr>
    <w:rPr>
      <w:rFonts w:ascii="Times New Roman"/>
      <w:kern w:val="2"/>
      <w:szCs w:val="24"/>
    </w:rPr>
  </w:style>
  <w:style w:type="character" w:customStyle="1" w:styleId="93">
    <w:name w:val="font51"/>
    <w:basedOn w:val="30"/>
    <w:qFormat/>
    <w:uiPriority w:val="0"/>
    <w:rPr>
      <w:rFonts w:hint="default" w:ascii="Times New Roman" w:hAnsi="Times New Roman" w:cs="Times New Roman"/>
      <w:b/>
      <w:bCs/>
      <w:color w:val="FF0000"/>
      <w:sz w:val="21"/>
      <w:szCs w:val="21"/>
      <w:u w:val="none"/>
      <w:vertAlign w:val="superscript"/>
    </w:rPr>
  </w:style>
  <w:style w:type="character" w:customStyle="1" w:styleId="94">
    <w:name w:val="font41"/>
    <w:basedOn w:val="30"/>
    <w:qFormat/>
    <w:uiPriority w:val="0"/>
    <w:rPr>
      <w:rFonts w:hint="default" w:ascii="Times New Roman" w:hAnsi="Times New Roman" w:cs="Times New Roman"/>
      <w:color w:val="FF0000"/>
      <w:sz w:val="21"/>
      <w:szCs w:val="21"/>
      <w:u w:val="none"/>
    </w:rPr>
  </w:style>
  <w:style w:type="character" w:customStyle="1" w:styleId="95">
    <w:name w:val="font01"/>
    <w:basedOn w:val="30"/>
    <w:qFormat/>
    <w:uiPriority w:val="0"/>
    <w:rPr>
      <w:rFonts w:hint="default" w:ascii="Times New Roman" w:hAnsi="Times New Roman" w:cs="Times New Roman"/>
      <w:color w:val="000000"/>
      <w:sz w:val="24"/>
      <w:szCs w:val="24"/>
      <w:u w:val="none"/>
      <w:vertAlign w:val="superscript"/>
    </w:rPr>
  </w:style>
  <w:style w:type="character" w:customStyle="1" w:styleId="96">
    <w:name w:val="font61"/>
    <w:basedOn w:val="30"/>
    <w:qFormat/>
    <w:uiPriority w:val="0"/>
    <w:rPr>
      <w:rFonts w:hint="default" w:ascii="Times New Roman" w:hAnsi="Times New Roman" w:cs="Times New Roman"/>
      <w:b/>
      <w:color w:val="000000"/>
      <w:sz w:val="21"/>
      <w:szCs w:val="21"/>
      <w:u w:val="none"/>
    </w:rPr>
  </w:style>
  <w:style w:type="paragraph" w:customStyle="1" w:styleId="97">
    <w:name w:val="表格标题"/>
    <w:basedOn w:val="1"/>
    <w:qFormat/>
    <w:uiPriority w:val="0"/>
    <w:pPr>
      <w:spacing w:line="540" w:lineRule="exact"/>
      <w:jc w:val="center"/>
    </w:pPr>
    <w:rPr>
      <w:rFonts w:ascii="宋体" w:hAnsi="宋体"/>
      <w:bCs/>
      <w:sz w:val="24"/>
    </w:rPr>
  </w:style>
  <w:style w:type="character" w:customStyle="1" w:styleId="98">
    <w:name w:val="font91"/>
    <w:basedOn w:val="30"/>
    <w:qFormat/>
    <w:uiPriority w:val="0"/>
    <w:rPr>
      <w:rFonts w:hint="default" w:ascii="Times New Roman" w:hAnsi="Times New Roman" w:cs="Times New Roman"/>
      <w:b/>
      <w:bCs/>
      <w:color w:val="000000"/>
      <w:sz w:val="21"/>
      <w:szCs w:val="21"/>
      <w:u w:val="none"/>
    </w:rPr>
  </w:style>
  <w:style w:type="character" w:customStyle="1" w:styleId="99">
    <w:name w:val="font101"/>
    <w:basedOn w:val="30"/>
    <w:qFormat/>
    <w:uiPriority w:val="0"/>
    <w:rPr>
      <w:rFonts w:hint="default" w:ascii="Times New Roman" w:hAnsi="Times New Roman" w:cs="Times New Roman"/>
      <w:b/>
      <w:bCs/>
      <w:color w:val="000000"/>
      <w:sz w:val="21"/>
      <w:szCs w:val="21"/>
      <w:u w:val="none"/>
      <w:vertAlign w:val="superscript"/>
    </w:rPr>
  </w:style>
  <w:style w:type="character" w:customStyle="1" w:styleId="100">
    <w:name w:val="font112"/>
    <w:basedOn w:val="30"/>
    <w:qFormat/>
    <w:uiPriority w:val="0"/>
    <w:rPr>
      <w:rFonts w:hint="default" w:ascii="Times New Roman" w:hAnsi="Times New Roman" w:cs="Times New Roman"/>
      <w:color w:val="000000"/>
      <w:sz w:val="21"/>
      <w:szCs w:val="21"/>
      <w:u w:val="none"/>
      <w:vertAlign w:val="subscript"/>
    </w:rPr>
  </w:style>
  <w:style w:type="character" w:customStyle="1" w:styleId="101">
    <w:name w:val="font71"/>
    <w:basedOn w:val="30"/>
    <w:qFormat/>
    <w:uiPriority w:val="0"/>
    <w:rPr>
      <w:rFonts w:hint="default" w:ascii="Times New Roman" w:hAnsi="Times New Roman" w:cs="Times New Roman"/>
      <w:b/>
      <w:bCs/>
      <w:color w:val="FF0000"/>
      <w:sz w:val="21"/>
      <w:szCs w:val="21"/>
      <w:u w:val="none"/>
    </w:rPr>
  </w:style>
  <w:style w:type="character" w:customStyle="1" w:styleId="102">
    <w:name w:val="font81"/>
    <w:basedOn w:val="30"/>
    <w:qFormat/>
    <w:uiPriority w:val="0"/>
    <w:rPr>
      <w:rFonts w:hint="eastAsia" w:ascii="宋体" w:hAnsi="宋体" w:eastAsia="宋体" w:cs="宋体"/>
      <w:b/>
      <w:bCs/>
      <w:color w:val="FF0000"/>
      <w:sz w:val="21"/>
      <w:szCs w:val="21"/>
      <w:u w:val="none"/>
    </w:rPr>
  </w:style>
  <w:style w:type="character" w:customStyle="1" w:styleId="103">
    <w:name w:val="font121"/>
    <w:basedOn w:val="30"/>
    <w:qFormat/>
    <w:uiPriority w:val="0"/>
    <w:rPr>
      <w:rFonts w:hint="default" w:ascii="Times New Roman" w:hAnsi="Times New Roman" w:cs="Times New Roman"/>
      <w:color w:val="000000"/>
      <w:sz w:val="21"/>
      <w:szCs w:val="21"/>
      <w:u w:val="none"/>
      <w:vertAlign w:val="superscript"/>
    </w:rPr>
  </w:style>
  <w:style w:type="character" w:customStyle="1" w:styleId="104">
    <w:name w:val="font131"/>
    <w:basedOn w:val="30"/>
    <w:qFormat/>
    <w:uiPriority w:val="0"/>
    <w:rPr>
      <w:rFonts w:hint="default" w:ascii="Times New Roman" w:hAnsi="Times New Roman" w:cs="Times New Roman"/>
      <w:color w:val="FF0000"/>
      <w:sz w:val="21"/>
      <w:szCs w:val="21"/>
      <w:u w:val="none"/>
      <w:vertAlign w:val="subscript"/>
    </w:rPr>
  </w:style>
  <w:style w:type="paragraph" w:customStyle="1" w:styleId="105">
    <w:name w:val="wlm表格"/>
    <w:basedOn w:val="1"/>
    <w:qFormat/>
    <w:uiPriority w:val="0"/>
    <w:pPr>
      <w:snapToGrid w:val="0"/>
      <w:spacing w:line="240" w:lineRule="auto"/>
      <w:ind w:firstLine="0" w:firstLineChars="0"/>
      <w:jc w:val="center"/>
    </w:pPr>
    <w:rPr>
      <w:rFonts w:ascii="Times New Roman" w:hAnsi="Times New Roman" w:eastAsia="宋体"/>
      <w:spacing w:val="2"/>
      <w:sz w:val="21"/>
      <w:szCs w:val="21"/>
    </w:rPr>
  </w:style>
  <w:style w:type="paragraph" w:customStyle="1" w:styleId="106">
    <w:name w:val="p0"/>
    <w:basedOn w:val="1"/>
    <w:qFormat/>
    <w:uiPriority w:val="0"/>
    <w:pPr>
      <w:widowControl/>
      <w:spacing w:line="240" w:lineRule="auto"/>
      <w:ind w:firstLine="0" w:firstLineChars="0"/>
    </w:pPr>
    <w:rPr>
      <w:kern w:val="0"/>
      <w:sz w:val="21"/>
      <w:szCs w:val="21"/>
    </w:rPr>
  </w:style>
  <w:style w:type="paragraph" w:customStyle="1" w:styleId="107">
    <w:name w:val="cucd-0"/>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8">
    <w:name w:val="_Style 5"/>
    <w:qFormat/>
    <w:uiPriority w:val="0"/>
    <w:pPr>
      <w:widowControl w:val="0"/>
      <w:jc w:val="center"/>
    </w:pPr>
    <w:rPr>
      <w:rFonts w:ascii="Calibri" w:hAnsi="Calibri" w:eastAsia="宋体" w:cs="Times New Roman"/>
      <w:kern w:val="2"/>
      <w:sz w:val="21"/>
      <w:szCs w:val="22"/>
      <w:lang w:val="en-US" w:eastAsia="zh-CN" w:bidi="ar-SA"/>
    </w:rPr>
  </w:style>
  <w:style w:type="paragraph" w:customStyle="1" w:styleId="109">
    <w:name w:val="正常段落"/>
    <w:basedOn w:val="9"/>
    <w:qFormat/>
    <w:uiPriority w:val="0"/>
    <w:pPr>
      <w:spacing w:after="100" w:afterAutospacing="1" w:line="440" w:lineRule="exact"/>
    </w:pPr>
    <w:rPr>
      <w:rFonts w:ascii="宋体" w:hAnsi="Times New Roman" w:eastAsia="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3.wmf"/><Relationship Id="rId38" Type="http://schemas.openxmlformats.org/officeDocument/2006/relationships/oleObject" Target="embeddings/oleObject6.bin"/><Relationship Id="rId37" Type="http://schemas.openxmlformats.org/officeDocument/2006/relationships/image" Target="media/image22.wmf"/><Relationship Id="rId36" Type="http://schemas.openxmlformats.org/officeDocument/2006/relationships/oleObject" Target="embeddings/oleObject5.bin"/><Relationship Id="rId35" Type="http://schemas.openxmlformats.org/officeDocument/2006/relationships/image" Target="media/image21.wmf"/><Relationship Id="rId34" Type="http://schemas.openxmlformats.org/officeDocument/2006/relationships/oleObject" Target="embeddings/oleObject4.bin"/><Relationship Id="rId33" Type="http://schemas.openxmlformats.org/officeDocument/2006/relationships/image" Target="media/image20.jpeg"/><Relationship Id="rId32" Type="http://schemas.openxmlformats.org/officeDocument/2006/relationships/image" Target="media/image19.png"/><Relationship Id="rId31" Type="http://schemas.openxmlformats.org/officeDocument/2006/relationships/image" Target="media/image18.emf"/><Relationship Id="rId30" Type="http://schemas.openxmlformats.org/officeDocument/2006/relationships/oleObject" Target="embeddings/oleObject3.bin"/><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emf"/><Relationship Id="rId25" Type="http://schemas.openxmlformats.org/officeDocument/2006/relationships/oleObject" Target="embeddings/oleObject2.bin"/><Relationship Id="rId24" Type="http://schemas.openxmlformats.org/officeDocument/2006/relationships/image" Target="media/image13.emf"/><Relationship Id="rId23" Type="http://schemas.openxmlformats.org/officeDocument/2006/relationships/oleObject" Target="embeddings/oleObject1.bin"/><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112</Pages>
  <Words>757</Words>
  <Characters>877</Characters>
  <Lines>13</Lines>
  <Paragraphs>3</Paragraphs>
  <TotalTime>122</TotalTime>
  <ScaleCrop>false</ScaleCrop>
  <LinksUpToDate>false</LinksUpToDate>
  <CharactersWithSpaces>934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momo</cp:lastModifiedBy>
  <cp:lastPrinted>2020-12-29T02:43:00Z</cp:lastPrinted>
  <dcterms:modified xsi:type="dcterms:W3CDTF">2026-02-03T06:21:14Z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8691EA9A006246BB9EF0DDD8A9566A01</vt:lpwstr>
  </property>
  <property fmtid="{D5CDD505-2E9C-101B-9397-08002B2CF9AE}" pid="4" name="KSOTemplateDocerSaveRecord">
    <vt:lpwstr>eyJoZGlkIjoiNzQ4ZTZhZDMyNTkwZmUxMTJhMzgzZDEzMWZlM2U4MjYiLCJ1c2VySWQiOiIxMDg0Njk1MDExIn0=</vt:lpwstr>
  </property>
</Properties>
</file>