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DB30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Times New Roman"/>
        </w:rPr>
      </w:pPr>
      <w:r>
        <w:rPr>
          <w:rFonts w:hint="eastAsia" w:eastAsia="方正小标宋简体"/>
          <w:sz w:val="44"/>
          <w:szCs w:val="44"/>
          <w:lang w:eastAsia="zh-CN"/>
        </w:rPr>
        <w:t>昆明市第一轮环保监督检查反馈意见第</w:t>
      </w:r>
      <w:r>
        <w:rPr>
          <w:rFonts w:hint="eastAsia" w:eastAsia="方正小标宋简体"/>
          <w:sz w:val="44"/>
          <w:szCs w:val="44"/>
          <w:lang w:val="en-US" w:eastAsia="zh-CN"/>
        </w:rPr>
        <w:t>1项</w:t>
      </w:r>
      <w:r>
        <w:rPr>
          <w:rFonts w:hint="eastAsia" w:eastAsia="方正小标宋简体"/>
          <w:sz w:val="44"/>
          <w:szCs w:val="44"/>
          <w:lang w:eastAsia="zh-CN"/>
        </w:rPr>
        <w:t>问题</w:t>
      </w:r>
      <w:r>
        <w:rPr>
          <w:rFonts w:eastAsia="方正小标宋简体"/>
          <w:sz w:val="44"/>
          <w:szCs w:val="44"/>
        </w:rPr>
        <w:t>整改落实情况公示表</w:t>
      </w:r>
      <w:bookmarkStart w:id="0" w:name="_GoBack"/>
      <w:bookmarkEnd w:id="0"/>
    </w:p>
    <w:tbl>
      <w:tblPr>
        <w:tblStyle w:val="6"/>
        <w:tblpPr w:leftFromText="180" w:rightFromText="180" w:vertAnchor="text" w:horzAnchor="page" w:tblpX="1524" w:tblpY="391"/>
        <w:tblOverlap w:val="never"/>
        <w:tblW w:w="9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8213"/>
      </w:tblGrid>
      <w:tr w14:paraId="6DD6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53" w:type="dxa"/>
            <w:noWrap w:val="0"/>
            <w:vAlign w:val="center"/>
          </w:tcPr>
          <w:p w14:paraId="28D1562A">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反馈问题</w:t>
            </w:r>
          </w:p>
        </w:tc>
        <w:tc>
          <w:tcPr>
            <w:tcW w:w="8213" w:type="dxa"/>
            <w:noWrap w:val="0"/>
            <w:vAlign w:val="center"/>
          </w:tcPr>
          <w:p w14:paraId="2181E3E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Style w:val="9"/>
                <w:rFonts w:hint="eastAsia" w:ascii="仿宋_GB2312" w:hAnsi="仿宋_GB2312" w:eastAsia="仿宋_GB2312" w:cs="仿宋_GB2312"/>
                <w:spacing w:val="-6"/>
                <w:kern w:val="2"/>
                <w:sz w:val="32"/>
                <w:szCs w:val="32"/>
                <w:lang w:val="en-US" w:eastAsia="zh-CN" w:bidi="ar-SA"/>
              </w:rPr>
              <w:t>生态环境保护认识有待进一步加强</w:t>
            </w:r>
          </w:p>
        </w:tc>
      </w:tr>
      <w:tr w14:paraId="2D7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853" w:type="dxa"/>
            <w:noWrap w:val="0"/>
            <w:vAlign w:val="center"/>
          </w:tcPr>
          <w:p w14:paraId="3615F712">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整改目标</w:t>
            </w:r>
          </w:p>
        </w:tc>
        <w:tc>
          <w:tcPr>
            <w:tcW w:w="8213" w:type="dxa"/>
            <w:noWrap w:val="0"/>
            <w:vAlign w:val="center"/>
          </w:tcPr>
          <w:p w14:paraId="7485C994">
            <w:pPr>
              <w:keepNext w:val="0"/>
              <w:keepLines w:val="0"/>
              <w:pageBreakBefore w:val="0"/>
              <w:widowControl/>
              <w:kinsoku/>
              <w:wordWrap/>
              <w:overflowPunct/>
              <w:topLinePunct w:val="0"/>
              <w:autoSpaceDE/>
              <w:autoSpaceDN/>
              <w:bidi w:val="0"/>
              <w:adjustRightInd/>
              <w:snapToGrid/>
              <w:spacing w:line="0" w:lineRule="atLeast"/>
              <w:ind w:firstLine="45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深入贯彻习近平生态文明思想，坚决落实党中央、国务院和省委、省政府、市委、市政府关于生态文明建设及环境保护的决策部署，不断增强“绿水青山就是金山银山”的理念</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进一步完善学习和研究生态建设和环境保护工作的机制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认真贯彻落实省委、省政府环境保护督察反馈意见和县委、县政府的工作要求，全面完成</w:t>
            </w:r>
            <w:r>
              <w:rPr>
                <w:rFonts w:hint="eastAsia" w:ascii="仿宋_GB2312" w:hAnsi="仿宋_GB2312" w:eastAsia="仿宋_GB2312" w:cs="仿宋_GB2312"/>
                <w:sz w:val="24"/>
                <w:szCs w:val="24"/>
                <w:lang w:eastAsia="zh-CN"/>
              </w:rPr>
              <w:t>富</w:t>
            </w:r>
            <w:r>
              <w:rPr>
                <w:rFonts w:hint="eastAsia" w:ascii="仿宋_GB2312" w:hAnsi="仿宋_GB2312" w:eastAsia="仿宋_GB2312" w:cs="仿宋_GB2312"/>
                <w:sz w:val="24"/>
                <w:szCs w:val="24"/>
              </w:rPr>
              <w:t>民</w:t>
            </w:r>
            <w:r>
              <w:rPr>
                <w:rFonts w:hint="eastAsia" w:ascii="仿宋_GB2312" w:hAnsi="仿宋_GB2312" w:eastAsia="仿宋_GB2312" w:cs="仿宋_GB2312"/>
                <w:sz w:val="24"/>
                <w:szCs w:val="24"/>
                <w:lang w:eastAsia="zh-CN"/>
              </w:rPr>
              <w:t>县</w:t>
            </w:r>
            <w:r>
              <w:rPr>
                <w:rFonts w:hint="eastAsia" w:ascii="仿宋_GB2312" w:hAnsi="仿宋_GB2312" w:eastAsia="仿宋_GB2312" w:cs="仿宋_GB2312"/>
                <w:sz w:val="24"/>
                <w:szCs w:val="24"/>
              </w:rPr>
              <w:t>各级各部门</w:t>
            </w:r>
            <w:r>
              <w:rPr>
                <w:rFonts w:hint="eastAsia" w:ascii="仿宋_GB2312" w:hAnsi="仿宋_GB2312" w:eastAsia="仿宋_GB2312" w:cs="仿宋_GB2312"/>
                <w:sz w:val="24"/>
                <w:szCs w:val="24"/>
                <w:lang w:val="en-US" w:eastAsia="zh-CN"/>
              </w:rPr>
              <w:t>生态环境保护认识有待进一步加强</w:t>
            </w:r>
            <w:r>
              <w:rPr>
                <w:rFonts w:hint="eastAsia" w:ascii="仿宋_GB2312" w:hAnsi="仿宋_GB2312" w:eastAsia="仿宋_GB2312" w:cs="仿宋_GB2312"/>
                <w:sz w:val="24"/>
                <w:szCs w:val="24"/>
              </w:rPr>
              <w:t>问题的整改工作，以环保督察整改为契机，举一反三、强化措施，改善薄弱环节、尽快补齐短板，建立和完善长效机制，健全和落实生态环境保护监管责任体系，不断改善生态环境质量。</w:t>
            </w:r>
          </w:p>
        </w:tc>
      </w:tr>
      <w:tr w14:paraId="1D32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853" w:type="dxa"/>
            <w:noWrap w:val="0"/>
            <w:vAlign w:val="center"/>
          </w:tcPr>
          <w:p w14:paraId="7883AAC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整改措施</w:t>
            </w:r>
          </w:p>
        </w:tc>
        <w:tc>
          <w:tcPr>
            <w:tcW w:w="8213" w:type="dxa"/>
            <w:noWrap w:val="0"/>
            <w:vAlign w:val="center"/>
          </w:tcPr>
          <w:p w14:paraId="16BA8F9D">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spacing w:val="-6"/>
                <w:kern w:val="32"/>
                <w:sz w:val="24"/>
                <w:szCs w:val="24"/>
                <w:lang w:val="en-US" w:eastAsia="zh-CN" w:bidi="ar-SA"/>
              </w:rPr>
            </w:pPr>
            <w:r>
              <w:rPr>
                <w:rFonts w:hint="eastAsia" w:ascii="仿宋_GB2312" w:hAnsi="仿宋_GB2312" w:eastAsia="仿宋_GB2312" w:cs="仿宋_GB2312"/>
                <w:sz w:val="24"/>
                <w:szCs w:val="24"/>
                <w:lang w:val="en-US" w:eastAsia="zh-CN"/>
              </w:rPr>
              <w:t>1.以习近平新时代中国特色社会主义思想为指导，深入贯彻习近平生态文明思想，坚决落实党中央、国务院，省委、省政府和市委、市政府关于生态文明建设及环境保护的决策部署，不断增强“绿水青山就是金山银山”的理念，坚持走绿色发展道路。2.进一步完善学习和研究生态建设和环境保护工作的机制，各党委（党工委、党组）理论学习中心组，每年都要安排对习近平生态文明思想专题学习。县委常委会、县政府常务会每月至少1次，各镇（街道）每月至少1次，学习国家和省、市、县有关生态建设及环境保护工作的新要求、新规定或听取、研究生态文明建设和生态环境保护工作情况。3.严格落实党委、政府环境保护“一岗双责”“党政同责”责任规定，正确处理经济发展与环境保护、当前与长远、局部与全局关系，确保经济建设与环境保护协调发展。4.党校教学和其他干部培训要深化生态文明建设和环境保护的教学内容。每年至少组织一次生态文明建设与环境保护为主题的培训班，提高对生态环境保护的意识，牢固树立保护优先、绿色发展的理念。</w:t>
            </w:r>
          </w:p>
        </w:tc>
      </w:tr>
      <w:tr w14:paraId="5677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853" w:type="dxa"/>
            <w:noWrap w:val="0"/>
            <w:vAlign w:val="center"/>
          </w:tcPr>
          <w:p w14:paraId="3E3FB28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整改主要工作成效</w:t>
            </w:r>
          </w:p>
        </w:tc>
        <w:tc>
          <w:tcPr>
            <w:tcW w:w="8213" w:type="dxa"/>
            <w:noWrap w:val="0"/>
            <w:vAlign w:val="center"/>
          </w:tcPr>
          <w:p w14:paraId="5737F875">
            <w:pPr>
              <w:keepNext w:val="0"/>
              <w:keepLines w:val="0"/>
              <w:pageBreakBefore w:val="0"/>
              <w:widowControl/>
              <w:kinsoku/>
              <w:wordWrap/>
              <w:overflowPunct/>
              <w:topLinePunct w:val="0"/>
              <w:autoSpaceDE/>
              <w:autoSpaceDN/>
              <w:bidi w:val="0"/>
              <w:adjustRightInd/>
              <w:snapToGrid/>
              <w:spacing w:line="0" w:lineRule="atLeast"/>
              <w:ind w:firstLine="456" w:firstLineChars="200"/>
              <w:jc w:val="left"/>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为做好全县生态环境工作，201</w:t>
            </w:r>
            <w:r>
              <w:rPr>
                <w:rFonts w:hint="eastAsia" w:ascii="仿宋_GB2312" w:hAnsi="仿宋_GB2312" w:eastAsia="仿宋_GB2312" w:cs="仿宋_GB2312"/>
                <w:sz w:val="24"/>
                <w:szCs w:val="24"/>
                <w:lang w:val="en-US" w:eastAsia="zh-CN"/>
              </w:rPr>
              <w:t>9</w:t>
            </w:r>
            <w:r>
              <w:rPr>
                <w:rFonts w:hint="default" w:ascii="仿宋_GB2312" w:hAnsi="仿宋_GB2312" w:eastAsia="仿宋_GB2312" w:cs="仿宋_GB2312"/>
                <w:sz w:val="24"/>
                <w:szCs w:val="24"/>
                <w:lang w:val="en-US" w:eastAsia="zh-CN"/>
              </w:rPr>
              <w:t>年来县委主要领导多次对环保工作做出批示，要求对存在问题要立即整改到位，并组织相关部门到市生态环境局富民分局进行专题调研，对真抓实效落实好环保督察整改作出具体要求。同时，针对环保督察整改工作推进情况，多次深入一线，亲自检查、亲自调度，进行现场汇办，对重点难点问题咬住不放、紧盯落实，多次主持召开</w:t>
            </w:r>
            <w:r>
              <w:rPr>
                <w:rFonts w:hint="eastAsia" w:ascii="仿宋_GB2312" w:hAnsi="仿宋_GB2312" w:cs="仿宋_GB2312"/>
                <w:sz w:val="24"/>
                <w:szCs w:val="24"/>
                <w:lang w:val="en-US" w:eastAsia="zh-CN"/>
              </w:rPr>
              <w:t>常委会会议</w:t>
            </w:r>
            <w:r>
              <w:rPr>
                <w:rFonts w:hint="default" w:ascii="仿宋_GB2312" w:hAnsi="仿宋_GB2312" w:eastAsia="仿宋_GB2312" w:cs="仿宋_GB2312"/>
                <w:sz w:val="24"/>
                <w:szCs w:val="24"/>
                <w:lang w:val="en-US" w:eastAsia="zh-CN"/>
              </w:rPr>
              <w:t xml:space="preserve">，专题听取环保工作汇报，研究部署环保工作，制定下发《富民县县域生态环境质量建设目标领导干部考核办法（试行）》将生态环境保护督察整改工作列入各部门目标责任中进行考核，以推进全县生态环境保护及环境督察整改落实。 </w:t>
            </w:r>
          </w:p>
          <w:p w14:paraId="5FC4FDFD">
            <w:pPr>
              <w:keepNext w:val="0"/>
              <w:keepLines w:val="0"/>
              <w:pageBreakBefore w:val="0"/>
              <w:widowControl/>
              <w:kinsoku/>
              <w:wordWrap/>
              <w:overflowPunct/>
              <w:topLinePunct w:val="0"/>
              <w:autoSpaceDE/>
              <w:autoSpaceDN/>
              <w:bidi w:val="0"/>
              <w:adjustRightInd/>
              <w:snapToGrid/>
              <w:spacing w:line="0" w:lineRule="atLeast"/>
              <w:ind w:firstLine="456" w:firstLineChars="200"/>
              <w:jc w:val="left"/>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坚持县委常委会、县政府常务会定期研究生态环境工作</w:t>
            </w:r>
            <w:r>
              <w:rPr>
                <w:rFonts w:hint="eastAsia" w:ascii="仿宋_GB2312" w:hAnsi="仿宋_GB2312" w:eastAsia="仿宋_GB2312" w:cs="仿宋_GB2312"/>
                <w:sz w:val="24"/>
                <w:szCs w:val="24"/>
                <w:lang w:val="en-US" w:eastAsia="zh-CN"/>
              </w:rPr>
              <w:t>，今年1月至12月，我县先后召开17次相关会议研究部署生态环境保护与督察整改工作；县委、县政府主要领导先后66次进行批示，对大气、水等生态建设和环境保护工作提出明确要求；县委、县政府主要领导深入现场检查调研，协调推动水环境治理等工作；出台与生态文明建设和环境保护相关政策法规、标准规范、制度方案等重要文件。</w:t>
            </w:r>
          </w:p>
          <w:p w14:paraId="58D75322">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针对</w:t>
            </w:r>
            <w:r>
              <w:rPr>
                <w:rFonts w:hint="eastAsia" w:ascii="仿宋_GB2312" w:hAnsi="仿宋_GB2312" w:eastAsia="仿宋_GB2312" w:cs="仿宋_GB2312"/>
                <w:sz w:val="24"/>
                <w:szCs w:val="24"/>
                <w:lang w:val="en-US" w:eastAsia="zh-CN"/>
              </w:rPr>
              <w:t>昆明市第一轮环保监督检查反馈意见</w:t>
            </w:r>
            <w:r>
              <w:rPr>
                <w:rFonts w:hint="default" w:ascii="仿宋_GB2312" w:hAnsi="仿宋_GB2312" w:eastAsia="仿宋_GB2312" w:cs="仿宋_GB2312"/>
                <w:sz w:val="24"/>
                <w:szCs w:val="24"/>
                <w:lang w:val="en-US" w:eastAsia="zh-CN"/>
              </w:rPr>
              <w:t>富民县涉及的</w:t>
            </w:r>
            <w:r>
              <w:rPr>
                <w:rFonts w:hint="eastAsia" w:ascii="仿宋_GB2312" w:hAnsi="仿宋_GB2312" w:eastAsia="仿宋_GB2312" w:cs="仿宋_GB2312"/>
                <w:sz w:val="24"/>
                <w:szCs w:val="24"/>
                <w:lang w:val="en-US" w:eastAsia="zh-CN"/>
              </w:rPr>
              <w:t>18</w:t>
            </w:r>
            <w:r>
              <w:rPr>
                <w:rFonts w:hint="default" w:ascii="仿宋_GB2312" w:hAnsi="仿宋_GB2312" w:eastAsia="仿宋_GB2312" w:cs="仿宋_GB2312"/>
                <w:sz w:val="24"/>
                <w:szCs w:val="24"/>
                <w:lang w:val="en-US" w:eastAsia="zh-CN"/>
              </w:rPr>
              <w:t>项</w:t>
            </w:r>
            <w:r>
              <w:rPr>
                <w:rFonts w:hint="eastAsia" w:ascii="仿宋_GB2312" w:hAnsi="仿宋_GB2312" w:eastAsia="仿宋_GB2312" w:cs="仿宋_GB2312"/>
                <w:sz w:val="24"/>
                <w:szCs w:val="24"/>
                <w:lang w:val="en-US" w:eastAsia="zh-CN"/>
              </w:rPr>
              <w:t>整改</w:t>
            </w:r>
            <w:r>
              <w:rPr>
                <w:rFonts w:hint="default" w:ascii="仿宋_GB2312" w:hAnsi="仿宋_GB2312" w:eastAsia="仿宋_GB2312" w:cs="仿宋_GB2312"/>
                <w:sz w:val="24"/>
                <w:szCs w:val="24"/>
                <w:lang w:val="en-US" w:eastAsia="zh-CN"/>
              </w:rPr>
              <w:t>任务，富民县制定印发</w:t>
            </w:r>
            <w:r>
              <w:rPr>
                <w:rFonts w:hint="eastAsia" w:ascii="仿宋_GB2312" w:hAnsi="仿宋_GB2312" w:eastAsia="仿宋_GB2312" w:cs="仿宋_GB2312"/>
                <w:sz w:val="24"/>
                <w:szCs w:val="24"/>
                <w:lang w:val="en-US" w:eastAsia="zh-CN"/>
              </w:rPr>
              <w:t>了</w:t>
            </w:r>
            <w:r>
              <w:rPr>
                <w:rFonts w:hint="default" w:ascii="仿宋_GB2312" w:hAnsi="仿宋_GB2312" w:eastAsia="仿宋_GB2312" w:cs="仿宋_GB2312"/>
                <w:sz w:val="24"/>
                <w:szCs w:val="24"/>
                <w:lang w:val="en-US" w:eastAsia="zh-CN"/>
              </w:rPr>
              <w:t>《富民县关于整改落实昆明市生态环境保护监督检查反馈意见的整改措施清单》（县委办〔2020〕45号）</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细化分解整改工作任务，明确了工作措施，确定了责任单位、责任人员和整改完成时限。通过“一把手”负总责，亲自抓问题整改，整改一个，销号一个，一抓到底，确保整改工作按期完成。</w:t>
            </w:r>
          </w:p>
          <w:p w14:paraId="7EBEE702">
            <w:pPr>
              <w:keepNext w:val="0"/>
              <w:keepLines w:val="0"/>
              <w:pageBreakBefore w:val="0"/>
              <w:widowControl/>
              <w:kinsoku/>
              <w:wordWrap/>
              <w:overflowPunct/>
              <w:topLinePunct w:val="0"/>
              <w:autoSpaceDE/>
              <w:autoSpaceDN/>
              <w:bidi w:val="0"/>
              <w:adjustRightInd/>
              <w:snapToGrid/>
              <w:spacing w:line="0" w:lineRule="atLeast"/>
              <w:ind w:firstLine="45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今年9月22日至25日，举办了2020年度富民县委、县直机关工委“万名党员进党校”培训班，把《践行习近平生态文明思想推进最美后花园建设》列入教学专题，所属县直机关工委的340名党员干部参加了学习培训。把《习近平总书记关于生态环境保护的重要论述》列入教学内容。11月25日举办了</w:t>
            </w:r>
            <w:r>
              <w:rPr>
                <w:rFonts w:hint="default" w:ascii="仿宋_GB2312" w:hAnsi="仿宋_GB2312" w:eastAsia="仿宋_GB2312" w:cs="仿宋_GB2312"/>
                <w:sz w:val="24"/>
                <w:szCs w:val="24"/>
                <w:lang w:val="en-US" w:eastAsia="zh-CN"/>
              </w:rPr>
              <w:t>富民县生态文明建设和环境保护专题培训班</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县级机关企事业单位及各镇（街道）分管环保工作的领导、县内重点环保企业分管环保负责人及环保管理人员、市生态环境局富民分局全体干部职工，共计120人参加了培训。通过培训，使参训干部职工和企业人员更好的理解习近平生态文明思想和贯彻落实党中央</w:t>
            </w:r>
            <w:r>
              <w:rPr>
                <w:rFonts w:hint="eastAsia" w:ascii="仿宋_GB2312" w:hAnsi="仿宋_GB2312" w:cs="仿宋_GB2312"/>
                <w:sz w:val="24"/>
                <w:szCs w:val="24"/>
                <w:lang w:val="en-US" w:eastAsia="zh-CN"/>
              </w:rPr>
              <w:t>、</w:t>
            </w:r>
            <w:r>
              <w:rPr>
                <w:rFonts w:hint="default" w:ascii="仿宋_GB2312" w:hAnsi="仿宋_GB2312" w:eastAsia="仿宋_GB2312" w:cs="仿宋_GB2312"/>
                <w:sz w:val="24"/>
                <w:szCs w:val="24"/>
                <w:lang w:val="en-US" w:eastAsia="zh-CN"/>
              </w:rPr>
              <w:t>国务院、省市县关于生态文明建设和生态环境保护的重要决策部署。</w:t>
            </w:r>
          </w:p>
        </w:tc>
      </w:tr>
      <w:tr w14:paraId="38D9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53" w:type="dxa"/>
            <w:noWrap w:val="0"/>
            <w:vAlign w:val="center"/>
          </w:tcPr>
          <w:p w14:paraId="76131A24">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责任单位、责任人及联系人</w:t>
            </w:r>
          </w:p>
        </w:tc>
        <w:tc>
          <w:tcPr>
            <w:tcW w:w="8213" w:type="dxa"/>
            <w:noWrap w:val="0"/>
            <w:vAlign w:val="center"/>
          </w:tcPr>
          <w:p w14:paraId="65CCF945">
            <w:pPr>
              <w:pStyle w:val="2"/>
              <w:keepNext w:val="0"/>
              <w:keepLines w:val="0"/>
              <w:pageBreakBefore w:val="0"/>
              <w:kinsoku/>
              <w:wordWrap/>
              <w:topLinePunct w:val="0"/>
              <w:autoSpaceDE/>
              <w:autoSpaceDN/>
              <w:bidi w:val="0"/>
              <w:spacing w:line="240" w:lineRule="auto"/>
              <w:ind w:firstLine="2280" w:firstLineChars="1000"/>
              <w:jc w:val="both"/>
              <w:textAlignment w:val="auto"/>
              <w:rPr>
                <w:rFonts w:hint="eastAsia" w:ascii="Times New Roman" w:hAnsi="Times New Roman" w:eastAsia="仿宋_GB2312" w:cs="Times New Roman"/>
                <w:spacing w:val="-6"/>
                <w:kern w:val="2"/>
                <w:sz w:val="24"/>
                <w:szCs w:val="24"/>
                <w:lang w:val="en-US" w:eastAsia="zh-CN" w:bidi="ar-SA"/>
              </w:rPr>
            </w:pPr>
            <w:r>
              <w:rPr>
                <w:rFonts w:hint="eastAsia" w:ascii="Times New Roman" w:hAnsi="Times New Roman" w:eastAsia="仿宋_GB2312" w:cs="Times New Roman"/>
                <w:spacing w:val="-6"/>
                <w:kern w:val="2"/>
                <w:sz w:val="24"/>
                <w:szCs w:val="24"/>
                <w:lang w:val="en-US" w:eastAsia="zh-CN" w:bidi="ar-SA"/>
              </w:rPr>
              <w:t>责任单位：</w:t>
            </w:r>
            <w:r>
              <w:rPr>
                <w:rFonts w:hint="eastAsia" w:ascii="Times New Roman" w:hAnsi="Times New Roman" w:cs="Times New Roman"/>
                <w:spacing w:val="-6"/>
                <w:kern w:val="2"/>
                <w:sz w:val="24"/>
                <w:szCs w:val="24"/>
                <w:lang w:val="en-US" w:eastAsia="zh-CN" w:bidi="ar-SA"/>
              </w:rPr>
              <w:t>富民县人民政府</w:t>
            </w:r>
          </w:p>
          <w:p w14:paraId="66BA1575">
            <w:pPr>
              <w:pStyle w:val="2"/>
              <w:keepNext w:val="0"/>
              <w:keepLines w:val="0"/>
              <w:pageBreakBefore w:val="0"/>
              <w:kinsoku/>
              <w:wordWrap/>
              <w:topLinePunct w:val="0"/>
              <w:autoSpaceDE/>
              <w:autoSpaceDN/>
              <w:bidi w:val="0"/>
              <w:spacing w:line="240" w:lineRule="auto"/>
              <w:ind w:firstLine="2280" w:firstLineChars="1000"/>
              <w:jc w:val="both"/>
              <w:textAlignment w:val="auto"/>
              <w:rPr>
                <w:rFonts w:hint="eastAsia" w:ascii="Times New Roman" w:hAnsi="Times New Roman" w:eastAsia="仿宋_GB2312" w:cs="Times New Roman"/>
                <w:spacing w:val="-6"/>
                <w:kern w:val="2"/>
                <w:sz w:val="24"/>
                <w:szCs w:val="24"/>
                <w:lang w:val="en-US" w:eastAsia="zh-CN" w:bidi="ar-SA"/>
              </w:rPr>
            </w:pPr>
            <w:r>
              <w:rPr>
                <w:rFonts w:hint="eastAsia" w:ascii="Times New Roman" w:hAnsi="Times New Roman" w:eastAsia="仿宋_GB2312" w:cs="Times New Roman"/>
                <w:spacing w:val="-6"/>
                <w:kern w:val="2"/>
                <w:sz w:val="24"/>
                <w:szCs w:val="24"/>
                <w:lang w:val="en-US" w:eastAsia="zh-CN" w:bidi="ar-SA"/>
              </w:rPr>
              <w:t>责任人：</w:t>
            </w:r>
            <w:r>
              <w:rPr>
                <w:rFonts w:hint="eastAsia" w:ascii="Times New Roman" w:hAnsi="Times New Roman" w:cs="Times New Roman"/>
                <w:spacing w:val="-6"/>
                <w:kern w:val="2"/>
                <w:sz w:val="24"/>
                <w:szCs w:val="24"/>
                <w:lang w:val="en-US" w:eastAsia="zh-CN" w:bidi="ar-SA"/>
              </w:rPr>
              <w:t>王九飚</w:t>
            </w:r>
          </w:p>
          <w:p w14:paraId="2C3CD968">
            <w:pPr>
              <w:keepNext w:val="0"/>
              <w:keepLines w:val="0"/>
              <w:pageBreakBefore w:val="0"/>
              <w:widowControl/>
              <w:kinsoku/>
              <w:wordWrap/>
              <w:overflowPunct/>
              <w:topLinePunct w:val="0"/>
              <w:autoSpaceDE/>
              <w:autoSpaceDN/>
              <w:bidi w:val="0"/>
              <w:adjustRightInd/>
              <w:snapToGrid/>
              <w:spacing w:line="0" w:lineRule="atLeast"/>
              <w:ind w:firstLine="2280" w:firstLineChars="1000"/>
              <w:jc w:val="both"/>
              <w:textAlignment w:val="auto"/>
              <w:rPr>
                <w:rFonts w:hint="eastAsia" w:ascii="仿宋_GB2312" w:hAnsi="仿宋_GB2312" w:eastAsia="仿宋_GB2312" w:cs="仿宋_GB2312"/>
                <w:sz w:val="24"/>
                <w:szCs w:val="24"/>
              </w:rPr>
            </w:pPr>
            <w:r>
              <w:rPr>
                <w:rFonts w:hint="eastAsia" w:ascii="Times New Roman" w:hAnsi="Times New Roman" w:eastAsia="仿宋_GB2312" w:cs="Times New Roman"/>
                <w:spacing w:val="-6"/>
                <w:kern w:val="2"/>
                <w:sz w:val="24"/>
                <w:szCs w:val="24"/>
                <w:lang w:val="en-US" w:eastAsia="zh-CN" w:bidi="ar-SA"/>
              </w:rPr>
              <w:t>联系人：王丽蓉</w:t>
            </w:r>
          </w:p>
        </w:tc>
      </w:tr>
      <w:tr w14:paraId="2E3E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53" w:type="dxa"/>
            <w:noWrap w:val="0"/>
            <w:vAlign w:val="center"/>
          </w:tcPr>
          <w:p w14:paraId="0025D18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公示说明</w:t>
            </w:r>
          </w:p>
        </w:tc>
        <w:tc>
          <w:tcPr>
            <w:tcW w:w="8213" w:type="dxa"/>
            <w:noWrap w:val="0"/>
            <w:vAlign w:val="center"/>
          </w:tcPr>
          <w:p w14:paraId="39D69491">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rPr>
              <w:t>现将该问题整改落实情况进行公示，如有意见建议，请反馈</w:t>
            </w:r>
            <w:r>
              <w:rPr>
                <w:rFonts w:hint="eastAsia" w:ascii="仿宋_GB2312" w:hAnsi="仿宋_GB2312" w:cs="仿宋_GB2312"/>
                <w:sz w:val="24"/>
                <w:szCs w:val="24"/>
                <w:lang w:eastAsia="zh-CN"/>
              </w:rPr>
              <w:t>至</w:t>
            </w:r>
            <w:r>
              <w:rPr>
                <w:rFonts w:hint="eastAsia" w:ascii="仿宋_GB2312" w:eastAsia="仿宋_GB2312"/>
                <w:sz w:val="24"/>
                <w:szCs w:val="24"/>
                <w:lang w:val="en-US" w:eastAsia="zh-CN"/>
              </w:rPr>
              <w:t>fmxhjbhj@163.com</w:t>
            </w:r>
            <w:r>
              <w:rPr>
                <w:rFonts w:hint="eastAsia" w:ascii="仿宋_GB2312" w:hAnsi="仿宋_GB2312" w:eastAsia="仿宋_GB2312" w:cs="仿宋_GB2312"/>
                <w:sz w:val="24"/>
                <w:szCs w:val="24"/>
              </w:rPr>
              <w:t>。联系人员及电话：</w:t>
            </w:r>
            <w:r>
              <w:rPr>
                <w:rFonts w:hint="eastAsia" w:ascii="仿宋_GB2312" w:hAnsi="仿宋_GB2312" w:cs="仿宋_GB2312"/>
                <w:sz w:val="24"/>
                <w:szCs w:val="24"/>
                <w:lang w:eastAsia="zh-CN"/>
              </w:rPr>
              <w:t>顾波</w:t>
            </w:r>
            <w:r>
              <w:rPr>
                <w:rFonts w:hint="eastAsia" w:ascii="仿宋_GB2312" w:hAnsi="仿宋_GB2312" w:eastAsia="仿宋_GB2312" w:cs="仿宋_GB2312"/>
                <w:sz w:val="24"/>
                <w:szCs w:val="24"/>
              </w:rPr>
              <w:t>，</w:t>
            </w:r>
            <w:r>
              <w:rPr>
                <w:rFonts w:hint="eastAsia" w:ascii="仿宋_GB2312" w:eastAsia="仿宋_GB2312"/>
                <w:sz w:val="24"/>
                <w:szCs w:val="24"/>
                <w:lang w:val="en-US" w:eastAsia="zh-CN"/>
              </w:rPr>
              <w:t>0871-68810</w:t>
            </w:r>
            <w:r>
              <w:rPr>
                <w:rFonts w:hint="eastAsia" w:ascii="仿宋_GB2312"/>
                <w:sz w:val="24"/>
                <w:szCs w:val="24"/>
                <w:lang w:val="en-US" w:eastAsia="zh-CN"/>
              </w:rPr>
              <w:t>665</w:t>
            </w:r>
          </w:p>
        </w:tc>
      </w:tr>
    </w:tbl>
    <w:p w14:paraId="11FB3E16">
      <w:pPr>
        <w:pStyle w:val="2"/>
        <w:keepNext w:val="0"/>
        <w:keepLines w:val="0"/>
        <w:pageBreakBefore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sz w:val="24"/>
          <w:szCs w:val="24"/>
        </w:rPr>
      </w:pPr>
    </w:p>
    <w:p w14:paraId="12638202">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eastAsia="黑体"/>
          <w:bCs/>
          <w:szCs w:val="32"/>
        </w:rPr>
      </w:pPr>
    </w:p>
    <w:p w14:paraId="7D531D04">
      <w:pPr>
        <w:keepNext w:val="0"/>
        <w:keepLines w:val="0"/>
        <w:pageBreakBefore w:val="0"/>
        <w:kinsoku/>
        <w:wordWrap/>
        <w:overflowPunct/>
        <w:topLinePunct w:val="0"/>
        <w:autoSpaceDE/>
        <w:autoSpaceDN/>
        <w:bidi w:val="0"/>
        <w:adjustRightInd/>
        <w:snapToGrid/>
        <w:spacing w:line="0" w:lineRule="atLeast"/>
        <w:textAlignment w:val="auto"/>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CBA9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34704">
                          <w:pPr>
                            <w:pStyle w:val="3"/>
                            <w:rPr>
                              <w:rFonts w:hint="eastAsia" w:eastAsia="仿宋_GB2312"/>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534704">
                    <w:pPr>
                      <w:pStyle w:val="3"/>
                      <w:rPr>
                        <w:rFonts w:hint="eastAsia" w:eastAsia="仿宋_GB2312"/>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wZWQxN2Q5NDgyMDUzMDcyYjc1ZmM5Y2JlOWRlMTkifQ=="/>
  </w:docVars>
  <w:rsids>
    <w:rsidRoot w:val="68A43B60"/>
    <w:rsid w:val="38805A6B"/>
    <w:rsid w:val="3A795354"/>
    <w:rsid w:val="3B621AA9"/>
    <w:rsid w:val="62590739"/>
    <w:rsid w:val="68A43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7">
    <w:name w:val="Default Paragraph Font"/>
    <w:link w:val="8"/>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rPr>
      <w:rFonts w:hint="default" w:ascii="Calibri"/>
      <w:kern w:val="2"/>
      <w:sz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color w:val="000000"/>
    </w:rPr>
  </w:style>
  <w:style w:type="paragraph" w:customStyle="1" w:styleId="8">
    <w:name w:val="Char Char Char Char1"/>
    <w:basedOn w:val="1"/>
    <w:link w:val="7"/>
    <w:qFormat/>
    <w:uiPriority w:val="0"/>
    <w:pPr>
      <w:widowControl/>
      <w:spacing w:after="160" w:afterLines="0" w:line="240" w:lineRule="exact"/>
      <w:jc w:val="left"/>
    </w:pPr>
  </w:style>
  <w:style w:type="character" w:customStyle="1" w:styleId="9">
    <w:name w:val="16"/>
    <w:basedOn w:val="7"/>
    <w:qFormat/>
    <w:uiPriority w:val="0"/>
    <w:rPr>
      <w:rFonts w:hint="eastAsia" w:ascii="楷体_GB2312" w:eastAsia="楷体_GB2312" w:cs="楷体_GB2312"/>
      <w:kern w:val="2"/>
      <w:sz w:val="32"/>
      <w:szCs w:val="32"/>
    </w:rPr>
  </w:style>
  <w:style w:type="paragraph" w:customStyle="1" w:styleId="10">
    <w:name w:val="实施方案正文"/>
    <w:basedOn w:val="1"/>
    <w:qFormat/>
    <w:uiPriority w:val="99"/>
    <w:pPr>
      <w:ind w:firstLine="566" w:firstLineChars="202"/>
    </w:pPr>
    <w:rPr>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昆明市富民县党政机关单位</Company>
  <Pages>2</Pages>
  <Words>1726</Words>
  <Characters>1779</Characters>
  <Lines>0</Lines>
  <Paragraphs>0</Paragraphs>
  <TotalTime>11</TotalTime>
  <ScaleCrop>false</ScaleCrop>
  <LinksUpToDate>false</LinksUpToDate>
  <CharactersWithSpaces>1780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2020-12-24T00:48:00Z</dcterms:created>
  <dc:creator>戰狼</dc:creator>
  <cp:lastModifiedBy>momo</cp:lastModifiedBy>
  <cp:lastPrinted>2020-12-29T01:02:00Z</cp:lastPrinted>
  <dcterms:modified xsi:type="dcterms:W3CDTF">2026-02-04T09:15:04Z</dcterms:modified>
  <dc:title>整改落实情况公示表</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7497842F3D9848ABB18D491BA4F1A332_12</vt:lpwstr>
  </property>
  <property fmtid="{D5CDD505-2E9C-101B-9397-08002B2CF9AE}" pid="4" name="KSOTemplateDocerSaveRecord">
    <vt:lpwstr>eyJoZGlkIjoiNzQ4ZTZhZDMyNTkwZmUxMTJhMzgzZDEzMWZlM2U4MjYiLCJ1c2VySWQiOiIxMDg0Njk1MDExIn0=</vt:lpwstr>
  </property>
</Properties>
</file>